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35080" w14:textId="3B81662A" w:rsidR="00467348" w:rsidRPr="000148CE" w:rsidRDefault="00467348">
      <w:pPr>
        <w:pStyle w:val="Header"/>
        <w:rPr>
          <w:noProof w:val="0"/>
          <w:sz w:val="24"/>
          <w:szCs w:val="24"/>
          <w:lang w:eastAsia="en-US"/>
        </w:rPr>
      </w:pPr>
      <w:r w:rsidRPr="000148CE">
        <w:rPr>
          <w:noProof w:val="0"/>
          <w:sz w:val="24"/>
          <w:szCs w:val="24"/>
        </w:rPr>
        <w:t xml:space="preserve">3GPP TSG RAN WG1#89 </w:t>
      </w:r>
      <w:r>
        <w:rPr>
          <w:bCs/>
          <w:noProof w:val="0"/>
          <w:sz w:val="24"/>
        </w:rPr>
        <w:tab/>
      </w:r>
      <w:r>
        <w:rPr>
          <w:bCs/>
          <w:noProof w:val="0"/>
          <w:sz w:val="24"/>
        </w:rPr>
        <w:tab/>
      </w:r>
      <w:r>
        <w:rPr>
          <w:bCs/>
          <w:noProof w:val="0"/>
          <w:sz w:val="24"/>
        </w:rPr>
        <w:tab/>
      </w:r>
      <w:r>
        <w:rPr>
          <w:bCs/>
          <w:noProof w:val="0"/>
          <w:sz w:val="24"/>
        </w:rPr>
        <w:tab/>
      </w:r>
      <w:r>
        <w:rPr>
          <w:bCs/>
          <w:noProof w:val="0"/>
          <w:sz w:val="24"/>
        </w:rPr>
        <w:tab/>
      </w:r>
      <w:r w:rsidRPr="000148CE">
        <w:rPr>
          <w:noProof w:val="0"/>
          <w:sz w:val="24"/>
          <w:szCs w:val="24"/>
        </w:rPr>
        <w:t xml:space="preserve">          </w:t>
      </w:r>
      <w:r>
        <w:rPr>
          <w:bCs/>
          <w:noProof w:val="0"/>
          <w:sz w:val="24"/>
        </w:rPr>
        <w:tab/>
      </w:r>
      <w:r w:rsidRPr="000148CE">
        <w:rPr>
          <w:noProof w:val="0"/>
          <w:sz w:val="24"/>
          <w:szCs w:val="24"/>
        </w:rPr>
        <w:t xml:space="preserve">                 </w:t>
      </w:r>
      <w:r>
        <w:rPr>
          <w:bCs/>
          <w:noProof w:val="0"/>
          <w:sz w:val="24"/>
        </w:rPr>
        <w:tab/>
      </w:r>
      <w:r w:rsidRPr="000148CE">
        <w:rPr>
          <w:noProof w:val="0"/>
          <w:sz w:val="24"/>
          <w:szCs w:val="24"/>
        </w:rPr>
        <w:t xml:space="preserve">   </w:t>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00148CE">
        <w:rPr>
          <w:noProof w:val="0"/>
          <w:sz w:val="24"/>
          <w:szCs w:val="24"/>
        </w:rPr>
        <w:t>R1-170</w:t>
      </w:r>
      <w:r w:rsidR="15AA2305" w:rsidRPr="000148CE">
        <w:rPr>
          <w:noProof w:val="0"/>
          <w:sz w:val="24"/>
          <w:szCs w:val="24"/>
        </w:rPr>
        <w:t>8237</w:t>
      </w:r>
    </w:p>
    <w:p w14:paraId="0B693034" w14:textId="3DDE2061" w:rsidR="00CD4C7B" w:rsidRPr="00B266B0" w:rsidRDefault="00467348" w:rsidP="00CD4C7B">
      <w:pPr>
        <w:pStyle w:val="Header"/>
        <w:rPr>
          <w:bCs/>
          <w:noProof w:val="0"/>
          <w:sz w:val="24"/>
        </w:rPr>
      </w:pPr>
      <w:r>
        <w:rPr>
          <w:bCs/>
          <w:sz w:val="24"/>
        </w:rPr>
        <w:t>Hangzhou, P.R. China 15th – 19th May 2017</w:t>
      </w:r>
    </w:p>
    <w:p w14:paraId="5D6B0272" w14:textId="77777777" w:rsidR="00CD4C7B" w:rsidRPr="00B266B0" w:rsidRDefault="00CD4C7B" w:rsidP="00CD4C7B">
      <w:pPr>
        <w:pStyle w:val="Header"/>
        <w:rPr>
          <w:bCs/>
          <w:noProof w:val="0"/>
          <w:sz w:val="24"/>
        </w:rPr>
      </w:pPr>
    </w:p>
    <w:p w14:paraId="6D49BB29" w14:textId="15A9AD41" w:rsidR="00CD4C7B" w:rsidRPr="000148CE" w:rsidRDefault="00CD4C7B">
      <w:pPr>
        <w:pStyle w:val="CRCoverPage"/>
        <w:tabs>
          <w:tab w:val="left" w:pos="1985"/>
        </w:tabs>
        <w:rPr>
          <w:rFonts w:eastAsia="Arial" w:cs="Arial"/>
          <w:b/>
          <w:bCs/>
          <w:sz w:val="24"/>
          <w:szCs w:val="24"/>
          <w:lang w:eastAsia="ja-JP"/>
        </w:rPr>
      </w:pPr>
      <w:r w:rsidRPr="000148CE">
        <w:rPr>
          <w:rFonts w:eastAsia="Arial" w:cs="Arial"/>
          <w:b/>
          <w:bCs/>
          <w:sz w:val="24"/>
          <w:szCs w:val="24"/>
        </w:rPr>
        <w:t>Agenda item:</w:t>
      </w:r>
      <w:r>
        <w:rPr>
          <w:rFonts w:cs="Arial"/>
          <w:b/>
          <w:bCs/>
          <w:sz w:val="24"/>
        </w:rPr>
        <w:tab/>
      </w:r>
      <w:r w:rsidR="00AD1456" w:rsidRPr="000148CE">
        <w:rPr>
          <w:rFonts w:eastAsia="Arial" w:cs="Arial"/>
          <w:b/>
          <w:bCs/>
          <w:sz w:val="24"/>
          <w:szCs w:val="24"/>
        </w:rPr>
        <w:t>7.1.1.5.1</w:t>
      </w:r>
    </w:p>
    <w:p w14:paraId="409DF560" w14:textId="77777777" w:rsidR="00CD4C7B" w:rsidRPr="000148CE" w:rsidRDefault="00CD4C7B">
      <w:pPr>
        <w:tabs>
          <w:tab w:val="left" w:pos="1985"/>
        </w:tabs>
        <w:ind w:left="1985" w:hanging="1985"/>
        <w:rPr>
          <w:rFonts w:ascii="Arial" w:eastAsia="Arial" w:hAnsi="Arial" w:cs="Arial"/>
          <w:b/>
          <w:bCs/>
          <w:sz w:val="24"/>
          <w:szCs w:val="24"/>
        </w:rPr>
      </w:pPr>
      <w:r w:rsidRPr="000148CE">
        <w:rPr>
          <w:rFonts w:ascii="Arial" w:eastAsia="Arial" w:hAnsi="Arial" w:cs="Arial"/>
          <w:b/>
          <w:bCs/>
          <w:sz w:val="24"/>
          <w:szCs w:val="24"/>
        </w:rPr>
        <w:t>Source:</w:t>
      </w:r>
      <w:r w:rsidRPr="00B266B0">
        <w:rPr>
          <w:rFonts w:ascii="Arial" w:hAnsi="Arial" w:cs="Arial"/>
          <w:b/>
          <w:bCs/>
          <w:sz w:val="24"/>
        </w:rPr>
        <w:tab/>
      </w:r>
      <w:r w:rsidR="001741A0" w:rsidRPr="000148CE">
        <w:rPr>
          <w:rFonts w:ascii="Arial" w:eastAsia="Arial" w:hAnsi="Arial" w:cs="Arial"/>
          <w:b/>
          <w:bCs/>
          <w:sz w:val="24"/>
          <w:szCs w:val="24"/>
        </w:rPr>
        <w:t>Nokia</w:t>
      </w:r>
      <w:r w:rsidR="00090468" w:rsidRPr="000148CE">
        <w:rPr>
          <w:rFonts w:ascii="Arial" w:eastAsia="Arial" w:hAnsi="Arial" w:cs="Arial"/>
          <w:b/>
          <w:bCs/>
          <w:sz w:val="24"/>
          <w:szCs w:val="24"/>
        </w:rPr>
        <w:t>, Alcatel-Lucent Shanghai Bell</w:t>
      </w:r>
    </w:p>
    <w:p w14:paraId="06DB49DB" w14:textId="12B54A17" w:rsidR="00CD4C7B" w:rsidRPr="000148CE" w:rsidRDefault="00CD4C7B">
      <w:pPr>
        <w:ind w:left="1985" w:hanging="1985"/>
        <w:rPr>
          <w:rFonts w:ascii="Arial" w:eastAsia="Arial" w:hAnsi="Arial" w:cs="Arial"/>
          <w:b/>
          <w:bCs/>
          <w:sz w:val="24"/>
          <w:szCs w:val="24"/>
        </w:rPr>
      </w:pPr>
      <w:r w:rsidRPr="000148CE">
        <w:rPr>
          <w:rFonts w:ascii="Arial" w:eastAsia="Arial" w:hAnsi="Arial" w:cs="Arial"/>
          <w:b/>
          <w:bCs/>
          <w:sz w:val="24"/>
          <w:szCs w:val="24"/>
        </w:rPr>
        <w:t>Title:</w:t>
      </w:r>
      <w:r w:rsidRPr="00B266B0">
        <w:rPr>
          <w:rFonts w:ascii="Arial" w:hAnsi="Arial" w:cs="Arial"/>
          <w:b/>
          <w:bCs/>
          <w:sz w:val="24"/>
        </w:rPr>
        <w:tab/>
      </w:r>
      <w:r w:rsidR="00CD4691" w:rsidRPr="000148CE">
        <w:rPr>
          <w:rFonts w:ascii="Arial" w:eastAsia="Arial" w:hAnsi="Arial" w:cs="Arial"/>
          <w:b/>
          <w:bCs/>
          <w:sz w:val="24"/>
          <w:szCs w:val="24"/>
        </w:rPr>
        <w:t>SS block RSRP measurements</w:t>
      </w:r>
    </w:p>
    <w:p w14:paraId="7BA01ED7" w14:textId="77777777" w:rsidR="00CD4C7B" w:rsidRPr="000148CE" w:rsidRDefault="00CD4C7B">
      <w:pPr>
        <w:tabs>
          <w:tab w:val="left" w:pos="1985"/>
        </w:tabs>
        <w:rPr>
          <w:rFonts w:ascii="Arial" w:eastAsia="Arial" w:hAnsi="Arial" w:cs="Arial"/>
          <w:b/>
          <w:bCs/>
          <w:sz w:val="24"/>
          <w:szCs w:val="24"/>
        </w:rPr>
      </w:pPr>
      <w:r w:rsidRPr="000148CE">
        <w:rPr>
          <w:rFonts w:ascii="Arial" w:eastAsia="Arial" w:hAnsi="Arial" w:cs="Arial"/>
          <w:b/>
          <w:bCs/>
          <w:sz w:val="24"/>
          <w:szCs w:val="24"/>
        </w:rPr>
        <w:t>Document for:</w:t>
      </w:r>
      <w:r w:rsidRPr="00B266B0">
        <w:rPr>
          <w:rFonts w:ascii="Arial" w:hAnsi="Arial" w:cs="Arial"/>
          <w:b/>
          <w:bCs/>
          <w:sz w:val="24"/>
        </w:rPr>
        <w:tab/>
      </w:r>
      <w:r w:rsidRPr="000148CE">
        <w:rPr>
          <w:rFonts w:ascii="Arial" w:eastAsia="Arial" w:hAnsi="Arial" w:cs="Arial"/>
          <w:b/>
          <w:bCs/>
          <w:sz w:val="24"/>
          <w:szCs w:val="24"/>
        </w:rPr>
        <w:t>Discussion and Decision</w:t>
      </w:r>
    </w:p>
    <w:p w14:paraId="48CC2906" w14:textId="77777777" w:rsidR="00CD4C7B" w:rsidRPr="006E13D1" w:rsidRDefault="00CD4C7B" w:rsidP="00CD4C7B">
      <w:pPr>
        <w:pStyle w:val="Heading1"/>
      </w:pPr>
      <w:r w:rsidRPr="006E13D1">
        <w:t>1</w:t>
      </w:r>
      <w:r w:rsidRPr="006E13D1">
        <w:tab/>
      </w:r>
      <w:r w:rsidR="0056573F">
        <w:t>Introduction</w:t>
      </w:r>
    </w:p>
    <w:p w14:paraId="4DE0453C" w14:textId="77777777" w:rsidR="003D0347" w:rsidRPr="00611336" w:rsidRDefault="003D0347" w:rsidP="003D0347">
      <w:r>
        <w:t xml:space="preserve">In RAN1 NR AH held in January in Spokane it was agreed that the RSRP can be measured from the </w:t>
      </w:r>
      <w:r w:rsidRPr="000148CE">
        <w:rPr>
          <w:i/>
          <w:iCs/>
        </w:rPr>
        <w:t xml:space="preserve">IDLE mode </w:t>
      </w:r>
      <w:proofErr w:type="spellStart"/>
      <w:r w:rsidRPr="000148CE">
        <w:rPr>
          <w:i/>
          <w:iCs/>
        </w:rPr>
        <w:t>RS</w:t>
      </w:r>
      <w:r>
        <w:t>’es</w:t>
      </w:r>
      <w:proofErr w:type="spellEnd"/>
      <w:r>
        <w:t xml:space="preserve">, where one RSRP value is measured per SS block, referred as “SS-block-RSRP” </w:t>
      </w:r>
      <w:r>
        <w:fldChar w:fldCharType="begin"/>
      </w:r>
      <w:r>
        <w:instrText xml:space="preserve"> REF _Ref477852917 \r \h </w:instrText>
      </w:r>
      <w:r>
        <w:fldChar w:fldCharType="separate"/>
      </w:r>
      <w:r>
        <w:t>[3]</w:t>
      </w:r>
      <w:r>
        <w:fldChar w:fldCharType="end"/>
      </w:r>
      <w:r>
        <w:t>. The definition of the RS to be used for RRM measurements for L3 mobility in IDLE mode has been discussed in past meetings and the definition was refined in RAN1#88bis as follows:</w:t>
      </w:r>
    </w:p>
    <w:p w14:paraId="2FCCE3B1" w14:textId="77777777" w:rsidR="003D0347" w:rsidRPr="000148CE" w:rsidRDefault="003D0347">
      <w:pPr>
        <w:rPr>
          <w:rFonts w:eastAsia="MS Mincho"/>
          <w:b/>
          <w:bCs/>
          <w:i/>
          <w:iCs/>
          <w:lang w:eastAsia="ja-JP"/>
        </w:rPr>
      </w:pPr>
      <w:r w:rsidRPr="000148CE">
        <w:rPr>
          <w:rFonts w:eastAsia="MS Mincho"/>
          <w:b/>
          <w:bCs/>
          <w:i/>
          <w:iCs/>
          <w:highlight w:val="green"/>
          <w:lang w:eastAsia="ja-JP"/>
        </w:rPr>
        <w:t>Agreements</w:t>
      </w:r>
      <w:r w:rsidRPr="000148CE">
        <w:rPr>
          <w:rFonts w:eastAsia="MS Mincho"/>
          <w:b/>
          <w:bCs/>
          <w:i/>
          <w:iCs/>
          <w:lang w:eastAsia="ja-JP"/>
        </w:rPr>
        <w:t>:</w:t>
      </w:r>
    </w:p>
    <w:p w14:paraId="6247CF6C" w14:textId="77777777" w:rsidR="003D0347" w:rsidRPr="000148CE" w:rsidRDefault="003D0347" w:rsidP="000148CE">
      <w:pPr>
        <w:numPr>
          <w:ilvl w:val="0"/>
          <w:numId w:val="8"/>
        </w:numPr>
        <w:spacing w:after="0"/>
        <w:rPr>
          <w:rFonts w:eastAsia="MS Mincho"/>
          <w:i/>
          <w:iCs/>
          <w:lang w:val="en-US" w:eastAsia="ja-JP"/>
        </w:rPr>
      </w:pPr>
      <w:r w:rsidRPr="000148CE">
        <w:rPr>
          <w:rFonts w:eastAsia="MS Mincho"/>
          <w:i/>
          <w:iCs/>
          <w:lang w:eastAsia="ja-JP"/>
        </w:rPr>
        <w:t xml:space="preserve">At least NR secondary synchronization signal (NR-SSS) is used for DL based RRM measurement for L3 mobility in IDLE mode </w:t>
      </w:r>
    </w:p>
    <w:p w14:paraId="77ED3F11" w14:textId="77777777" w:rsidR="003D0347" w:rsidRPr="000148CE" w:rsidRDefault="003D0347" w:rsidP="000148CE">
      <w:pPr>
        <w:numPr>
          <w:ilvl w:val="1"/>
          <w:numId w:val="8"/>
        </w:numPr>
        <w:spacing w:after="0"/>
        <w:rPr>
          <w:rFonts w:eastAsia="MS Mincho"/>
          <w:i/>
          <w:iCs/>
          <w:lang w:val="en-US" w:eastAsia="ja-JP"/>
        </w:rPr>
      </w:pPr>
      <w:r w:rsidRPr="000148CE">
        <w:rPr>
          <w:rFonts w:eastAsia="MS Mincho"/>
          <w:i/>
          <w:iCs/>
          <w:lang w:eastAsia="ja-JP"/>
        </w:rPr>
        <w:t>FFS in IDLE mode potentially additional use of DM-RS for PBCH (if defined) for measurement</w:t>
      </w:r>
    </w:p>
    <w:p w14:paraId="63997166" w14:textId="77777777" w:rsidR="003D0347" w:rsidRPr="000148CE" w:rsidRDefault="003D0347" w:rsidP="000148CE">
      <w:pPr>
        <w:numPr>
          <w:ilvl w:val="1"/>
          <w:numId w:val="8"/>
        </w:numPr>
        <w:spacing w:after="0"/>
        <w:rPr>
          <w:rFonts w:eastAsia="MS Mincho"/>
          <w:i/>
          <w:iCs/>
          <w:lang w:val="en-US" w:eastAsia="ja-JP"/>
        </w:rPr>
      </w:pPr>
      <w:r w:rsidRPr="000148CE">
        <w:rPr>
          <w:rFonts w:eastAsia="MS Mincho"/>
          <w:i/>
          <w:iCs/>
          <w:lang w:eastAsia="ja-JP"/>
        </w:rPr>
        <w:t xml:space="preserve">FFS whether or not the NR-SSS alone will satisfy the requirements for RRM measurement </w:t>
      </w:r>
    </w:p>
    <w:p w14:paraId="10A04A92" w14:textId="77777777" w:rsidR="003D0347" w:rsidRPr="000148CE" w:rsidRDefault="003D0347" w:rsidP="003D0347">
      <w:pPr>
        <w:spacing w:after="0"/>
        <w:ind w:left="1440"/>
        <w:rPr>
          <w:rFonts w:eastAsia="MS Mincho"/>
          <w:i/>
          <w:lang w:val="en-US" w:eastAsia="ja-JP"/>
        </w:rPr>
      </w:pPr>
    </w:p>
    <w:p w14:paraId="705987D2" w14:textId="77777777" w:rsidR="003D0347" w:rsidRPr="000148CE" w:rsidRDefault="003D0347">
      <w:pPr>
        <w:rPr>
          <w:rFonts w:eastAsia="MS Mincho"/>
          <w:b/>
          <w:bCs/>
          <w:i/>
          <w:iCs/>
          <w:u w:val="single"/>
          <w:lang w:eastAsia="ja-JP"/>
        </w:rPr>
      </w:pPr>
      <w:r w:rsidRPr="000148CE">
        <w:rPr>
          <w:rFonts w:eastAsia="MS Mincho"/>
          <w:b/>
          <w:bCs/>
          <w:i/>
          <w:iCs/>
          <w:highlight w:val="green"/>
          <w:u w:val="single"/>
          <w:lang w:eastAsia="ja-JP"/>
        </w:rPr>
        <w:t>Agreements:</w:t>
      </w:r>
    </w:p>
    <w:p w14:paraId="35BC79C0" w14:textId="77777777" w:rsidR="003D0347" w:rsidRPr="000148CE" w:rsidRDefault="003D0347" w:rsidP="000148CE">
      <w:pPr>
        <w:numPr>
          <w:ilvl w:val="0"/>
          <w:numId w:val="10"/>
        </w:numPr>
        <w:spacing w:after="0"/>
        <w:rPr>
          <w:rFonts w:eastAsia="MS Mincho"/>
          <w:i/>
          <w:iCs/>
          <w:highlight w:val="yellow"/>
          <w:lang w:val="en-US" w:eastAsia="ja-JP"/>
        </w:rPr>
      </w:pPr>
      <w:r w:rsidRPr="000148CE">
        <w:rPr>
          <w:rFonts w:eastAsia="MS Mincho"/>
          <w:i/>
          <w:iCs/>
          <w:highlight w:val="yellow"/>
          <w:lang w:val="en-US" w:eastAsia="ja-JP"/>
        </w:rPr>
        <w:t>PSS sequence length: 127 for frequency domain-based pure BPSK M sequence</w:t>
      </w:r>
    </w:p>
    <w:p w14:paraId="1A979B56" w14:textId="77777777" w:rsidR="003D0347" w:rsidRPr="000148CE" w:rsidRDefault="003D0347" w:rsidP="000148CE">
      <w:pPr>
        <w:numPr>
          <w:ilvl w:val="1"/>
          <w:numId w:val="10"/>
        </w:numPr>
        <w:spacing w:after="0"/>
        <w:rPr>
          <w:rFonts w:eastAsia="MS Mincho"/>
          <w:i/>
          <w:iCs/>
          <w:highlight w:val="yellow"/>
          <w:lang w:val="en-US" w:eastAsia="ja-JP"/>
        </w:rPr>
      </w:pPr>
      <w:r w:rsidRPr="000148CE">
        <w:rPr>
          <w:rFonts w:eastAsia="MS Mincho"/>
          <w:i/>
          <w:iCs/>
          <w:highlight w:val="yellow"/>
          <w:lang w:val="en-US" w:eastAsia="ja-JP"/>
        </w:rPr>
        <w:t>Note that PSS will be mapped to consecutive 127 subcarriers</w:t>
      </w:r>
    </w:p>
    <w:p w14:paraId="452EEAE3" w14:textId="77777777" w:rsidR="003D0347" w:rsidRPr="000148CE" w:rsidRDefault="003D0347" w:rsidP="000148CE">
      <w:pPr>
        <w:numPr>
          <w:ilvl w:val="0"/>
          <w:numId w:val="10"/>
        </w:numPr>
        <w:spacing w:after="0"/>
        <w:rPr>
          <w:rFonts w:eastAsia="MS Mincho"/>
          <w:i/>
          <w:iCs/>
          <w:highlight w:val="yellow"/>
          <w:lang w:val="en-US" w:eastAsia="ja-JP"/>
        </w:rPr>
      </w:pPr>
      <w:r w:rsidRPr="000148CE">
        <w:rPr>
          <w:rFonts w:eastAsia="MS Mincho"/>
          <w:i/>
          <w:iCs/>
          <w:highlight w:val="yellow"/>
          <w:lang w:val="en-US" w:eastAsia="ja-JP"/>
        </w:rPr>
        <w:t>SSS sequence length: 127</w:t>
      </w:r>
    </w:p>
    <w:p w14:paraId="03E24C1B" w14:textId="33F5EC98" w:rsidR="0058568A" w:rsidRPr="006E13D1" w:rsidRDefault="0058568A" w:rsidP="00CD4C7B"/>
    <w:p w14:paraId="1B718BA8" w14:textId="391CA8C4" w:rsidR="003D0347" w:rsidRDefault="00E241A0" w:rsidP="003D0347">
      <w:pPr>
        <w:pStyle w:val="Heading1"/>
      </w:pPr>
      <w:r>
        <w:t>2</w:t>
      </w:r>
      <w:r>
        <w:tab/>
      </w:r>
      <w:r w:rsidR="003D0347">
        <w:t>SS Block RSRP accuracy</w:t>
      </w:r>
    </w:p>
    <w:p w14:paraId="6DE63791" w14:textId="68E0797F" w:rsidR="00E241A0" w:rsidRDefault="00E241A0" w:rsidP="00E241A0">
      <w:r>
        <w:t xml:space="preserve">In previous contribution </w:t>
      </w:r>
      <w:r w:rsidR="00DF264A">
        <w:fldChar w:fldCharType="begin"/>
      </w:r>
      <w:r w:rsidR="00DF264A">
        <w:instrText xml:space="preserve"> REF _Ref481730305 \r \h </w:instrText>
      </w:r>
      <w:r w:rsidR="00DF264A">
        <w:fldChar w:fldCharType="separate"/>
      </w:r>
      <w:r w:rsidR="00DF264A">
        <w:t>[3]</w:t>
      </w:r>
      <w:r w:rsidR="00DF264A">
        <w:fldChar w:fldCharType="end"/>
      </w:r>
      <w:r>
        <w:t>we provided simulation results for NR-SSS RSRP accuracy with differen</w:t>
      </w:r>
      <w:r w:rsidR="0084272E">
        <w:t>t</w:t>
      </w:r>
      <w:r>
        <w:t xml:space="preserve"> sequence lengths. </w:t>
      </w:r>
      <w:r w:rsidR="004074D4">
        <w:t xml:space="preserve">LTE RSRP absolute accuracy requirement +-4,5dB was used as reference and with 2,5dB RF margin the requirement was -+ 2 </w:t>
      </w:r>
      <w:proofErr w:type="spellStart"/>
      <w:r w:rsidR="004074D4">
        <w:t>dB.</w:t>
      </w:r>
      <w:proofErr w:type="spellEnd"/>
      <w:r w:rsidR="004074D4">
        <w:t xml:space="preserve"> </w:t>
      </w:r>
      <w:r>
        <w:t>Results indicate</w:t>
      </w:r>
      <w:r w:rsidR="0084272E">
        <w:t>d</w:t>
      </w:r>
      <w:r>
        <w:t xml:space="preserve"> that </w:t>
      </w:r>
      <w:r w:rsidR="004074D4">
        <w:t xml:space="preserve">with sequence length of </w:t>
      </w:r>
      <w:r w:rsidR="003B3A55">
        <w:t>127</w:t>
      </w:r>
      <w:r w:rsidR="009A034C">
        <w:t xml:space="preserve"> </w:t>
      </w:r>
      <w:r w:rsidR="00123F0E">
        <w:t xml:space="preserve">LTE </w:t>
      </w:r>
      <w:r w:rsidR="004074D4">
        <w:t xml:space="preserve">absolute accuracy can be reached with </w:t>
      </w:r>
      <w:r w:rsidR="003B3A55">
        <w:t xml:space="preserve">at most 2 </w:t>
      </w:r>
      <w:r w:rsidR="004074D4">
        <w:t>measurement sample</w:t>
      </w:r>
      <w:r w:rsidR="003B3A55">
        <w:t>s</w:t>
      </w:r>
      <w:r w:rsidR="004074D4">
        <w:t xml:space="preserve"> due to high number of resource elements</w:t>
      </w:r>
      <w:r w:rsidR="009A034C">
        <w:t>. When considering the configurable SS burst set periodicity, as agreed in RAN1#88</w:t>
      </w:r>
      <w:r w:rsidR="00DF264A">
        <w:t xml:space="preserve"> </w:t>
      </w:r>
      <w:r w:rsidR="00DF264A">
        <w:fldChar w:fldCharType="begin"/>
      </w:r>
      <w:r w:rsidR="00DF264A">
        <w:instrText xml:space="preserve"> REF _Ref481730354 \r \h </w:instrText>
      </w:r>
      <w:r w:rsidR="00DF264A">
        <w:fldChar w:fldCharType="separate"/>
      </w:r>
      <w:r w:rsidR="00DF264A">
        <w:t>[4]</w:t>
      </w:r>
      <w:r w:rsidR="00DF264A">
        <w:fldChar w:fldCharType="end"/>
      </w:r>
      <w:r w:rsidR="009A034C">
        <w:t>, it would seem preferable that good RSRP accuracy could be obtained with as few samples as possible so that the measurement related latency could be minimized.</w:t>
      </w:r>
    </w:p>
    <w:p w14:paraId="5132D587" w14:textId="57F72880" w:rsidR="00E241A0" w:rsidRDefault="00C0597A" w:rsidP="0084272E">
      <w:pPr>
        <w:jc w:val="center"/>
      </w:pPr>
      <w:r>
        <w:rPr>
          <w:noProof/>
          <w:lang w:val="fi-FI" w:eastAsia="fi-FI"/>
        </w:rPr>
        <w:drawing>
          <wp:inline distT="0" distB="0" distL="0" distR="0" wp14:anchorId="619B19A7" wp14:editId="4ECC34F3">
            <wp:extent cx="5207733" cy="2749982"/>
            <wp:effectExtent l="0" t="0" r="0" b="0"/>
            <wp:docPr id="2" name="Chart 1">
              <a:extLst xmlns:a="http://schemas.openxmlformats.org/drawingml/2006/main">
                <a:ext uri="{FF2B5EF4-FFF2-40B4-BE49-F238E27FC236}">
                  <a16:creationId xmlns:a16="http://schemas.microsoft.com/office/drawing/2014/main" id="{00000000-0008-0000-0A00-00000200000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Chart 1">
                      <a:extLst>
                        <a:ext uri="{FF2B5EF4-FFF2-40B4-BE49-F238E27FC236}">
                          <a16:creationId xmlns:a16="http://schemas.microsoft.com/office/drawing/2014/main" id="{00000000-0008-0000-0A00-000002000000}"/>
                        </a:ext>
                      </a:extLst>
                    </pic:cNvPr>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8415" cy="2771464"/>
                    </a:xfrm>
                    <a:prstGeom prst="rect">
                      <a:avLst/>
                    </a:prstGeom>
                    <a:noFill/>
                    <a:ln>
                      <a:noFill/>
                    </a:ln>
                    <a:extLst/>
                  </pic:spPr>
                </pic:pic>
              </a:graphicData>
            </a:graphic>
          </wp:inline>
        </w:drawing>
      </w:r>
    </w:p>
    <w:p w14:paraId="3FD9A492" w14:textId="0CD4073F" w:rsidR="00C0597A" w:rsidRPr="000148CE" w:rsidRDefault="0084272E">
      <w:pPr>
        <w:pStyle w:val="Caption"/>
        <w:jc w:val="center"/>
        <w:rPr>
          <w:b/>
          <w:bCs/>
          <w:i w:val="0"/>
          <w:iCs w:val="0"/>
          <w:color w:val="000000" w:themeColor="text1"/>
          <w:sz w:val="20"/>
          <w:szCs w:val="20"/>
        </w:rPr>
      </w:pPr>
      <w:r w:rsidRPr="000148CE">
        <w:rPr>
          <w:b/>
          <w:bCs/>
          <w:i w:val="0"/>
          <w:iCs w:val="0"/>
          <w:color w:val="000000" w:themeColor="text1"/>
          <w:sz w:val="20"/>
          <w:szCs w:val="20"/>
        </w:rPr>
        <w:lastRenderedPageBreak/>
        <w:t xml:space="preserve">Figure </w:t>
      </w:r>
      <w:r w:rsidRPr="000148CE">
        <w:fldChar w:fldCharType="begin"/>
      </w:r>
      <w:r w:rsidRPr="0084272E">
        <w:rPr>
          <w:b/>
          <w:i w:val="0"/>
          <w:color w:val="000000" w:themeColor="text1"/>
          <w:sz w:val="20"/>
        </w:rPr>
        <w:instrText xml:space="preserve"> SEQ Figure \* ARABIC </w:instrText>
      </w:r>
      <w:r w:rsidRPr="000148CE">
        <w:rPr>
          <w:b/>
          <w:i w:val="0"/>
          <w:color w:val="000000" w:themeColor="text1"/>
          <w:sz w:val="20"/>
        </w:rPr>
        <w:fldChar w:fldCharType="separate"/>
      </w:r>
      <w:r w:rsidR="000148CE">
        <w:rPr>
          <w:b/>
          <w:i w:val="0"/>
          <w:noProof/>
          <w:color w:val="000000" w:themeColor="text1"/>
          <w:sz w:val="20"/>
        </w:rPr>
        <w:t>1</w:t>
      </w:r>
      <w:r w:rsidRPr="000148CE">
        <w:fldChar w:fldCharType="end"/>
      </w:r>
      <w:r w:rsidRPr="000148CE">
        <w:rPr>
          <w:b/>
          <w:bCs/>
          <w:i w:val="0"/>
          <w:iCs w:val="0"/>
          <w:color w:val="000000" w:themeColor="text1"/>
          <w:sz w:val="20"/>
          <w:szCs w:val="20"/>
        </w:rPr>
        <w:t>. NR-SSS RSRP absolute accuracy with different sequence lengths</w:t>
      </w:r>
    </w:p>
    <w:p w14:paraId="1C16ECC6" w14:textId="77777777" w:rsidR="004074D4" w:rsidRDefault="004074D4" w:rsidP="0084272E">
      <w:pPr>
        <w:rPr>
          <w:b/>
        </w:rPr>
      </w:pPr>
    </w:p>
    <w:p w14:paraId="6E611633" w14:textId="52C0A9F6" w:rsidR="004074D4" w:rsidRDefault="004074D4" w:rsidP="0084272E">
      <w:r w:rsidRPr="000148CE">
        <w:rPr>
          <w:b/>
          <w:bCs/>
        </w:rPr>
        <w:t>Observation 1</w:t>
      </w:r>
      <w:r>
        <w:t>: LTE measurement accuracy requirement</w:t>
      </w:r>
      <w:r w:rsidR="00123F0E">
        <w:t xml:space="preserve"> can be reached with</w:t>
      </w:r>
      <w:r w:rsidR="00550A73">
        <w:t xml:space="preserve"> using t</w:t>
      </w:r>
      <w:r w:rsidR="003D0347">
        <w:t>wo samples with sequence length</w:t>
      </w:r>
      <w:r w:rsidR="00550A73">
        <w:t xml:space="preserve"> of 127</w:t>
      </w:r>
      <w:r w:rsidR="003D0347">
        <w:t xml:space="preserve"> when using NR-SSS</w:t>
      </w:r>
    </w:p>
    <w:p w14:paraId="0892DEFC" w14:textId="77777777" w:rsidR="004074D4" w:rsidRPr="0084272E" w:rsidRDefault="004074D4" w:rsidP="0084272E"/>
    <w:p w14:paraId="71C49201" w14:textId="2135C6FC" w:rsidR="00CD4C7B" w:rsidRDefault="00E241A0" w:rsidP="00CD4C7B">
      <w:pPr>
        <w:pStyle w:val="Heading1"/>
      </w:pPr>
      <w:r>
        <w:t>3</w:t>
      </w:r>
      <w:r w:rsidR="00CD4C7B" w:rsidRPr="006E13D1">
        <w:tab/>
      </w:r>
      <w:r w:rsidR="003D0347">
        <w:t>PBCH DMRS</w:t>
      </w:r>
      <w:r w:rsidR="00EF6C33">
        <w:t xml:space="preserve"> for SS block measurements</w:t>
      </w:r>
    </w:p>
    <w:p w14:paraId="007F9AD6" w14:textId="268789C8" w:rsidR="003D0347" w:rsidRPr="003D0347" w:rsidRDefault="002A29E8" w:rsidP="003D0347">
      <w:r>
        <w:t>It is still open whether PBCH DMRS would be used together with NR-SSS to derive ‘SS-block RSRP’. Additional resources elements</w:t>
      </w:r>
      <w:r w:rsidR="003F4EC8">
        <w:t xml:space="preserve"> (REs)</w:t>
      </w:r>
      <w:r>
        <w:t xml:space="preserve"> </w:t>
      </w:r>
      <w:r w:rsidR="003F4EC8">
        <w:t xml:space="preserve">provided by PBCH DMRS could potentially improve the accuracy of the measurements. </w:t>
      </w:r>
      <w:r w:rsidR="00EF6C33">
        <w:t>The PBCH design is still open</w:t>
      </w:r>
      <w:r w:rsidR="00010F2D">
        <w:t xml:space="preserve"> </w:t>
      </w:r>
      <w:r w:rsidR="00D0767D">
        <w:t xml:space="preserve">in </w:t>
      </w:r>
      <w:r w:rsidR="00010F2D">
        <w:t xml:space="preserve">RAN 1 but using existing agreements we discuss </w:t>
      </w:r>
      <w:r w:rsidR="00D0767D">
        <w:t>use of PBCH DMRS for SS Block RSRP.</w:t>
      </w:r>
      <w:r w:rsidR="00EF6C33">
        <w:t xml:space="preserve"> </w:t>
      </w:r>
    </w:p>
    <w:p w14:paraId="60054735" w14:textId="4BFAFD32" w:rsidR="00010F2D" w:rsidRDefault="00010F2D" w:rsidP="000148CE">
      <w:pPr>
        <w:numPr>
          <w:ilvl w:val="0"/>
          <w:numId w:val="10"/>
        </w:numPr>
        <w:spacing w:after="0"/>
        <w:rPr>
          <w:rFonts w:eastAsia="MS Mincho"/>
          <w:highlight w:val="yellow"/>
          <w:lang w:val="en-US" w:eastAsia="ja-JP"/>
        </w:rPr>
      </w:pPr>
      <w:r w:rsidRPr="000148CE">
        <w:rPr>
          <w:rFonts w:eastAsia="MS Mincho"/>
          <w:highlight w:val="yellow"/>
          <w:lang w:val="en-US" w:eastAsia="ja-JP"/>
        </w:rPr>
        <w:t>PBCH BW: 288 subcarriers, 2 OFDM symbols (additional symbols if MIB size larger than assumed)</w:t>
      </w:r>
    </w:p>
    <w:p w14:paraId="683B975F" w14:textId="77777777" w:rsidR="006052E0" w:rsidRDefault="006052E0" w:rsidP="00467348">
      <w:pPr>
        <w:jc w:val="both"/>
        <w:rPr>
          <w:lang w:val="en-US"/>
        </w:rPr>
      </w:pPr>
    </w:p>
    <w:p w14:paraId="17F517C1" w14:textId="06683EBD" w:rsidR="00280BA4" w:rsidRDefault="000148CE" w:rsidP="00467348">
      <w:pPr>
        <w:jc w:val="both"/>
        <w:rPr>
          <w:lang w:val="en-US"/>
        </w:rPr>
      </w:pPr>
      <w:r>
        <w:rPr>
          <w:lang w:val="en-US"/>
        </w:rPr>
        <w:fldChar w:fldCharType="begin"/>
      </w:r>
      <w:r>
        <w:rPr>
          <w:lang w:val="en-US"/>
        </w:rPr>
        <w:instrText xml:space="preserve"> REF _Ref481694084 \h </w:instrText>
      </w:r>
      <w:r>
        <w:rPr>
          <w:lang w:val="en-US"/>
        </w:rPr>
      </w:r>
      <w:r>
        <w:rPr>
          <w:lang w:val="en-US"/>
        </w:rPr>
        <w:fldChar w:fldCharType="separate"/>
      </w:r>
      <w:r w:rsidRPr="000148CE">
        <w:rPr>
          <w:color w:val="000000" w:themeColor="text1"/>
        </w:rPr>
        <w:t xml:space="preserve">Figure </w:t>
      </w:r>
      <w:r w:rsidRPr="000148CE">
        <w:rPr>
          <w:noProof/>
          <w:color w:val="000000" w:themeColor="text1"/>
        </w:rPr>
        <w:t>2</w:t>
      </w:r>
      <w:r>
        <w:rPr>
          <w:lang w:val="en-US"/>
        </w:rPr>
        <w:fldChar w:fldCharType="end"/>
      </w:r>
      <w:r>
        <w:rPr>
          <w:lang w:val="en-US"/>
        </w:rPr>
        <w:t xml:space="preserve"> </w:t>
      </w:r>
      <w:r w:rsidR="00D0767D" w:rsidRPr="00D0767D">
        <w:rPr>
          <w:lang w:val="en-US"/>
        </w:rPr>
        <w:t xml:space="preserve">illustrates the </w:t>
      </w:r>
      <w:r w:rsidR="00D0767D">
        <w:rPr>
          <w:lang w:val="en-US"/>
        </w:rPr>
        <w:t>PBCH BW with respect the to the NR-SSS. NR-SSS sequence length of 127 is mapped to 144 subcarriers</w:t>
      </w:r>
      <w:r>
        <w:rPr>
          <w:lang w:val="en-US"/>
        </w:rPr>
        <w:t xml:space="preserve"> </w:t>
      </w:r>
      <w:r>
        <w:rPr>
          <w:lang w:val="en-US"/>
        </w:rPr>
        <w:fldChar w:fldCharType="begin"/>
      </w:r>
      <w:r>
        <w:rPr>
          <w:lang w:val="en-US"/>
        </w:rPr>
        <w:instrText xml:space="preserve"> REF _Ref481694165 \r \h </w:instrText>
      </w:r>
      <w:r>
        <w:rPr>
          <w:lang w:val="en-US"/>
        </w:rPr>
      </w:r>
      <w:r>
        <w:rPr>
          <w:lang w:val="en-US"/>
        </w:rPr>
        <w:fldChar w:fldCharType="separate"/>
      </w:r>
      <w:r>
        <w:rPr>
          <w:lang w:val="en-US"/>
        </w:rPr>
        <w:t>[2]</w:t>
      </w:r>
      <w:r>
        <w:rPr>
          <w:lang w:val="en-US"/>
        </w:rPr>
        <w:fldChar w:fldCharType="end"/>
      </w:r>
      <w:r w:rsidR="00D0767D">
        <w:rPr>
          <w:lang w:val="en-US"/>
        </w:rPr>
        <w:t>. PBCH bandwidth is 288 subcarriers/24 PRBs. To estimate the potential measurement accuracy improvement that could obtained by using PBCH DMRS we would need to assume some</w:t>
      </w:r>
      <w:r w:rsidR="00CA62CA">
        <w:rPr>
          <w:lang w:val="en-US"/>
        </w:rPr>
        <w:t xml:space="preserve"> example</w:t>
      </w:r>
      <w:r w:rsidR="00D0767D">
        <w:rPr>
          <w:lang w:val="en-US"/>
        </w:rPr>
        <w:t xml:space="preserve"> DMRS density</w:t>
      </w:r>
      <w:r w:rsidR="00CA62CA">
        <w:rPr>
          <w:lang w:val="en-US"/>
        </w:rPr>
        <w:t xml:space="preserve"> and translate them to usable REs form measurement point of view</w:t>
      </w:r>
      <w:r w:rsidR="001F7345">
        <w:rPr>
          <w:lang w:val="en-US"/>
        </w:rPr>
        <w:t xml:space="preserve">. </w:t>
      </w:r>
    </w:p>
    <w:p w14:paraId="4B21D307" w14:textId="105DF9E4" w:rsidR="00D0767D" w:rsidRPr="00467348" w:rsidRDefault="00280BA4" w:rsidP="00467348">
      <w:pPr>
        <w:jc w:val="both"/>
        <w:rPr>
          <w:lang w:val="en-US"/>
        </w:rPr>
      </w:pPr>
      <w:r>
        <w:rPr>
          <w:lang w:val="en-US"/>
        </w:rPr>
        <w:t xml:space="preserve">With assumption of 4/12 DMRS density </w:t>
      </w:r>
      <w:r w:rsidR="00DF264A">
        <w:rPr>
          <w:lang w:val="en-US"/>
        </w:rPr>
        <w:t xml:space="preserve">(as proposed in </w:t>
      </w:r>
      <w:r w:rsidR="00CA7A9A">
        <w:rPr>
          <w:lang w:val="en-US"/>
        </w:rPr>
        <w:fldChar w:fldCharType="begin"/>
      </w:r>
      <w:r w:rsidR="00CA7A9A">
        <w:rPr>
          <w:lang w:val="en-US"/>
        </w:rPr>
        <w:instrText xml:space="preserve"> REF _Ref481694165 \r \h </w:instrText>
      </w:r>
      <w:r w:rsidR="00CA7A9A">
        <w:rPr>
          <w:lang w:val="en-US"/>
        </w:rPr>
      </w:r>
      <w:r w:rsidR="00CA7A9A">
        <w:rPr>
          <w:lang w:val="en-US"/>
        </w:rPr>
        <w:fldChar w:fldCharType="separate"/>
      </w:r>
      <w:r w:rsidR="00CA7A9A">
        <w:rPr>
          <w:lang w:val="en-US"/>
        </w:rPr>
        <w:t>[2]</w:t>
      </w:r>
      <w:r w:rsidR="00CA7A9A">
        <w:rPr>
          <w:lang w:val="en-US"/>
        </w:rPr>
        <w:fldChar w:fldCharType="end"/>
      </w:r>
      <w:r w:rsidR="00CA7A9A">
        <w:rPr>
          <w:lang w:val="en-US"/>
        </w:rPr>
        <w:t xml:space="preserve"> </w:t>
      </w:r>
      <w:r w:rsidR="001F7345" w:rsidRPr="00467348">
        <w:rPr>
          <w:lang w:val="en-US"/>
        </w:rPr>
        <w:t xml:space="preserve">there would be 4 resource elements </w:t>
      </w:r>
      <w:r>
        <w:rPr>
          <w:lang w:val="en-US"/>
        </w:rPr>
        <w:t>per PRB and per symbol resulting in</w:t>
      </w:r>
      <w:r w:rsidR="00CA62CA" w:rsidRPr="00467348">
        <w:rPr>
          <w:lang w:val="en-US"/>
        </w:rPr>
        <w:t xml:space="preserve"> </w:t>
      </w:r>
      <w:r>
        <w:rPr>
          <w:lang w:val="en-US"/>
        </w:rPr>
        <w:t>1</w:t>
      </w:r>
      <w:r w:rsidR="00CA62CA" w:rsidRPr="00467348">
        <w:rPr>
          <w:lang w:val="en-US"/>
        </w:rPr>
        <w:t>9</w:t>
      </w:r>
      <w:r>
        <w:rPr>
          <w:lang w:val="en-US"/>
        </w:rPr>
        <w:t>2</w:t>
      </w:r>
      <w:r w:rsidR="00CA62CA" w:rsidRPr="00467348">
        <w:rPr>
          <w:lang w:val="en-US"/>
        </w:rPr>
        <w:t xml:space="preserve"> </w:t>
      </w:r>
      <w:r>
        <w:rPr>
          <w:lang w:val="en-US"/>
        </w:rPr>
        <w:t>additional REs that that could be potentially used for SS block RSRP.</w:t>
      </w:r>
    </w:p>
    <w:p w14:paraId="30D67AD5" w14:textId="75C3DDEC" w:rsidR="00D0767D" w:rsidRDefault="006E067E" w:rsidP="00CA62CA">
      <w:pPr>
        <w:jc w:val="center"/>
        <w:rPr>
          <w:b/>
          <w:lang w:val="en-US"/>
        </w:rPr>
      </w:pPr>
      <w:r>
        <w:rPr>
          <w:b/>
          <w:noProof/>
          <w:lang w:val="fi-FI" w:eastAsia="fi-FI"/>
        </w:rPr>
        <w:drawing>
          <wp:inline distT="0" distB="0" distL="0" distR="0" wp14:anchorId="1CAD1817" wp14:editId="6DCB47B3">
            <wp:extent cx="3580280" cy="21929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8977" cy="2210484"/>
                    </a:xfrm>
                    <a:prstGeom prst="rect">
                      <a:avLst/>
                    </a:prstGeom>
                    <a:noFill/>
                  </pic:spPr>
                </pic:pic>
              </a:graphicData>
            </a:graphic>
          </wp:inline>
        </w:drawing>
      </w:r>
    </w:p>
    <w:p w14:paraId="7517F904" w14:textId="4338A764" w:rsidR="00785C1A" w:rsidRPr="006E067E" w:rsidRDefault="000148CE" w:rsidP="006E067E">
      <w:pPr>
        <w:pStyle w:val="Caption"/>
        <w:jc w:val="center"/>
        <w:rPr>
          <w:bCs/>
          <w:i w:val="0"/>
          <w:color w:val="000000" w:themeColor="text1"/>
          <w:sz w:val="20"/>
          <w:lang w:val="en-US"/>
        </w:rPr>
      </w:pPr>
      <w:r w:rsidRPr="000148CE">
        <w:rPr>
          <w:bCs/>
          <w:i w:val="0"/>
          <w:color w:val="000000" w:themeColor="text1"/>
          <w:sz w:val="20"/>
          <w:lang w:val="en-US"/>
        </w:rPr>
        <w:t xml:space="preserve"> </w:t>
      </w:r>
      <w:bookmarkStart w:id="0" w:name="_Ref481694084"/>
      <w:r w:rsidRPr="006E067E">
        <w:rPr>
          <w:b/>
          <w:i w:val="0"/>
          <w:color w:val="000000" w:themeColor="text1"/>
          <w:sz w:val="20"/>
        </w:rPr>
        <w:t xml:space="preserve">Figure </w:t>
      </w:r>
      <w:r w:rsidRPr="006E067E">
        <w:rPr>
          <w:b/>
          <w:i w:val="0"/>
          <w:color w:val="000000" w:themeColor="text1"/>
          <w:sz w:val="20"/>
        </w:rPr>
        <w:fldChar w:fldCharType="begin"/>
      </w:r>
      <w:r w:rsidRPr="006E067E">
        <w:rPr>
          <w:b/>
          <w:i w:val="0"/>
          <w:color w:val="000000" w:themeColor="text1"/>
          <w:sz w:val="20"/>
        </w:rPr>
        <w:instrText xml:space="preserve"> SEQ Figure \* ARABIC </w:instrText>
      </w:r>
      <w:r w:rsidRPr="006E067E">
        <w:rPr>
          <w:b/>
          <w:i w:val="0"/>
          <w:color w:val="000000" w:themeColor="text1"/>
          <w:sz w:val="20"/>
        </w:rPr>
        <w:fldChar w:fldCharType="separate"/>
      </w:r>
      <w:r w:rsidRPr="006E067E">
        <w:rPr>
          <w:b/>
          <w:i w:val="0"/>
          <w:noProof/>
          <w:color w:val="000000" w:themeColor="text1"/>
          <w:sz w:val="20"/>
        </w:rPr>
        <w:t>2</w:t>
      </w:r>
      <w:r w:rsidRPr="006E067E">
        <w:rPr>
          <w:b/>
          <w:i w:val="0"/>
          <w:color w:val="000000" w:themeColor="text1"/>
          <w:sz w:val="20"/>
        </w:rPr>
        <w:fldChar w:fldCharType="end"/>
      </w:r>
      <w:bookmarkEnd w:id="0"/>
      <w:r w:rsidR="005C3D51" w:rsidRPr="006E067E">
        <w:rPr>
          <w:b/>
          <w:bCs/>
          <w:i w:val="0"/>
          <w:color w:val="000000" w:themeColor="text1"/>
          <w:sz w:val="20"/>
          <w:lang w:val="en-US"/>
        </w:rPr>
        <w:t>.</w:t>
      </w:r>
      <w:r w:rsidR="005C3D51" w:rsidRPr="000148CE">
        <w:rPr>
          <w:bCs/>
          <w:i w:val="0"/>
          <w:color w:val="000000" w:themeColor="text1"/>
          <w:sz w:val="20"/>
          <w:lang w:val="en-US"/>
        </w:rPr>
        <w:t xml:space="preserve"> Il</w:t>
      </w:r>
      <w:r w:rsidR="00D0767D" w:rsidRPr="000148CE">
        <w:rPr>
          <w:bCs/>
          <w:i w:val="0"/>
          <w:color w:val="000000" w:themeColor="text1"/>
          <w:sz w:val="20"/>
          <w:lang w:val="en-US"/>
        </w:rPr>
        <w:t>l</w:t>
      </w:r>
      <w:r w:rsidR="005C3D51" w:rsidRPr="000148CE">
        <w:rPr>
          <w:bCs/>
          <w:i w:val="0"/>
          <w:color w:val="000000" w:themeColor="text1"/>
          <w:sz w:val="20"/>
          <w:lang w:val="en-US"/>
        </w:rPr>
        <w:t>ustra</w:t>
      </w:r>
      <w:r w:rsidR="00D0767D" w:rsidRPr="000148CE">
        <w:rPr>
          <w:bCs/>
          <w:i w:val="0"/>
          <w:color w:val="000000" w:themeColor="text1"/>
          <w:sz w:val="20"/>
          <w:lang w:val="en-US"/>
        </w:rPr>
        <w:t>t</w:t>
      </w:r>
      <w:r w:rsidR="005C3D51" w:rsidRPr="000148CE">
        <w:rPr>
          <w:bCs/>
          <w:i w:val="0"/>
          <w:color w:val="000000" w:themeColor="text1"/>
          <w:sz w:val="20"/>
          <w:lang w:val="en-US"/>
        </w:rPr>
        <w:t>ion of NR-SSS</w:t>
      </w:r>
      <w:r w:rsidR="00CA62CA" w:rsidRPr="000148CE">
        <w:rPr>
          <w:bCs/>
          <w:i w:val="0"/>
          <w:color w:val="000000" w:themeColor="text1"/>
          <w:sz w:val="20"/>
          <w:lang w:val="en-US"/>
        </w:rPr>
        <w:t>/PSS</w:t>
      </w:r>
      <w:r w:rsidR="005C3D51" w:rsidRPr="000148CE">
        <w:rPr>
          <w:bCs/>
          <w:i w:val="0"/>
          <w:color w:val="000000" w:themeColor="text1"/>
          <w:sz w:val="20"/>
          <w:lang w:val="en-US"/>
        </w:rPr>
        <w:t xml:space="preserve"> </w:t>
      </w:r>
      <w:r w:rsidR="00CA62CA" w:rsidRPr="000148CE">
        <w:rPr>
          <w:bCs/>
          <w:i w:val="0"/>
          <w:color w:val="000000" w:themeColor="text1"/>
          <w:sz w:val="20"/>
          <w:lang w:val="en-US"/>
        </w:rPr>
        <w:t>BW</w:t>
      </w:r>
      <w:r w:rsidR="005C3D51" w:rsidRPr="000148CE">
        <w:rPr>
          <w:bCs/>
          <w:i w:val="0"/>
          <w:color w:val="000000" w:themeColor="text1"/>
          <w:sz w:val="20"/>
          <w:lang w:val="en-US"/>
        </w:rPr>
        <w:t xml:space="preserve"> with respect to </w:t>
      </w:r>
      <w:r w:rsidR="00D0767D" w:rsidRPr="000148CE">
        <w:rPr>
          <w:bCs/>
          <w:i w:val="0"/>
          <w:color w:val="000000" w:themeColor="text1"/>
          <w:sz w:val="20"/>
          <w:lang w:val="en-US"/>
        </w:rPr>
        <w:t>PBCH</w:t>
      </w:r>
    </w:p>
    <w:p w14:paraId="5513A36F" w14:textId="10A68719" w:rsidR="00CA62CA" w:rsidRDefault="00CA62CA" w:rsidP="00CA62CA">
      <w:pPr>
        <w:rPr>
          <w:lang w:val="en-US"/>
        </w:rPr>
      </w:pPr>
      <w:r w:rsidRPr="00CA62CA">
        <w:rPr>
          <w:lang w:val="en-US"/>
        </w:rPr>
        <w:t xml:space="preserve">Due to the different BWs of NR-SSS and PBCH the number of usable PBCH DMRS </w:t>
      </w:r>
      <w:r w:rsidR="00DF264A">
        <w:rPr>
          <w:lang w:val="en-US"/>
        </w:rPr>
        <w:t xml:space="preserve">could </w:t>
      </w:r>
      <w:r w:rsidRPr="00CA62CA">
        <w:rPr>
          <w:lang w:val="en-US"/>
        </w:rPr>
        <w:t xml:space="preserve">be limited to </w:t>
      </w:r>
      <w:r w:rsidRPr="00EF7007">
        <w:rPr>
          <w:lang w:val="en-US"/>
        </w:rPr>
        <w:t>12 PRBs</w:t>
      </w:r>
      <w:r w:rsidRPr="00CA62CA">
        <w:rPr>
          <w:lang w:val="en-US"/>
        </w:rPr>
        <w:t xml:space="preserve"> (</w:t>
      </w:r>
      <w:r w:rsidR="00280BA4">
        <w:rPr>
          <w:lang w:val="en-US"/>
        </w:rPr>
        <w:t>resulting 96</w:t>
      </w:r>
      <w:r w:rsidRPr="00CA62CA">
        <w:rPr>
          <w:lang w:val="en-US"/>
        </w:rPr>
        <w:t xml:space="preserve"> REs)</w:t>
      </w:r>
      <w:r>
        <w:rPr>
          <w:lang w:val="en-US"/>
        </w:rPr>
        <w:t xml:space="preserve"> </w:t>
      </w:r>
      <w:r w:rsidR="00DF264A">
        <w:rPr>
          <w:lang w:val="en-US"/>
        </w:rPr>
        <w:t xml:space="preserve">for example to allow UE to limit </w:t>
      </w:r>
      <w:r>
        <w:rPr>
          <w:lang w:val="en-US"/>
        </w:rPr>
        <w:t>the minimum measurement bandwidth according to the NR-SSS</w:t>
      </w:r>
      <w:r w:rsidR="00EF7007">
        <w:rPr>
          <w:lang w:val="en-US"/>
        </w:rPr>
        <w:t>.</w:t>
      </w:r>
      <w:r>
        <w:rPr>
          <w:lang w:val="en-US"/>
        </w:rPr>
        <w:t xml:space="preserve"> </w:t>
      </w:r>
      <w:r w:rsidR="00DF264A">
        <w:rPr>
          <w:lang w:val="en-US"/>
        </w:rPr>
        <w:t>Naturally the measurement bandwidth for NR SS-Block-RSRP will be considered in RAN4 and depend also on the minimum performance requirements.</w:t>
      </w:r>
    </w:p>
    <w:p w14:paraId="6D4CCDA3" w14:textId="715E9CFE" w:rsidR="00EF7007" w:rsidRDefault="00EF7007" w:rsidP="00CA62CA">
      <w:pPr>
        <w:rPr>
          <w:lang w:val="en-US"/>
        </w:rPr>
      </w:pPr>
      <w:r>
        <w:rPr>
          <w:lang w:val="en-US"/>
        </w:rPr>
        <w:t>This results to following</w:t>
      </w:r>
      <w:r w:rsidR="007F12ED">
        <w:rPr>
          <w:lang w:val="en-US"/>
        </w:rPr>
        <w:t xml:space="preserve"> amount of REs with different</w:t>
      </w:r>
      <w:r>
        <w:rPr>
          <w:lang w:val="en-US"/>
        </w:rPr>
        <w:t xml:space="preserve"> options if we consider one SS block </w:t>
      </w:r>
      <w:r w:rsidR="007F12ED">
        <w:rPr>
          <w:lang w:val="en-US"/>
        </w:rPr>
        <w:t>measurement to be one L1 measurement sample</w:t>
      </w:r>
      <w:r>
        <w:rPr>
          <w:lang w:val="en-US"/>
        </w:rPr>
        <w:t>:</w:t>
      </w:r>
    </w:p>
    <w:p w14:paraId="6F391247" w14:textId="08A639C0" w:rsidR="00EF7007" w:rsidRPr="00CD73CA" w:rsidRDefault="007F12ED" w:rsidP="00CD73CA">
      <w:pPr>
        <w:pStyle w:val="ListParagraph"/>
        <w:numPr>
          <w:ilvl w:val="0"/>
          <w:numId w:val="14"/>
        </w:numPr>
        <w:rPr>
          <w:lang w:val="en-US"/>
        </w:rPr>
      </w:pPr>
      <w:r w:rsidRPr="00CD73CA">
        <w:rPr>
          <w:lang w:val="en-US"/>
        </w:rPr>
        <w:t>NR-SSS only: 127 resource elements /SS block</w:t>
      </w:r>
    </w:p>
    <w:p w14:paraId="1DA1DBF7" w14:textId="719F35AA" w:rsidR="00DE26DB" w:rsidRPr="0056524D" w:rsidRDefault="00DE26DB">
      <w:pPr>
        <w:pStyle w:val="ListParagraph"/>
        <w:numPr>
          <w:ilvl w:val="0"/>
          <w:numId w:val="14"/>
        </w:numPr>
        <w:rPr>
          <w:lang w:val="en-US"/>
        </w:rPr>
      </w:pPr>
      <w:r w:rsidRPr="00CD73CA">
        <w:rPr>
          <w:lang w:val="en-US"/>
        </w:rPr>
        <w:t>NR-SSS + PBCH DMRS (</w:t>
      </w:r>
      <w:r>
        <w:rPr>
          <w:lang w:val="en-US"/>
        </w:rPr>
        <w:t>24</w:t>
      </w:r>
      <w:r w:rsidRPr="00CD73CA">
        <w:rPr>
          <w:lang w:val="en-US"/>
        </w:rPr>
        <w:t xml:space="preserve"> PRB, </w:t>
      </w:r>
      <w:r>
        <w:rPr>
          <w:lang w:val="en-US"/>
        </w:rPr>
        <w:t>4/12 density</w:t>
      </w:r>
      <w:r w:rsidRPr="00CD73CA">
        <w:rPr>
          <w:lang w:val="en-US"/>
        </w:rPr>
        <w:t>): 127 + 192 = 319 resource elements /SS block</w:t>
      </w:r>
    </w:p>
    <w:p w14:paraId="481F21C2" w14:textId="3D73C6E4" w:rsidR="00CD73CA" w:rsidRPr="00280BA4" w:rsidRDefault="007F12ED">
      <w:pPr>
        <w:pStyle w:val="ListParagraph"/>
        <w:numPr>
          <w:ilvl w:val="0"/>
          <w:numId w:val="14"/>
        </w:numPr>
        <w:rPr>
          <w:lang w:val="en-US"/>
        </w:rPr>
      </w:pPr>
      <w:r w:rsidRPr="00CD73CA">
        <w:rPr>
          <w:lang w:val="en-US"/>
        </w:rPr>
        <w:t>NR-SSS + PBCH DMRS (12 PRB,</w:t>
      </w:r>
      <w:r w:rsidR="00280BA4">
        <w:rPr>
          <w:lang w:val="en-US"/>
        </w:rPr>
        <w:t xml:space="preserve"> </w:t>
      </w:r>
      <w:r w:rsidR="001F7345">
        <w:rPr>
          <w:lang w:val="en-US"/>
        </w:rPr>
        <w:t>4</w:t>
      </w:r>
      <w:r w:rsidR="008112E5">
        <w:rPr>
          <w:lang w:val="en-US"/>
        </w:rPr>
        <w:t>/12 density</w:t>
      </w:r>
      <w:r w:rsidRPr="00CD73CA">
        <w:rPr>
          <w:lang w:val="en-US"/>
        </w:rPr>
        <w:t xml:space="preserve">): 127 + </w:t>
      </w:r>
      <w:r w:rsidR="00280BA4">
        <w:rPr>
          <w:lang w:val="en-US"/>
        </w:rPr>
        <w:t>96</w:t>
      </w:r>
      <w:r w:rsidRPr="00CD73CA">
        <w:rPr>
          <w:lang w:val="en-US"/>
        </w:rPr>
        <w:t xml:space="preserve"> = </w:t>
      </w:r>
      <w:r w:rsidR="00280BA4">
        <w:rPr>
          <w:lang w:val="en-US"/>
        </w:rPr>
        <w:t>223</w:t>
      </w:r>
      <w:r w:rsidRPr="00CD73CA">
        <w:rPr>
          <w:lang w:val="en-US"/>
        </w:rPr>
        <w:t xml:space="preserve"> </w:t>
      </w:r>
      <w:r w:rsidR="006006E2" w:rsidRPr="00CD73CA">
        <w:rPr>
          <w:lang w:val="en-US"/>
        </w:rPr>
        <w:t>resource elements /SS block</w:t>
      </w:r>
    </w:p>
    <w:p w14:paraId="72FA6269" w14:textId="1E8038A0" w:rsidR="00783D3B" w:rsidRDefault="002B6D41" w:rsidP="00CA7A9A">
      <w:pPr>
        <w:rPr>
          <w:lang w:val="en-US"/>
        </w:rPr>
      </w:pPr>
      <w:r>
        <w:rPr>
          <w:lang w:val="en-US"/>
        </w:rPr>
        <w:t xml:space="preserve">To </w:t>
      </w:r>
      <w:r w:rsidR="00DE26DB">
        <w:rPr>
          <w:lang w:val="en-US"/>
        </w:rPr>
        <w:t xml:space="preserve">simplify the </w:t>
      </w:r>
      <w:proofErr w:type="spellStart"/>
      <w:r w:rsidR="00DE26DB">
        <w:rPr>
          <w:lang w:val="en-US"/>
        </w:rPr>
        <w:t>neighbour</w:t>
      </w:r>
      <w:proofErr w:type="spellEnd"/>
      <w:r w:rsidR="00DE26DB">
        <w:rPr>
          <w:lang w:val="en-US"/>
        </w:rPr>
        <w:t xml:space="preserve"> cell measurements</w:t>
      </w:r>
      <w:r>
        <w:rPr>
          <w:lang w:val="en-US"/>
        </w:rPr>
        <w:t xml:space="preserve"> </w:t>
      </w:r>
      <w:r w:rsidR="00DE26DB">
        <w:rPr>
          <w:lang w:val="en-US"/>
        </w:rPr>
        <w:t xml:space="preserve">the minimum </w:t>
      </w:r>
      <w:r>
        <w:rPr>
          <w:lang w:val="en-US"/>
        </w:rPr>
        <w:t xml:space="preserve">measurement bandwidth </w:t>
      </w:r>
      <w:r w:rsidR="00DE26DB">
        <w:rPr>
          <w:lang w:val="en-US"/>
        </w:rPr>
        <w:t xml:space="preserve">could be considered to be restricted to 12 PRBs </w:t>
      </w:r>
      <w:r>
        <w:rPr>
          <w:lang w:val="en-US"/>
        </w:rPr>
        <w:t>in one SS block</w:t>
      </w:r>
      <w:r w:rsidR="00DE26DB">
        <w:rPr>
          <w:lang w:val="en-US"/>
        </w:rPr>
        <w:t>, i.e. only part of</w:t>
      </w:r>
      <w:r>
        <w:rPr>
          <w:lang w:val="en-US"/>
        </w:rPr>
        <w:t xml:space="preserve"> PBCH DMRS symbols</w:t>
      </w:r>
      <w:r w:rsidR="00DE26DB">
        <w:rPr>
          <w:lang w:val="en-US"/>
        </w:rPr>
        <w:t xml:space="preserve"> would be used.</w:t>
      </w:r>
      <w:r>
        <w:rPr>
          <w:lang w:val="en-US"/>
        </w:rPr>
        <w:t xml:space="preserve"> considered. With these options the PBCH DMRS used for RSRP calculation need to be on PRB locations corresponding to NR-SSS.</w:t>
      </w:r>
      <w:r w:rsidR="000148CE">
        <w:rPr>
          <w:lang w:val="en-US"/>
        </w:rPr>
        <w:t xml:space="preserve"> </w:t>
      </w:r>
      <w:r w:rsidR="00DE26DB">
        <w:rPr>
          <w:lang w:val="en-US"/>
        </w:rPr>
        <w:t>This should be evaluated jointly considering the impact for example to L1 measurement period</w:t>
      </w:r>
      <w:r w:rsidR="0056524D">
        <w:rPr>
          <w:lang w:val="en-US"/>
        </w:rPr>
        <w:t>. L1 measurement period is determined by RAN4 and therefore it would seem that the decision whether NR-PBCH DMRS should be used in addition to NR-SSS would need to be made in RAN4.</w:t>
      </w:r>
    </w:p>
    <w:p w14:paraId="02ECB33A" w14:textId="24B30EC1" w:rsidR="000148CE" w:rsidRDefault="00783D3B" w:rsidP="00CA7A9A">
      <w:pPr>
        <w:rPr>
          <w:lang w:val="en-US"/>
        </w:rPr>
      </w:pPr>
      <w:r w:rsidRPr="000148CE">
        <w:rPr>
          <w:b/>
          <w:bCs/>
          <w:lang w:val="en-US"/>
        </w:rPr>
        <w:lastRenderedPageBreak/>
        <w:t>Observation 2</w:t>
      </w:r>
      <w:r>
        <w:rPr>
          <w:lang w:val="en-US"/>
        </w:rPr>
        <w:t>: RSRP accuracy requirements and whether the PBCH DMRS is used in addition to NR-SSS to calculate SS Block RSRP is RAN4 issue.</w:t>
      </w:r>
    </w:p>
    <w:p w14:paraId="0AA68F48" w14:textId="74FD5C3C" w:rsidR="00280BA4" w:rsidRPr="00280BA4" w:rsidRDefault="00280BA4" w:rsidP="00280BA4">
      <w:pPr>
        <w:rPr>
          <w:lang w:val="en-US"/>
        </w:rPr>
      </w:pPr>
      <w:r w:rsidRPr="00280BA4">
        <w:rPr>
          <w:lang w:val="en-US"/>
        </w:rPr>
        <w:t>One additional aspect</w:t>
      </w:r>
      <w:r w:rsidR="0056524D">
        <w:rPr>
          <w:lang w:val="en-US"/>
        </w:rPr>
        <w:t xml:space="preserve">, discussed in the next </w:t>
      </w:r>
      <w:r w:rsidR="00CA7A9A">
        <w:rPr>
          <w:lang w:val="en-US"/>
        </w:rPr>
        <w:t>section</w:t>
      </w:r>
      <w:r w:rsidR="0056524D">
        <w:rPr>
          <w:lang w:val="en-US"/>
        </w:rPr>
        <w:t xml:space="preserve">, that </w:t>
      </w:r>
      <w:r w:rsidRPr="00280BA4">
        <w:rPr>
          <w:lang w:val="en-US"/>
        </w:rPr>
        <w:t xml:space="preserve">with SS block RSRP measurements </w:t>
      </w:r>
      <w:r w:rsidR="0056524D">
        <w:rPr>
          <w:lang w:val="en-US"/>
        </w:rPr>
        <w:t xml:space="preserve">report </w:t>
      </w:r>
      <w:r w:rsidRPr="00280BA4">
        <w:rPr>
          <w:lang w:val="en-US"/>
        </w:rPr>
        <w:t xml:space="preserve">is the SS block index </w:t>
      </w:r>
      <w:r>
        <w:rPr>
          <w:lang w:val="en-US"/>
        </w:rPr>
        <w:t>should be</w:t>
      </w:r>
      <w:r w:rsidRPr="00280BA4">
        <w:rPr>
          <w:lang w:val="en-US"/>
        </w:rPr>
        <w:t xml:space="preserve"> </w:t>
      </w:r>
      <w:r w:rsidR="0056524D">
        <w:rPr>
          <w:lang w:val="en-US"/>
        </w:rPr>
        <w:t xml:space="preserve">provided. if identifying the SS Block index requires UE to always decode the NR-PBCH, there would not appear to be any reason to not to use NR-PBCH DMRS for SS Block RSRP measurements. However there can be several conditions (repeated samples on identified SS Block, known timing relations) when UE would not be required to re-obtain the SS Block identity and therefore, there cannot be said to be such general condition. The aspects related to SS Block index indication are discussed in </w:t>
      </w:r>
      <w:r w:rsidR="0056524D" w:rsidRPr="00280BA4" w:rsidDel="0056524D">
        <w:rPr>
          <w:lang w:val="en-US"/>
        </w:rPr>
        <w:t xml:space="preserve"> </w:t>
      </w:r>
      <w:r w:rsidR="00783D3B">
        <w:rPr>
          <w:lang w:val="en-US"/>
        </w:rPr>
        <w:fldChar w:fldCharType="begin"/>
      </w:r>
      <w:r w:rsidR="00783D3B">
        <w:rPr>
          <w:lang w:val="en-US"/>
        </w:rPr>
        <w:instrText xml:space="preserve"> REF _Ref481732482 \r \h </w:instrText>
      </w:r>
      <w:r w:rsidR="00783D3B">
        <w:rPr>
          <w:lang w:val="en-US"/>
        </w:rPr>
      </w:r>
      <w:r w:rsidR="00783D3B">
        <w:rPr>
          <w:lang w:val="en-US"/>
        </w:rPr>
        <w:fldChar w:fldCharType="separate"/>
      </w:r>
      <w:r w:rsidR="00783D3B">
        <w:rPr>
          <w:lang w:val="en-US"/>
        </w:rPr>
        <w:t>[5]</w:t>
      </w:r>
      <w:r w:rsidR="00783D3B">
        <w:rPr>
          <w:lang w:val="en-US"/>
        </w:rPr>
        <w:fldChar w:fldCharType="end"/>
      </w:r>
      <w:r w:rsidR="00783D3B">
        <w:rPr>
          <w:lang w:val="en-US"/>
        </w:rPr>
        <w:t>.</w:t>
      </w:r>
    </w:p>
    <w:p w14:paraId="2768294E" w14:textId="08C08AEF" w:rsidR="004D3330" w:rsidRPr="000148CE" w:rsidRDefault="004D3330">
      <w:pPr>
        <w:rPr>
          <w:b/>
          <w:bCs/>
          <w:lang w:val="en-US"/>
        </w:rPr>
      </w:pPr>
      <w:r w:rsidRPr="000148CE">
        <w:rPr>
          <w:b/>
          <w:bCs/>
          <w:lang w:val="en-US"/>
        </w:rPr>
        <w:t xml:space="preserve">Proposal 1: </w:t>
      </w:r>
      <w:r w:rsidR="00EF7007" w:rsidRPr="00EF7007">
        <w:rPr>
          <w:lang w:val="en-US"/>
        </w:rPr>
        <w:t xml:space="preserve">Whether PBCH DMRS </w:t>
      </w:r>
      <w:r w:rsidR="00DE26DB">
        <w:rPr>
          <w:lang w:val="en-US"/>
        </w:rPr>
        <w:t>are</w:t>
      </w:r>
      <w:r w:rsidR="00EF7007" w:rsidRPr="00EF7007">
        <w:rPr>
          <w:lang w:val="en-US"/>
        </w:rPr>
        <w:t xml:space="preserve"> used in addition to NR-SSS to derive SS-Block-RSRP</w:t>
      </w:r>
      <w:r w:rsidR="00DE26DB">
        <w:rPr>
          <w:lang w:val="en-US"/>
        </w:rPr>
        <w:t xml:space="preserve"> measurements</w:t>
      </w:r>
      <w:r w:rsidR="00EF7007" w:rsidRPr="00EF7007">
        <w:rPr>
          <w:lang w:val="en-US"/>
        </w:rPr>
        <w:t xml:space="preserve"> </w:t>
      </w:r>
      <w:r w:rsidR="00DE26DB">
        <w:rPr>
          <w:lang w:val="en-US"/>
        </w:rPr>
        <w:t xml:space="preserve">should be considered </w:t>
      </w:r>
      <w:r w:rsidRPr="00EF7007">
        <w:rPr>
          <w:lang w:val="en-US"/>
        </w:rPr>
        <w:t xml:space="preserve">RAN4 </w:t>
      </w:r>
      <w:r w:rsidR="00DE26DB">
        <w:rPr>
          <w:lang w:val="en-US"/>
        </w:rPr>
        <w:t>based on the performance merits</w:t>
      </w:r>
      <w:r w:rsidRPr="00EF7007">
        <w:rPr>
          <w:lang w:val="en-US"/>
        </w:rPr>
        <w:t>.</w:t>
      </w:r>
    </w:p>
    <w:p w14:paraId="4635422D" w14:textId="04388920" w:rsidR="00010F2D" w:rsidRPr="00010F2D" w:rsidRDefault="00010F2D" w:rsidP="00CD4C7B">
      <w:pPr>
        <w:rPr>
          <w:b/>
          <w:lang w:val="en-US"/>
        </w:rPr>
      </w:pPr>
      <w:r>
        <w:rPr>
          <w:b/>
          <w:lang w:val="en-US"/>
        </w:rPr>
        <w:t xml:space="preserve"> </w:t>
      </w:r>
    </w:p>
    <w:p w14:paraId="5A517FB6" w14:textId="74C71ECB" w:rsidR="0094021A" w:rsidRDefault="00591B5D" w:rsidP="00F15128">
      <w:pPr>
        <w:pStyle w:val="Heading1"/>
      </w:pPr>
      <w:r>
        <w:t>4</w:t>
      </w:r>
      <w:r w:rsidR="00583748">
        <w:t xml:space="preserve"> </w:t>
      </w:r>
      <w:r w:rsidR="00583748">
        <w:tab/>
      </w:r>
      <w:r w:rsidR="00752B6E">
        <w:t>SS Block Index</w:t>
      </w:r>
    </w:p>
    <w:p w14:paraId="2AC49CC4" w14:textId="0F123095" w:rsidR="0094021A" w:rsidRDefault="0094021A" w:rsidP="0094021A">
      <w:r>
        <w:t>From 38.802</w:t>
      </w:r>
      <w:r w:rsidR="00DF264A">
        <w:t xml:space="preserve"> it is stated that</w:t>
      </w:r>
      <w:r>
        <w:t>:</w:t>
      </w:r>
    </w:p>
    <w:p w14:paraId="5AA5685A" w14:textId="4380DB4D" w:rsidR="0094021A" w:rsidRPr="000148CE" w:rsidRDefault="0094021A" w:rsidP="00CA7A9A">
      <w:pPr>
        <w:ind w:left="284"/>
        <w:rPr>
          <w:i/>
          <w:iCs/>
          <w:lang w:val="en-US" w:eastAsia="ja-JP"/>
        </w:rPr>
      </w:pPr>
      <w:r w:rsidRPr="00CA7A9A">
        <w:rPr>
          <w:i/>
          <w:iCs/>
          <w:lang w:val="en-US" w:eastAsia="ja-JP"/>
        </w:rPr>
        <w:t>At least for multi-beams case, at least the time index of SS-block is indicated to the UE.</w:t>
      </w:r>
    </w:p>
    <w:p w14:paraId="416A01A6" w14:textId="39C2CF46" w:rsidR="000E7189" w:rsidRPr="00CA7A9A" w:rsidRDefault="000E7189">
      <w:pPr>
        <w:rPr>
          <w:iCs/>
          <w:lang w:val="en-US" w:eastAsia="ja-JP"/>
        </w:rPr>
      </w:pPr>
      <w:r w:rsidRPr="00CA7A9A">
        <w:rPr>
          <w:iCs/>
          <w:lang w:val="en-US" w:eastAsia="ja-JP"/>
        </w:rPr>
        <w:t>In addition RAN2 has agreed following:</w:t>
      </w:r>
    </w:p>
    <w:p w14:paraId="05369A59" w14:textId="77777777" w:rsidR="000E7189" w:rsidRDefault="000E7189" w:rsidP="000E7189">
      <w:pPr>
        <w:pStyle w:val="Doc-text2"/>
      </w:pPr>
    </w:p>
    <w:p w14:paraId="1ACBFB49" w14:textId="77777777" w:rsidR="000E7189" w:rsidRPr="00A758AD" w:rsidRDefault="000E7189" w:rsidP="000E7189">
      <w:pPr>
        <w:pStyle w:val="Doc-text2"/>
        <w:pBdr>
          <w:top w:val="single" w:sz="4" w:space="1" w:color="auto"/>
          <w:left w:val="single" w:sz="4" w:space="1" w:color="auto"/>
          <w:bottom w:val="single" w:sz="4" w:space="1" w:color="auto"/>
          <w:right w:val="single" w:sz="4" w:space="4" w:color="auto"/>
        </w:pBdr>
      </w:pPr>
      <w:r>
        <w:t>Agreements</w:t>
      </w:r>
    </w:p>
    <w:p w14:paraId="1E73E6C7" w14:textId="77777777" w:rsidR="000E7189" w:rsidRDefault="000E7189" w:rsidP="000E7189">
      <w:pPr>
        <w:pStyle w:val="Doc-text2"/>
        <w:pBdr>
          <w:top w:val="single" w:sz="4" w:space="1" w:color="auto"/>
          <w:left w:val="single" w:sz="4" w:space="1" w:color="auto"/>
          <w:bottom w:val="single" w:sz="4" w:space="1" w:color="auto"/>
          <w:right w:val="single" w:sz="4" w:space="4" w:color="auto"/>
        </w:pBdr>
      </w:pPr>
      <w:r>
        <w:t>1</w:t>
      </w:r>
      <w:r>
        <w:tab/>
        <w:t>In NR, as in LTE, it should be possible to include cell quality (e.g. RSRP and/or RSRQ) in the measurement report.</w:t>
      </w:r>
    </w:p>
    <w:p w14:paraId="5F69302A" w14:textId="77777777" w:rsidR="000E7189" w:rsidRDefault="000E7189" w:rsidP="000E7189">
      <w:pPr>
        <w:pStyle w:val="Doc-text2"/>
        <w:pBdr>
          <w:top w:val="single" w:sz="4" w:space="1" w:color="auto"/>
          <w:left w:val="single" w:sz="4" w:space="1"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14:paraId="6169AD39" w14:textId="77777777" w:rsidR="000E7189" w:rsidRDefault="000E7189" w:rsidP="000E7189">
      <w:pPr>
        <w:pStyle w:val="Doc-text2"/>
        <w:pBdr>
          <w:top w:val="single" w:sz="4" w:space="1" w:color="auto"/>
          <w:left w:val="single" w:sz="4" w:space="1" w:color="auto"/>
          <w:bottom w:val="single" w:sz="4" w:space="1" w:color="auto"/>
          <w:right w:val="single" w:sz="4" w:space="4" w:color="auto"/>
        </w:pBdr>
      </w:pPr>
      <w:r>
        <w:t xml:space="preserve">FFS whether it is needed for all events. </w:t>
      </w:r>
    </w:p>
    <w:p w14:paraId="2E27481D" w14:textId="77777777" w:rsidR="000E7189" w:rsidRDefault="000E7189" w:rsidP="000E7189">
      <w:pPr>
        <w:pStyle w:val="Doc-text2"/>
        <w:pBdr>
          <w:top w:val="single" w:sz="4" w:space="1" w:color="auto"/>
          <w:left w:val="single" w:sz="4" w:space="1" w:color="auto"/>
          <w:bottom w:val="single" w:sz="4" w:space="1" w:color="auto"/>
          <w:right w:val="single" w:sz="4" w:space="4" w:color="auto"/>
        </w:pBdr>
      </w:pPr>
      <w:r>
        <w:t xml:space="preserve">FFS how the UE can choose the best beams. </w:t>
      </w:r>
    </w:p>
    <w:p w14:paraId="3406434C" w14:textId="77777777" w:rsidR="000E7189" w:rsidRDefault="000E7189" w:rsidP="000E7189">
      <w:pPr>
        <w:pStyle w:val="Doc-text2"/>
        <w:pBdr>
          <w:top w:val="single" w:sz="4" w:space="1" w:color="auto"/>
          <w:left w:val="single" w:sz="4" w:space="1" w:color="auto"/>
          <w:bottom w:val="single" w:sz="4" w:space="1" w:color="auto"/>
          <w:right w:val="single" w:sz="4" w:space="4" w:color="auto"/>
        </w:pBdr>
      </w:pPr>
      <w:r>
        <w:t>FFS whether quality of the beams are also reported</w:t>
      </w:r>
    </w:p>
    <w:p w14:paraId="6F508E60" w14:textId="77777777" w:rsidR="000E7189" w:rsidRDefault="000E7189" w:rsidP="000E7189">
      <w:pPr>
        <w:pStyle w:val="Doc-text2"/>
        <w:pBdr>
          <w:top w:val="single" w:sz="4" w:space="1" w:color="auto"/>
          <w:left w:val="single" w:sz="4" w:space="1" w:color="auto"/>
          <w:bottom w:val="single" w:sz="4" w:space="1" w:color="auto"/>
          <w:right w:val="single" w:sz="4" w:space="4" w:color="auto"/>
        </w:pBdr>
      </w:pPr>
      <w:r>
        <w:t>FFS whether the same applies for CSI-RS</w:t>
      </w:r>
    </w:p>
    <w:p w14:paraId="6DEDA889" w14:textId="56378119" w:rsidR="000E7189" w:rsidRDefault="000E7189" w:rsidP="0094021A">
      <w:pPr>
        <w:rPr>
          <w:i/>
          <w:lang w:val="en-US" w:eastAsia="ja-JP"/>
        </w:rPr>
      </w:pPr>
    </w:p>
    <w:p w14:paraId="4B251B04" w14:textId="575BF89E" w:rsidR="00F15128" w:rsidRPr="00B1470E" w:rsidRDefault="00D86E80" w:rsidP="0094021A">
      <w:r>
        <w:rPr>
          <w:lang w:val="en-US" w:eastAsia="ja-JP"/>
        </w:rPr>
        <w:t xml:space="preserve">To reflect the RAN2 agreement we list the following </w:t>
      </w:r>
      <w:r w:rsidR="00F15128" w:rsidRPr="00B1470E">
        <w:rPr>
          <w:lang w:val="en-US" w:eastAsia="ja-JP"/>
        </w:rPr>
        <w:t>use cases for SS block I</w:t>
      </w:r>
      <w:r>
        <w:rPr>
          <w:lang w:val="en-US" w:eastAsia="ja-JP"/>
        </w:rPr>
        <w:t>dentifier</w:t>
      </w:r>
      <w:r w:rsidR="00F15128" w:rsidRPr="00B1470E">
        <w:rPr>
          <w:lang w:val="en-US" w:eastAsia="ja-JP"/>
        </w:rPr>
        <w:t>:</w:t>
      </w:r>
    </w:p>
    <w:p w14:paraId="66603B00" w14:textId="4A26E4A6" w:rsidR="00F15128" w:rsidRDefault="00F15128" w:rsidP="0094021A">
      <w:r w:rsidRPr="000148CE">
        <w:rPr>
          <w:b/>
          <w:bCs/>
        </w:rPr>
        <w:t>SS Block RSRP</w:t>
      </w:r>
    </w:p>
    <w:p w14:paraId="7413D8E0" w14:textId="39194E88" w:rsidR="00CD73CA" w:rsidRDefault="00DE26DB" w:rsidP="0094021A">
      <w:r>
        <w:t xml:space="preserve">It has been agreed in that UE may assume that given SS block is repeated with an SS burst set periodicity (RAN1 NR AH#1, Spokane). </w:t>
      </w:r>
      <w:r w:rsidR="00F15128">
        <w:t>T</w:t>
      </w:r>
      <w:r w:rsidR="00CD73CA">
        <w:t>he exact definition for SS Block RSRP is still open (whether PBCH DRMS is additionally used) but regardless of the used signals UE should be ab</w:t>
      </w:r>
      <w:r w:rsidR="00F15128">
        <w:t>le to differentiate different SS blocks</w:t>
      </w:r>
      <w:r w:rsidR="00CD73CA">
        <w:t xml:space="preserve"> in order to</w:t>
      </w:r>
      <w:r w:rsidR="00F15128">
        <w:t xml:space="preserve"> measure</w:t>
      </w:r>
      <w:r>
        <w:t xml:space="preserve"> and report them.</w:t>
      </w:r>
      <w:r w:rsidR="00DF264A">
        <w:t xml:space="preserve"> </w:t>
      </w:r>
      <w:r>
        <w:t>As per RAN2 agreement, there could be events which require UE to provide the SS block identifier as a part of triggered report.</w:t>
      </w:r>
    </w:p>
    <w:p w14:paraId="228BC4D0" w14:textId="77777777" w:rsidR="00DF264A" w:rsidRPr="000148CE" w:rsidRDefault="00DF264A" w:rsidP="00DF264A">
      <w:pPr>
        <w:rPr>
          <w:b/>
          <w:bCs/>
        </w:rPr>
      </w:pPr>
      <w:r w:rsidRPr="000148CE">
        <w:rPr>
          <w:b/>
          <w:bCs/>
        </w:rPr>
        <w:t>Measurement Reporting</w:t>
      </w:r>
    </w:p>
    <w:p w14:paraId="7DDC2B83" w14:textId="6C7AAA8F" w:rsidR="00DF264A" w:rsidRDefault="00DF264A">
      <w:pPr>
        <w:rPr>
          <w:b/>
          <w:bCs/>
        </w:rPr>
      </w:pPr>
      <w:r>
        <w:t xml:space="preserve">In CONNECTED mode UE performs measurements on SS block signals, at least to detect adjacent cells. SS block index provides context for measurements and serves as “beam identifier” for mobility: e.g. UE may be configured to report RSRP on N-best SS blocks a detected cell. </w:t>
      </w:r>
      <w:r w:rsidR="00DE26DB">
        <w:t xml:space="preserve">Based on the provided report network can then configure further actions e.g. configured UE to measure CSI-RS from the beams identified by the SS Block RSRP report. </w:t>
      </w:r>
    </w:p>
    <w:p w14:paraId="1A09AC98" w14:textId="713448DD" w:rsidR="00F15128" w:rsidRPr="000148CE" w:rsidRDefault="00F15128">
      <w:pPr>
        <w:rPr>
          <w:b/>
          <w:bCs/>
        </w:rPr>
      </w:pPr>
      <w:r w:rsidRPr="000148CE">
        <w:rPr>
          <w:b/>
          <w:bCs/>
        </w:rPr>
        <w:t>Beam Indexing</w:t>
      </w:r>
    </w:p>
    <w:p w14:paraId="3FE08B23" w14:textId="3410A54C" w:rsidR="0094021A" w:rsidRDefault="0094021A" w:rsidP="0094021A">
      <w:r>
        <w:t xml:space="preserve">To enable indexing of </w:t>
      </w:r>
      <w:proofErr w:type="spellStart"/>
      <w:r>
        <w:t>gNB</w:t>
      </w:r>
      <w:proofErr w:type="spellEnd"/>
      <w:r>
        <w:t xml:space="preserve"> DL TX beams, the SS block index together with the associated mobility CSI-RS ports can be used to derive logical beam indices. The logical beam index space would be unique in a cell. Beam index can be used when reporting beam measurements or used by network to indicate a DL TX beam by referring to an index.</w:t>
      </w:r>
    </w:p>
    <w:p w14:paraId="08512F47" w14:textId="22D53451" w:rsidR="00F15128" w:rsidRPr="000148CE" w:rsidRDefault="00F15128">
      <w:pPr>
        <w:rPr>
          <w:b/>
          <w:bCs/>
        </w:rPr>
      </w:pPr>
      <w:r w:rsidRPr="000148CE">
        <w:rPr>
          <w:b/>
          <w:bCs/>
        </w:rPr>
        <w:t>RACH Resource Partitioning</w:t>
      </w:r>
    </w:p>
    <w:p w14:paraId="2007E8F3" w14:textId="4DA37390" w:rsidR="00817EDB" w:rsidRDefault="0094021A" w:rsidP="00CD4C7B">
      <w:r>
        <w:t xml:space="preserve">NR should support RACH resource configuration where an SS block is associated to specific RACH occasion at least in multi beam operation. By associating specific SS block to set of RACH resources, UE can indicate </w:t>
      </w:r>
      <w:proofErr w:type="spellStart"/>
      <w:r>
        <w:t>gNB</w:t>
      </w:r>
      <w:proofErr w:type="spellEnd"/>
      <w:r>
        <w:t xml:space="preserve"> the preferred SS block based on the RACH resource association.</w:t>
      </w:r>
    </w:p>
    <w:p w14:paraId="12953767" w14:textId="3B1F61C0" w:rsidR="00F15128" w:rsidRPr="000148CE" w:rsidRDefault="00F15128">
      <w:pPr>
        <w:rPr>
          <w:b/>
          <w:bCs/>
        </w:rPr>
      </w:pPr>
      <w:r w:rsidRPr="000148CE">
        <w:rPr>
          <w:b/>
          <w:bCs/>
        </w:rPr>
        <w:lastRenderedPageBreak/>
        <w:t xml:space="preserve">Proposal </w:t>
      </w:r>
      <w:r w:rsidR="00280BA4" w:rsidRPr="000148CE">
        <w:rPr>
          <w:b/>
          <w:bCs/>
        </w:rPr>
        <w:t>2</w:t>
      </w:r>
      <w:r w:rsidRPr="000148CE">
        <w:rPr>
          <w:b/>
          <w:bCs/>
        </w:rPr>
        <w:t>: Use time index of an SS block as SS Block Identifier</w:t>
      </w:r>
    </w:p>
    <w:p w14:paraId="3DF5DFE3" w14:textId="4786B1C8" w:rsidR="00591B5D" w:rsidRDefault="00591B5D" w:rsidP="00CD4C7B">
      <w:pPr>
        <w:rPr>
          <w:b/>
        </w:rPr>
      </w:pPr>
    </w:p>
    <w:p w14:paraId="4176F25A" w14:textId="512AE128" w:rsidR="00591B5D" w:rsidRPr="006E13D1" w:rsidRDefault="00591B5D" w:rsidP="00591B5D">
      <w:pPr>
        <w:pStyle w:val="Heading1"/>
      </w:pPr>
      <w:r>
        <w:t>5</w:t>
      </w:r>
      <w:r>
        <w:tab/>
        <w:t>Conclusions</w:t>
      </w:r>
    </w:p>
    <w:p w14:paraId="743A7177" w14:textId="269C85B3" w:rsidR="003873D3" w:rsidRPr="003873D3" w:rsidRDefault="003873D3" w:rsidP="00591B5D">
      <w:pPr>
        <w:rPr>
          <w:bCs/>
        </w:rPr>
      </w:pPr>
      <w:r w:rsidRPr="003873D3">
        <w:rPr>
          <w:bCs/>
        </w:rPr>
        <w:t>In this paper we discuss the SS block RSRP measurements; and make following observations and proposals:-</w:t>
      </w:r>
    </w:p>
    <w:p w14:paraId="49F406B4" w14:textId="75F2E24B" w:rsidR="00591B5D" w:rsidRDefault="003873D3" w:rsidP="00591B5D">
      <w:r w:rsidRPr="000148CE">
        <w:rPr>
          <w:b/>
          <w:bCs/>
        </w:rPr>
        <w:t>Observation 1</w:t>
      </w:r>
      <w:r>
        <w:t>: LTE measurement accuracy requirement can be reached with using two samples with sequence length of 127 when using NR-SSS</w:t>
      </w:r>
    </w:p>
    <w:p w14:paraId="01E042B3" w14:textId="66A3EB76" w:rsidR="003873D3" w:rsidRPr="003873D3" w:rsidRDefault="003873D3" w:rsidP="00591B5D">
      <w:pPr>
        <w:rPr>
          <w:lang w:val="en-US"/>
        </w:rPr>
      </w:pPr>
      <w:r w:rsidRPr="000148CE">
        <w:rPr>
          <w:b/>
          <w:bCs/>
          <w:lang w:val="en-US"/>
        </w:rPr>
        <w:t>Observation 2</w:t>
      </w:r>
      <w:r>
        <w:rPr>
          <w:lang w:val="en-US"/>
        </w:rPr>
        <w:t>: RSRP accuracy requirements and whether the PBCH DMRS is used in addition to NR-SSS to calculate SS Block RSRP is RAN4 issue.</w:t>
      </w:r>
      <w:bookmarkStart w:id="1" w:name="_GoBack"/>
      <w:bookmarkEnd w:id="1"/>
    </w:p>
    <w:p w14:paraId="7F93A69C" w14:textId="77777777" w:rsidR="00783D3B" w:rsidRPr="000148CE" w:rsidRDefault="00783D3B" w:rsidP="00783D3B">
      <w:pPr>
        <w:rPr>
          <w:b/>
          <w:bCs/>
          <w:lang w:val="en-US"/>
        </w:rPr>
      </w:pPr>
      <w:r w:rsidRPr="000148CE">
        <w:rPr>
          <w:b/>
          <w:bCs/>
          <w:lang w:val="en-US"/>
        </w:rPr>
        <w:t xml:space="preserve">Proposal 1: </w:t>
      </w:r>
      <w:r w:rsidRPr="00EF7007">
        <w:rPr>
          <w:lang w:val="en-US"/>
        </w:rPr>
        <w:t xml:space="preserve">Whether PBCH DMRS </w:t>
      </w:r>
      <w:r>
        <w:rPr>
          <w:lang w:val="en-US"/>
        </w:rPr>
        <w:t>are</w:t>
      </w:r>
      <w:r w:rsidRPr="00EF7007">
        <w:rPr>
          <w:lang w:val="en-US"/>
        </w:rPr>
        <w:t xml:space="preserve"> used in addition to NR-SSS to derive SS-Block-RSRP</w:t>
      </w:r>
      <w:r>
        <w:rPr>
          <w:lang w:val="en-US"/>
        </w:rPr>
        <w:t xml:space="preserve"> measurements</w:t>
      </w:r>
      <w:r w:rsidRPr="00EF7007">
        <w:rPr>
          <w:lang w:val="en-US"/>
        </w:rPr>
        <w:t xml:space="preserve"> </w:t>
      </w:r>
      <w:r>
        <w:rPr>
          <w:lang w:val="en-US"/>
        </w:rPr>
        <w:t xml:space="preserve">should be considered </w:t>
      </w:r>
      <w:r w:rsidRPr="00EF7007">
        <w:rPr>
          <w:lang w:val="en-US"/>
        </w:rPr>
        <w:t xml:space="preserve">RAN4 </w:t>
      </w:r>
      <w:r>
        <w:rPr>
          <w:lang w:val="en-US"/>
        </w:rPr>
        <w:t>based on the performance merits</w:t>
      </w:r>
      <w:r w:rsidRPr="00EF7007">
        <w:rPr>
          <w:lang w:val="en-US"/>
        </w:rPr>
        <w:t>.</w:t>
      </w:r>
    </w:p>
    <w:p w14:paraId="155F25A4" w14:textId="25974FFE" w:rsidR="00591B5D" w:rsidRPr="00591B5D" w:rsidRDefault="00591B5D" w:rsidP="00CD4C7B">
      <w:pPr>
        <w:rPr>
          <w:b/>
        </w:rPr>
      </w:pPr>
      <w:r w:rsidRPr="000148CE">
        <w:rPr>
          <w:b/>
          <w:bCs/>
        </w:rPr>
        <w:t xml:space="preserve">Proposal 2: </w:t>
      </w:r>
      <w:r w:rsidRPr="00BC71EA">
        <w:t>Use time index of an SS block as SS Block Identifier</w:t>
      </w:r>
    </w:p>
    <w:p w14:paraId="47E739CC" w14:textId="77777777" w:rsidR="00591B5D" w:rsidRPr="00F15128" w:rsidRDefault="00591B5D" w:rsidP="00CD4C7B">
      <w:pPr>
        <w:rPr>
          <w:b/>
        </w:rPr>
      </w:pPr>
    </w:p>
    <w:p w14:paraId="365E8186" w14:textId="39AF0580" w:rsidR="00CD4C7B" w:rsidRPr="006E13D1" w:rsidRDefault="00591B5D" w:rsidP="00CD4C7B">
      <w:pPr>
        <w:pStyle w:val="Heading1"/>
      </w:pPr>
      <w:r>
        <w:t>6</w:t>
      </w:r>
      <w:r>
        <w:tab/>
      </w:r>
      <w:r w:rsidR="00CD4C7B" w:rsidRPr="006E13D1">
        <w:t>References</w:t>
      </w:r>
    </w:p>
    <w:p w14:paraId="601A64D1" w14:textId="776B6F06" w:rsidR="00611336" w:rsidRDefault="00D0767D" w:rsidP="00CD4C7B">
      <w:pPr>
        <w:numPr>
          <w:ilvl w:val="0"/>
          <w:numId w:val="4"/>
        </w:numPr>
        <w:overflowPunct w:val="0"/>
        <w:autoSpaceDE w:val="0"/>
        <w:autoSpaceDN w:val="0"/>
        <w:adjustRightInd w:val="0"/>
        <w:textAlignment w:val="baseline"/>
      </w:pPr>
      <w:bookmarkStart w:id="2" w:name="_Ref477852917"/>
      <w:r>
        <w:t xml:space="preserve">Chairman’s Notes RAN1#88bis </w:t>
      </w:r>
      <w:r w:rsidR="00611336">
        <w:t>(</w:t>
      </w:r>
      <w:r>
        <w:t>April</w:t>
      </w:r>
      <w:r w:rsidR="00611336">
        <w:t>, Spokane)</w:t>
      </w:r>
      <w:bookmarkEnd w:id="2"/>
    </w:p>
    <w:p w14:paraId="6F8F3CAD" w14:textId="4F2F5709" w:rsidR="000148CE" w:rsidRDefault="000148CE" w:rsidP="00CD4C7B">
      <w:pPr>
        <w:numPr>
          <w:ilvl w:val="0"/>
          <w:numId w:val="4"/>
        </w:numPr>
        <w:overflowPunct w:val="0"/>
        <w:autoSpaceDE w:val="0"/>
        <w:autoSpaceDN w:val="0"/>
        <w:adjustRightInd w:val="0"/>
        <w:textAlignment w:val="baseline"/>
      </w:pPr>
      <w:bookmarkStart w:id="3" w:name="_Ref481694165"/>
      <w:r>
        <w:t>R1-1708234</w:t>
      </w:r>
      <w:r w:rsidR="00DF264A">
        <w:t>, “</w:t>
      </w:r>
      <w:r>
        <w:t>NR PBCH Design</w:t>
      </w:r>
      <w:r w:rsidR="00DF264A">
        <w:t>”</w:t>
      </w:r>
      <w:r>
        <w:t>, Nokia, Alcatel-Lucent Shanghai Bell</w:t>
      </w:r>
      <w:bookmarkEnd w:id="3"/>
    </w:p>
    <w:p w14:paraId="13C7844D" w14:textId="4027B14E" w:rsidR="00DF264A" w:rsidRDefault="00DF264A" w:rsidP="00DF264A">
      <w:pPr>
        <w:numPr>
          <w:ilvl w:val="0"/>
          <w:numId w:val="4"/>
        </w:numPr>
        <w:overflowPunct w:val="0"/>
        <w:autoSpaceDE w:val="0"/>
        <w:autoSpaceDN w:val="0"/>
        <w:adjustRightInd w:val="0"/>
        <w:textAlignment w:val="baseline"/>
      </w:pPr>
      <w:bookmarkStart w:id="4" w:name="_Ref481730305"/>
      <w:r w:rsidRPr="00DF264A">
        <w:t>R1-1703097</w:t>
      </w:r>
      <w:r>
        <w:t>, “</w:t>
      </w:r>
      <w:r w:rsidRPr="00DF264A">
        <w:t>DL Signals for Mobility Measurements in NR and Mobility schemes</w:t>
      </w:r>
      <w:r>
        <w:t>”, Nokia, Alcatel-Lucent Shanghai Bell</w:t>
      </w:r>
      <w:bookmarkEnd w:id="4"/>
    </w:p>
    <w:p w14:paraId="6D608840" w14:textId="71030C9D" w:rsidR="00DF264A" w:rsidRDefault="00DF264A">
      <w:pPr>
        <w:numPr>
          <w:ilvl w:val="0"/>
          <w:numId w:val="4"/>
        </w:numPr>
        <w:overflowPunct w:val="0"/>
        <w:autoSpaceDE w:val="0"/>
        <w:autoSpaceDN w:val="0"/>
        <w:adjustRightInd w:val="0"/>
        <w:textAlignment w:val="baseline"/>
      </w:pPr>
      <w:bookmarkStart w:id="5" w:name="_Ref481730354"/>
      <w:r>
        <w:t>Chairman’s Notes RAN1#88 (February, Athens)</w:t>
      </w:r>
      <w:bookmarkEnd w:id="5"/>
    </w:p>
    <w:p w14:paraId="1D07CA97" w14:textId="63A452FF" w:rsidR="0056524D" w:rsidRDefault="0056524D">
      <w:pPr>
        <w:numPr>
          <w:ilvl w:val="0"/>
          <w:numId w:val="4"/>
        </w:numPr>
        <w:overflowPunct w:val="0"/>
        <w:autoSpaceDE w:val="0"/>
        <w:autoSpaceDN w:val="0"/>
        <w:adjustRightInd w:val="0"/>
        <w:textAlignment w:val="baseline"/>
      </w:pPr>
      <w:bookmarkStart w:id="6" w:name="_Ref481732482"/>
      <w:r w:rsidRPr="0056524D">
        <w:t>R1-1708233</w:t>
      </w:r>
      <w:r>
        <w:t>, “SS block time index indication”, Nokia, Alcatel-Lucent Shanghai Bell</w:t>
      </w:r>
      <w:bookmarkEnd w:id="6"/>
    </w:p>
    <w:p w14:paraId="28DFF99E" w14:textId="77777777" w:rsidR="00CD4C7B" w:rsidRPr="006E13D1" w:rsidRDefault="00CD4C7B" w:rsidP="00CD4C7B"/>
    <w:p w14:paraId="3377FC50" w14:textId="77777777" w:rsidR="00CD4C7B" w:rsidRDefault="00CD4C7B" w:rsidP="00CD4C7B"/>
    <w:p w14:paraId="1D1761B5" w14:textId="77777777" w:rsidR="00080512" w:rsidRPr="00CD4C7B" w:rsidRDefault="00080512" w:rsidP="00CD4C7B"/>
    <w:sectPr w:rsidR="00080512" w:rsidRPr="00CD4C7B" w:rsidSect="000148C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D02A7" w14:textId="77777777" w:rsidR="00252BD4" w:rsidRDefault="00252BD4">
      <w:r>
        <w:separator/>
      </w:r>
    </w:p>
  </w:endnote>
  <w:endnote w:type="continuationSeparator" w:id="0">
    <w:p w14:paraId="73875396" w14:textId="77777777" w:rsidR="00252BD4" w:rsidRDefault="0025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25975" w14:textId="77777777" w:rsidR="00785C1A" w:rsidRDefault="0078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7D503" w14:textId="77777777" w:rsidR="00785C1A" w:rsidRDefault="00785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50D49" w14:textId="77777777" w:rsidR="00785C1A" w:rsidRDefault="00785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24BDA" w14:textId="77777777" w:rsidR="00252BD4" w:rsidRDefault="00252BD4">
      <w:r>
        <w:separator/>
      </w:r>
    </w:p>
  </w:footnote>
  <w:footnote w:type="continuationSeparator" w:id="0">
    <w:p w14:paraId="614040D3" w14:textId="77777777" w:rsidR="00252BD4" w:rsidRDefault="0025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09C6" w14:textId="77777777" w:rsidR="00785C1A" w:rsidRDefault="0078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7827A" w14:textId="77777777" w:rsidR="00785C1A" w:rsidRDefault="00785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44A4" w14:textId="77777777" w:rsidR="00785C1A" w:rsidRDefault="00785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cs="Times New Roman" w:hint="default"/>
      </w:rPr>
    </w:lvl>
    <w:lvl w:ilvl="1" w:tplc="06FEBF90">
      <w:start w:val="142"/>
      <w:numFmt w:val="bullet"/>
      <w:lvlText w:val="–"/>
      <w:lvlJc w:val="left"/>
      <w:pPr>
        <w:tabs>
          <w:tab w:val="num" w:pos="1440"/>
        </w:tabs>
        <w:ind w:left="1440" w:hanging="360"/>
      </w:pPr>
      <w:rPr>
        <w:rFonts w:ascii="Arial" w:hAnsi="Arial" w:cs="Times New Roman" w:hint="default"/>
      </w:rPr>
    </w:lvl>
    <w:lvl w:ilvl="2" w:tplc="A40CCD52">
      <w:start w:val="142"/>
      <w:numFmt w:val="bullet"/>
      <w:lvlText w:val="•"/>
      <w:lvlJc w:val="left"/>
      <w:pPr>
        <w:tabs>
          <w:tab w:val="num" w:pos="2160"/>
        </w:tabs>
        <w:ind w:left="2160" w:hanging="360"/>
      </w:pPr>
      <w:rPr>
        <w:rFonts w:ascii="Arial" w:hAnsi="Arial" w:cs="Times New Roman" w:hint="default"/>
      </w:rPr>
    </w:lvl>
    <w:lvl w:ilvl="3" w:tplc="6D1ADF76">
      <w:start w:val="1"/>
      <w:numFmt w:val="bullet"/>
      <w:lvlText w:val="•"/>
      <w:lvlJc w:val="left"/>
      <w:pPr>
        <w:tabs>
          <w:tab w:val="num" w:pos="2880"/>
        </w:tabs>
        <w:ind w:left="2880" w:hanging="360"/>
      </w:pPr>
      <w:rPr>
        <w:rFonts w:ascii="Arial" w:hAnsi="Arial" w:cs="Times New Roman" w:hint="default"/>
      </w:rPr>
    </w:lvl>
    <w:lvl w:ilvl="4" w:tplc="621A1360">
      <w:start w:val="1"/>
      <w:numFmt w:val="bullet"/>
      <w:lvlText w:val="•"/>
      <w:lvlJc w:val="left"/>
      <w:pPr>
        <w:tabs>
          <w:tab w:val="num" w:pos="3600"/>
        </w:tabs>
        <w:ind w:left="3600" w:hanging="360"/>
      </w:pPr>
      <w:rPr>
        <w:rFonts w:ascii="Arial" w:hAnsi="Arial" w:cs="Times New Roman" w:hint="default"/>
      </w:rPr>
    </w:lvl>
    <w:lvl w:ilvl="5" w:tplc="C46E28BE">
      <w:start w:val="1"/>
      <w:numFmt w:val="bullet"/>
      <w:lvlText w:val="•"/>
      <w:lvlJc w:val="left"/>
      <w:pPr>
        <w:tabs>
          <w:tab w:val="num" w:pos="4320"/>
        </w:tabs>
        <w:ind w:left="4320" w:hanging="360"/>
      </w:pPr>
      <w:rPr>
        <w:rFonts w:ascii="Arial" w:hAnsi="Arial" w:cs="Times New Roman" w:hint="default"/>
      </w:rPr>
    </w:lvl>
    <w:lvl w:ilvl="6" w:tplc="629C7E9A">
      <w:start w:val="1"/>
      <w:numFmt w:val="bullet"/>
      <w:lvlText w:val="•"/>
      <w:lvlJc w:val="left"/>
      <w:pPr>
        <w:tabs>
          <w:tab w:val="num" w:pos="5040"/>
        </w:tabs>
        <w:ind w:left="5040" w:hanging="360"/>
      </w:pPr>
      <w:rPr>
        <w:rFonts w:ascii="Arial" w:hAnsi="Arial" w:cs="Times New Roman" w:hint="default"/>
      </w:rPr>
    </w:lvl>
    <w:lvl w:ilvl="7" w:tplc="77628DDA">
      <w:start w:val="1"/>
      <w:numFmt w:val="bullet"/>
      <w:lvlText w:val="•"/>
      <w:lvlJc w:val="left"/>
      <w:pPr>
        <w:tabs>
          <w:tab w:val="num" w:pos="5760"/>
        </w:tabs>
        <w:ind w:left="5760" w:hanging="360"/>
      </w:pPr>
      <w:rPr>
        <w:rFonts w:ascii="Arial" w:hAnsi="Arial" w:cs="Times New Roman" w:hint="default"/>
      </w:rPr>
    </w:lvl>
    <w:lvl w:ilvl="8" w:tplc="909E98C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F70AAF"/>
    <w:multiLevelType w:val="hybridMultilevel"/>
    <w:tmpl w:val="CEF2CEEE"/>
    <w:lvl w:ilvl="0" w:tplc="A454D3AA">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cs="Times New Roman" w:hint="default"/>
      </w:rPr>
    </w:lvl>
    <w:lvl w:ilvl="1" w:tplc="7F127E22">
      <w:start w:val="1"/>
      <w:numFmt w:val="bullet"/>
      <w:lvlText w:val="•"/>
      <w:lvlJc w:val="left"/>
      <w:pPr>
        <w:tabs>
          <w:tab w:val="num" w:pos="1440"/>
        </w:tabs>
        <w:ind w:left="1440" w:hanging="360"/>
      </w:pPr>
      <w:rPr>
        <w:rFonts w:ascii="Arial" w:hAnsi="Arial" w:cs="Times New Roman" w:hint="default"/>
      </w:rPr>
    </w:lvl>
    <w:lvl w:ilvl="2" w:tplc="65DE6110">
      <w:start w:val="1"/>
      <w:numFmt w:val="bullet"/>
      <w:lvlText w:val="•"/>
      <w:lvlJc w:val="left"/>
      <w:pPr>
        <w:tabs>
          <w:tab w:val="num" w:pos="2160"/>
        </w:tabs>
        <w:ind w:left="2160" w:hanging="360"/>
      </w:pPr>
      <w:rPr>
        <w:rFonts w:ascii="Arial" w:hAnsi="Arial" w:cs="Times New Roman" w:hint="default"/>
      </w:rPr>
    </w:lvl>
    <w:lvl w:ilvl="3" w:tplc="3DE6EBAE">
      <w:start w:val="1"/>
      <w:numFmt w:val="bullet"/>
      <w:lvlText w:val="•"/>
      <w:lvlJc w:val="left"/>
      <w:pPr>
        <w:tabs>
          <w:tab w:val="num" w:pos="2880"/>
        </w:tabs>
        <w:ind w:left="2880" w:hanging="360"/>
      </w:pPr>
      <w:rPr>
        <w:rFonts w:ascii="Arial" w:hAnsi="Arial" w:cs="Times New Roman" w:hint="default"/>
      </w:rPr>
    </w:lvl>
    <w:lvl w:ilvl="4" w:tplc="0268C3D8">
      <w:start w:val="1"/>
      <w:numFmt w:val="bullet"/>
      <w:lvlText w:val="•"/>
      <w:lvlJc w:val="left"/>
      <w:pPr>
        <w:tabs>
          <w:tab w:val="num" w:pos="3600"/>
        </w:tabs>
        <w:ind w:left="3600" w:hanging="360"/>
      </w:pPr>
      <w:rPr>
        <w:rFonts w:ascii="Arial" w:hAnsi="Arial" w:cs="Times New Roman" w:hint="default"/>
      </w:rPr>
    </w:lvl>
    <w:lvl w:ilvl="5" w:tplc="BB72A988">
      <w:start w:val="1"/>
      <w:numFmt w:val="bullet"/>
      <w:lvlText w:val="•"/>
      <w:lvlJc w:val="left"/>
      <w:pPr>
        <w:tabs>
          <w:tab w:val="num" w:pos="4320"/>
        </w:tabs>
        <w:ind w:left="4320" w:hanging="360"/>
      </w:pPr>
      <w:rPr>
        <w:rFonts w:ascii="Arial" w:hAnsi="Arial" w:cs="Times New Roman" w:hint="default"/>
      </w:rPr>
    </w:lvl>
    <w:lvl w:ilvl="6" w:tplc="32E87A5A">
      <w:start w:val="1"/>
      <w:numFmt w:val="bullet"/>
      <w:lvlText w:val="•"/>
      <w:lvlJc w:val="left"/>
      <w:pPr>
        <w:tabs>
          <w:tab w:val="num" w:pos="5040"/>
        </w:tabs>
        <w:ind w:left="5040" w:hanging="360"/>
      </w:pPr>
      <w:rPr>
        <w:rFonts w:ascii="Arial" w:hAnsi="Arial" w:cs="Times New Roman" w:hint="default"/>
      </w:rPr>
    </w:lvl>
    <w:lvl w:ilvl="7" w:tplc="43F8145A">
      <w:start w:val="1"/>
      <w:numFmt w:val="bullet"/>
      <w:lvlText w:val="•"/>
      <w:lvlJc w:val="left"/>
      <w:pPr>
        <w:tabs>
          <w:tab w:val="num" w:pos="5760"/>
        </w:tabs>
        <w:ind w:left="5760" w:hanging="360"/>
      </w:pPr>
      <w:rPr>
        <w:rFonts w:ascii="Arial" w:hAnsi="Arial" w:cs="Times New Roman" w:hint="default"/>
      </w:rPr>
    </w:lvl>
    <w:lvl w:ilvl="8" w:tplc="FFEEE48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C767514"/>
    <w:multiLevelType w:val="hybridMultilevel"/>
    <w:tmpl w:val="F06E6E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55B1E59"/>
    <w:multiLevelType w:val="hybridMultilevel"/>
    <w:tmpl w:val="7D64C2F2"/>
    <w:lvl w:ilvl="0" w:tplc="31FE697E">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39F063F"/>
    <w:multiLevelType w:val="hybridMultilevel"/>
    <w:tmpl w:val="A3A43B26"/>
    <w:lvl w:ilvl="0" w:tplc="3C04D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6B20748"/>
    <w:multiLevelType w:val="hybridMultilevel"/>
    <w:tmpl w:val="C7884A00"/>
    <w:lvl w:ilvl="0" w:tplc="911A1C7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C012C5D"/>
    <w:multiLevelType w:val="hybridMultilevel"/>
    <w:tmpl w:val="68FCF8EA"/>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753830DF"/>
    <w:multiLevelType w:val="hybridMultilevel"/>
    <w:tmpl w:val="B59E199A"/>
    <w:lvl w:ilvl="0" w:tplc="A6046E24">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0"/>
  </w:num>
  <w:num w:numId="6">
    <w:abstractNumId w:val="9"/>
  </w:num>
  <w:num w:numId="7">
    <w:abstractNumId w:val="5"/>
  </w:num>
  <w:num w:numId="8">
    <w:abstractNumId w:val="1"/>
  </w:num>
  <w:num w:numId="9">
    <w:abstractNumId w:val="6"/>
  </w:num>
  <w:num w:numId="10">
    <w:abstractNumId w:val="4"/>
  </w:num>
  <w:num w:numId="11">
    <w:abstractNumId w:val="12"/>
  </w:num>
  <w:num w:numId="12">
    <w:abstractNumId w:val="7"/>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B1E"/>
    <w:rsid w:val="000013EC"/>
    <w:rsid w:val="00005256"/>
    <w:rsid w:val="00010231"/>
    <w:rsid w:val="00010F2D"/>
    <w:rsid w:val="000148CE"/>
    <w:rsid w:val="00033397"/>
    <w:rsid w:val="00040095"/>
    <w:rsid w:val="00042367"/>
    <w:rsid w:val="00080512"/>
    <w:rsid w:val="00080B44"/>
    <w:rsid w:val="00085489"/>
    <w:rsid w:val="00090468"/>
    <w:rsid w:val="00096EEC"/>
    <w:rsid w:val="000A6D04"/>
    <w:rsid w:val="000B06E6"/>
    <w:rsid w:val="000B7BCF"/>
    <w:rsid w:val="000C522B"/>
    <w:rsid w:val="000D58AB"/>
    <w:rsid w:val="000E7189"/>
    <w:rsid w:val="000F6264"/>
    <w:rsid w:val="00107E75"/>
    <w:rsid w:val="00122779"/>
    <w:rsid w:val="00123F0E"/>
    <w:rsid w:val="00123F97"/>
    <w:rsid w:val="00140A6C"/>
    <w:rsid w:val="00145075"/>
    <w:rsid w:val="0016755F"/>
    <w:rsid w:val="001741A0"/>
    <w:rsid w:val="00194CD0"/>
    <w:rsid w:val="001B49C9"/>
    <w:rsid w:val="001D276A"/>
    <w:rsid w:val="001D708C"/>
    <w:rsid w:val="001F168B"/>
    <w:rsid w:val="001F7345"/>
    <w:rsid w:val="001F7831"/>
    <w:rsid w:val="00204045"/>
    <w:rsid w:val="0022606D"/>
    <w:rsid w:val="00231AD8"/>
    <w:rsid w:val="00241A72"/>
    <w:rsid w:val="00243814"/>
    <w:rsid w:val="00252BD4"/>
    <w:rsid w:val="002747EC"/>
    <w:rsid w:val="00276CE6"/>
    <w:rsid w:val="00280BA4"/>
    <w:rsid w:val="00283FC4"/>
    <w:rsid w:val="002855BF"/>
    <w:rsid w:val="0028692A"/>
    <w:rsid w:val="002A2467"/>
    <w:rsid w:val="002A29E8"/>
    <w:rsid w:val="002B6D41"/>
    <w:rsid w:val="002C0F28"/>
    <w:rsid w:val="002C74E6"/>
    <w:rsid w:val="002E42A5"/>
    <w:rsid w:val="002E50D9"/>
    <w:rsid w:val="002F0D22"/>
    <w:rsid w:val="003172DC"/>
    <w:rsid w:val="00326069"/>
    <w:rsid w:val="00344678"/>
    <w:rsid w:val="0035462D"/>
    <w:rsid w:val="00366314"/>
    <w:rsid w:val="003777C1"/>
    <w:rsid w:val="003873D3"/>
    <w:rsid w:val="003A7B96"/>
    <w:rsid w:val="003B3A55"/>
    <w:rsid w:val="003B40AD"/>
    <w:rsid w:val="003C4E37"/>
    <w:rsid w:val="003D0347"/>
    <w:rsid w:val="003D1087"/>
    <w:rsid w:val="003E16BE"/>
    <w:rsid w:val="003F252C"/>
    <w:rsid w:val="003F4EC8"/>
    <w:rsid w:val="00401855"/>
    <w:rsid w:val="004074D4"/>
    <w:rsid w:val="00447872"/>
    <w:rsid w:val="00467348"/>
    <w:rsid w:val="00477455"/>
    <w:rsid w:val="00493B59"/>
    <w:rsid w:val="004A4195"/>
    <w:rsid w:val="004C7212"/>
    <w:rsid w:val="004D3330"/>
    <w:rsid w:val="004D3578"/>
    <w:rsid w:val="004D380D"/>
    <w:rsid w:val="004E213A"/>
    <w:rsid w:val="004E34C7"/>
    <w:rsid w:val="004E57FB"/>
    <w:rsid w:val="005008D4"/>
    <w:rsid w:val="00503171"/>
    <w:rsid w:val="00506C28"/>
    <w:rsid w:val="00513E9D"/>
    <w:rsid w:val="00534DA0"/>
    <w:rsid w:val="00537925"/>
    <w:rsid w:val="00543E6C"/>
    <w:rsid w:val="00550A73"/>
    <w:rsid w:val="00565087"/>
    <w:rsid w:val="0056524D"/>
    <w:rsid w:val="0056573F"/>
    <w:rsid w:val="00583748"/>
    <w:rsid w:val="0058568A"/>
    <w:rsid w:val="00591B5D"/>
    <w:rsid w:val="005A4BB6"/>
    <w:rsid w:val="005C2AA6"/>
    <w:rsid w:val="005C3D51"/>
    <w:rsid w:val="005F6BF8"/>
    <w:rsid w:val="005F7787"/>
    <w:rsid w:val="006006E2"/>
    <w:rsid w:val="00603F13"/>
    <w:rsid w:val="00604E2A"/>
    <w:rsid w:val="006052E0"/>
    <w:rsid w:val="00606A5B"/>
    <w:rsid w:val="00611336"/>
    <w:rsid w:val="00611566"/>
    <w:rsid w:val="0062127B"/>
    <w:rsid w:val="006410E4"/>
    <w:rsid w:val="00646D99"/>
    <w:rsid w:val="0065299A"/>
    <w:rsid w:val="00656910"/>
    <w:rsid w:val="00657F4D"/>
    <w:rsid w:val="00664FC1"/>
    <w:rsid w:val="006C66D8"/>
    <w:rsid w:val="006D1E24"/>
    <w:rsid w:val="006E067E"/>
    <w:rsid w:val="006E1417"/>
    <w:rsid w:val="006F120C"/>
    <w:rsid w:val="006F6A2C"/>
    <w:rsid w:val="00734A5B"/>
    <w:rsid w:val="0074371E"/>
    <w:rsid w:val="00744E76"/>
    <w:rsid w:val="0074721B"/>
    <w:rsid w:val="00747C68"/>
    <w:rsid w:val="00752B6E"/>
    <w:rsid w:val="00757D40"/>
    <w:rsid w:val="007651CB"/>
    <w:rsid w:val="00773663"/>
    <w:rsid w:val="00781F0F"/>
    <w:rsid w:val="00783D3B"/>
    <w:rsid w:val="00785C1A"/>
    <w:rsid w:val="0078727C"/>
    <w:rsid w:val="0079049D"/>
    <w:rsid w:val="00792FA2"/>
    <w:rsid w:val="007A2D0C"/>
    <w:rsid w:val="007B18D8"/>
    <w:rsid w:val="007C095F"/>
    <w:rsid w:val="007F12ED"/>
    <w:rsid w:val="008028A4"/>
    <w:rsid w:val="008112E5"/>
    <w:rsid w:val="00811BE8"/>
    <w:rsid w:val="00813245"/>
    <w:rsid w:val="00817EDB"/>
    <w:rsid w:val="008207DD"/>
    <w:rsid w:val="00821EC7"/>
    <w:rsid w:val="00826C7E"/>
    <w:rsid w:val="00832FB0"/>
    <w:rsid w:val="0084272E"/>
    <w:rsid w:val="00864D0A"/>
    <w:rsid w:val="008768CA"/>
    <w:rsid w:val="00877EF9"/>
    <w:rsid w:val="00880559"/>
    <w:rsid w:val="00891904"/>
    <w:rsid w:val="00893C30"/>
    <w:rsid w:val="008A469D"/>
    <w:rsid w:val="008A6802"/>
    <w:rsid w:val="008B5306"/>
    <w:rsid w:val="008C1235"/>
    <w:rsid w:val="008D0016"/>
    <w:rsid w:val="0090080F"/>
    <w:rsid w:val="0090271F"/>
    <w:rsid w:val="00902DB9"/>
    <w:rsid w:val="0090466A"/>
    <w:rsid w:val="0091025F"/>
    <w:rsid w:val="0091636A"/>
    <w:rsid w:val="00935FBD"/>
    <w:rsid w:val="00936071"/>
    <w:rsid w:val="00940212"/>
    <w:rsid w:val="0094021A"/>
    <w:rsid w:val="00942EC2"/>
    <w:rsid w:val="00961B32"/>
    <w:rsid w:val="009706CB"/>
    <w:rsid w:val="00974BB0"/>
    <w:rsid w:val="009A034C"/>
    <w:rsid w:val="009A0AF3"/>
    <w:rsid w:val="009B07CD"/>
    <w:rsid w:val="009B43E9"/>
    <w:rsid w:val="009C19E9"/>
    <w:rsid w:val="009E383D"/>
    <w:rsid w:val="009E59AE"/>
    <w:rsid w:val="00A10F02"/>
    <w:rsid w:val="00A204CA"/>
    <w:rsid w:val="00A27977"/>
    <w:rsid w:val="00A410C9"/>
    <w:rsid w:val="00A53724"/>
    <w:rsid w:val="00A82346"/>
    <w:rsid w:val="00A919AE"/>
    <w:rsid w:val="00A9671C"/>
    <w:rsid w:val="00AA1553"/>
    <w:rsid w:val="00AC691C"/>
    <w:rsid w:val="00AD1456"/>
    <w:rsid w:val="00AE1AE5"/>
    <w:rsid w:val="00B1470E"/>
    <w:rsid w:val="00B15449"/>
    <w:rsid w:val="00B47FD1"/>
    <w:rsid w:val="00B516BB"/>
    <w:rsid w:val="00B802A4"/>
    <w:rsid w:val="00B854D3"/>
    <w:rsid w:val="00B91694"/>
    <w:rsid w:val="00B937E8"/>
    <w:rsid w:val="00BC71EA"/>
    <w:rsid w:val="00BD1F96"/>
    <w:rsid w:val="00BD70FE"/>
    <w:rsid w:val="00BE5D4E"/>
    <w:rsid w:val="00C0597A"/>
    <w:rsid w:val="00C10025"/>
    <w:rsid w:val="00C12B51"/>
    <w:rsid w:val="00C224D8"/>
    <w:rsid w:val="00C24650"/>
    <w:rsid w:val="00C24F0D"/>
    <w:rsid w:val="00C33079"/>
    <w:rsid w:val="00C83A13"/>
    <w:rsid w:val="00C914F1"/>
    <w:rsid w:val="00C92967"/>
    <w:rsid w:val="00CA3D0C"/>
    <w:rsid w:val="00CA62CA"/>
    <w:rsid w:val="00CA654B"/>
    <w:rsid w:val="00CA7A9A"/>
    <w:rsid w:val="00CB6442"/>
    <w:rsid w:val="00CB6535"/>
    <w:rsid w:val="00CD4691"/>
    <w:rsid w:val="00CD4C7B"/>
    <w:rsid w:val="00CD73CA"/>
    <w:rsid w:val="00D06AC5"/>
    <w:rsid w:val="00D0767D"/>
    <w:rsid w:val="00D34472"/>
    <w:rsid w:val="00D46D30"/>
    <w:rsid w:val="00D738D6"/>
    <w:rsid w:val="00D80795"/>
    <w:rsid w:val="00D84CF2"/>
    <w:rsid w:val="00D86E80"/>
    <w:rsid w:val="00D87E00"/>
    <w:rsid w:val="00D9134D"/>
    <w:rsid w:val="00D95487"/>
    <w:rsid w:val="00D96D11"/>
    <w:rsid w:val="00DA2D08"/>
    <w:rsid w:val="00DA7A03"/>
    <w:rsid w:val="00DB1818"/>
    <w:rsid w:val="00DC26CB"/>
    <w:rsid w:val="00DC309B"/>
    <w:rsid w:val="00DC4DA2"/>
    <w:rsid w:val="00DE26DB"/>
    <w:rsid w:val="00DF264A"/>
    <w:rsid w:val="00E241A0"/>
    <w:rsid w:val="00E34E01"/>
    <w:rsid w:val="00E62835"/>
    <w:rsid w:val="00E72F7D"/>
    <w:rsid w:val="00E77645"/>
    <w:rsid w:val="00E81E80"/>
    <w:rsid w:val="00E83697"/>
    <w:rsid w:val="00EA1432"/>
    <w:rsid w:val="00EA4C62"/>
    <w:rsid w:val="00EC1C88"/>
    <w:rsid w:val="00EC4A25"/>
    <w:rsid w:val="00ED4D75"/>
    <w:rsid w:val="00ED4EA8"/>
    <w:rsid w:val="00ED58B2"/>
    <w:rsid w:val="00EE1E72"/>
    <w:rsid w:val="00EE202B"/>
    <w:rsid w:val="00EE27AB"/>
    <w:rsid w:val="00EF6C33"/>
    <w:rsid w:val="00EF7007"/>
    <w:rsid w:val="00F025A2"/>
    <w:rsid w:val="00F02FC0"/>
    <w:rsid w:val="00F07388"/>
    <w:rsid w:val="00F15128"/>
    <w:rsid w:val="00F15F19"/>
    <w:rsid w:val="00F1752A"/>
    <w:rsid w:val="00F2026E"/>
    <w:rsid w:val="00F2210A"/>
    <w:rsid w:val="00F256ED"/>
    <w:rsid w:val="00F37743"/>
    <w:rsid w:val="00F4339F"/>
    <w:rsid w:val="00F54A3D"/>
    <w:rsid w:val="00F653B8"/>
    <w:rsid w:val="00F71B89"/>
    <w:rsid w:val="00F7353C"/>
    <w:rsid w:val="00F76AB9"/>
    <w:rsid w:val="00F76F8F"/>
    <w:rsid w:val="00F81F8A"/>
    <w:rsid w:val="00F95F42"/>
    <w:rsid w:val="00FA1266"/>
    <w:rsid w:val="00FA3D77"/>
    <w:rsid w:val="00FC1192"/>
    <w:rsid w:val="00FC35D3"/>
    <w:rsid w:val="00FC3838"/>
    <w:rsid w:val="00FF6E3D"/>
    <w:rsid w:val="15AA2305"/>
    <w:rsid w:val="376F7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9BE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D708C"/>
    <w:pPr>
      <w:ind w:left="720"/>
      <w:contextualSpacing/>
    </w:pPr>
  </w:style>
  <w:style w:type="paragraph" w:styleId="Caption">
    <w:name w:val="caption"/>
    <w:basedOn w:val="Normal"/>
    <w:next w:val="Normal"/>
    <w:unhideWhenUsed/>
    <w:qFormat/>
    <w:rsid w:val="008C1235"/>
    <w:pPr>
      <w:spacing w:after="200"/>
    </w:pPr>
    <w:rPr>
      <w:i/>
      <w:iCs/>
      <w:color w:val="44546A" w:themeColor="text2"/>
      <w:sz w:val="18"/>
      <w:szCs w:val="18"/>
    </w:rPr>
  </w:style>
  <w:style w:type="character" w:styleId="CommentReference">
    <w:name w:val="annotation reference"/>
    <w:basedOn w:val="DefaultParagraphFont"/>
    <w:rsid w:val="00080B44"/>
    <w:rPr>
      <w:sz w:val="16"/>
      <w:szCs w:val="16"/>
    </w:rPr>
  </w:style>
  <w:style w:type="paragraph" w:styleId="CommentText">
    <w:name w:val="annotation text"/>
    <w:basedOn w:val="Normal"/>
    <w:link w:val="CommentTextChar"/>
    <w:rsid w:val="00080B44"/>
  </w:style>
  <w:style w:type="character" w:customStyle="1" w:styleId="CommentTextChar">
    <w:name w:val="Comment Text Char"/>
    <w:basedOn w:val="DefaultParagraphFont"/>
    <w:link w:val="CommentText"/>
    <w:rsid w:val="00080B44"/>
    <w:rPr>
      <w:lang w:eastAsia="en-US"/>
    </w:rPr>
  </w:style>
  <w:style w:type="paragraph" w:styleId="CommentSubject">
    <w:name w:val="annotation subject"/>
    <w:basedOn w:val="CommentText"/>
    <w:next w:val="CommentText"/>
    <w:link w:val="CommentSubjectChar"/>
    <w:rsid w:val="00080B44"/>
    <w:rPr>
      <w:b/>
      <w:bCs/>
    </w:rPr>
  </w:style>
  <w:style w:type="character" w:customStyle="1" w:styleId="CommentSubjectChar">
    <w:name w:val="Comment Subject Char"/>
    <w:basedOn w:val="CommentTextChar"/>
    <w:link w:val="CommentSubject"/>
    <w:rsid w:val="00080B44"/>
    <w:rPr>
      <w:b/>
      <w:bCs/>
      <w:lang w:eastAsia="en-US"/>
    </w:rPr>
  </w:style>
  <w:style w:type="paragraph" w:styleId="BalloonText">
    <w:name w:val="Balloon Text"/>
    <w:basedOn w:val="Normal"/>
    <w:link w:val="BalloonTextChar"/>
    <w:rsid w:val="00080B44"/>
    <w:pPr>
      <w:spacing w:after="0"/>
    </w:pPr>
    <w:rPr>
      <w:rFonts w:ascii="Segoe UI" w:hAnsi="Segoe UI" w:cs="Segoe UI"/>
      <w:sz w:val="18"/>
      <w:szCs w:val="18"/>
    </w:rPr>
  </w:style>
  <w:style w:type="character" w:customStyle="1" w:styleId="BalloonTextChar">
    <w:name w:val="Balloon Text Char"/>
    <w:basedOn w:val="DefaultParagraphFont"/>
    <w:link w:val="BalloonText"/>
    <w:rsid w:val="00080B44"/>
    <w:rPr>
      <w:rFonts w:ascii="Segoe UI" w:hAnsi="Segoe UI" w:cs="Segoe UI"/>
      <w:sz w:val="18"/>
      <w:szCs w:val="18"/>
      <w:lang w:eastAsia="en-US"/>
    </w:rPr>
  </w:style>
  <w:style w:type="paragraph" w:customStyle="1" w:styleId="Doc-text2">
    <w:name w:val="Doc-text2"/>
    <w:basedOn w:val="Normal"/>
    <w:link w:val="Doc-text2Char"/>
    <w:qFormat/>
    <w:rsid w:val="000E71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E718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6091">
      <w:bodyDiv w:val="1"/>
      <w:marLeft w:val="0"/>
      <w:marRight w:val="0"/>
      <w:marTop w:val="0"/>
      <w:marBottom w:val="0"/>
      <w:divBdr>
        <w:top w:val="none" w:sz="0" w:space="0" w:color="auto"/>
        <w:left w:val="none" w:sz="0" w:space="0" w:color="auto"/>
        <w:bottom w:val="none" w:sz="0" w:space="0" w:color="auto"/>
        <w:right w:val="none" w:sz="0" w:space="0" w:color="auto"/>
      </w:divBdr>
    </w:div>
    <w:div w:id="1357197754">
      <w:bodyDiv w:val="1"/>
      <w:marLeft w:val="0"/>
      <w:marRight w:val="0"/>
      <w:marTop w:val="0"/>
      <w:marBottom w:val="0"/>
      <w:divBdr>
        <w:top w:val="none" w:sz="0" w:space="0" w:color="auto"/>
        <w:left w:val="none" w:sz="0" w:space="0" w:color="auto"/>
        <w:bottom w:val="none" w:sz="0" w:space="0" w:color="auto"/>
        <w:right w:val="none" w:sz="0" w:space="0" w:color="auto"/>
      </w:divBdr>
    </w:div>
    <w:div w:id="1673339631">
      <w:bodyDiv w:val="1"/>
      <w:marLeft w:val="0"/>
      <w:marRight w:val="0"/>
      <w:marTop w:val="0"/>
      <w:marBottom w:val="0"/>
      <w:divBdr>
        <w:top w:val="none" w:sz="0" w:space="0" w:color="auto"/>
        <w:left w:val="none" w:sz="0" w:space="0" w:color="auto"/>
        <w:bottom w:val="none" w:sz="0" w:space="0" w:color="auto"/>
        <w:right w:val="none" w:sz="0" w:space="0" w:color="auto"/>
      </w:divBdr>
    </w:div>
    <w:div w:id="1780251034">
      <w:bodyDiv w:val="1"/>
      <w:marLeft w:val="0"/>
      <w:marRight w:val="0"/>
      <w:marTop w:val="0"/>
      <w:marBottom w:val="0"/>
      <w:divBdr>
        <w:top w:val="none" w:sz="0" w:space="0" w:color="auto"/>
        <w:left w:val="none" w:sz="0" w:space="0" w:color="auto"/>
        <w:bottom w:val="none" w:sz="0" w:space="0" w:color="auto"/>
        <w:right w:val="none" w:sz="0" w:space="0" w:color="auto"/>
      </w:divBdr>
    </w:div>
    <w:div w:id="1814323647">
      <w:bodyDiv w:val="1"/>
      <w:marLeft w:val="0"/>
      <w:marRight w:val="0"/>
      <w:marTop w:val="0"/>
      <w:marBottom w:val="0"/>
      <w:divBdr>
        <w:top w:val="none" w:sz="0" w:space="0" w:color="auto"/>
        <w:left w:val="none" w:sz="0" w:space="0" w:color="auto"/>
        <w:bottom w:val="none" w:sz="0" w:space="0" w:color="auto"/>
        <w:right w:val="none" w:sz="0" w:space="0" w:color="auto"/>
      </w:divBdr>
    </w:div>
    <w:div w:id="196414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SP-5AIRPNAIUNRU-1830940522-922</_dlc_DocId>
    <_dlc_DocIdUrl xmlns="71c5aaf6-e6ce-465b-b873-5148d2a4c105">
      <Url>https://nokia.sharepoint.com/sites/c5g/5gradio/_layouts/15/DocIdRedir.aspx?ID=SP-5AIRPNAIUNRU-1830940522-922</Url>
      <Description>SP-5AIRPNAIUNRU-1830940522-922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45A7-36E3-4BF8-93A2-147F2CFB14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4D39CDF-7DC5-4777-A605-6A337A349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A84EC7-84EB-4D66-9B8A-196C63E4B381}">
  <ds:schemaRefs>
    <ds:schemaRef ds:uri="http://schemas.microsoft.com/sharepoint/events"/>
  </ds:schemaRefs>
</ds:datastoreItem>
</file>

<file path=customXml/itemProps4.xml><?xml version="1.0" encoding="utf-8"?>
<ds:datastoreItem xmlns:ds="http://schemas.openxmlformats.org/officeDocument/2006/customXml" ds:itemID="{50B60037-B925-4487-874B-0BC0D286D05E}">
  <ds:schemaRefs>
    <ds:schemaRef ds:uri="http://schemas.microsoft.com/sharepoint/v3/contenttype/forms"/>
  </ds:schemaRefs>
</ds:datastoreItem>
</file>

<file path=customXml/itemProps5.xml><?xml version="1.0" encoding="utf-8"?>
<ds:datastoreItem xmlns:ds="http://schemas.openxmlformats.org/officeDocument/2006/customXml" ds:itemID="{36F79CF3-78A7-490D-88F8-C17BE5E9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8028</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2017-05-05T15:22:00Z</dcterms:created>
  <dcterms:modified xsi:type="dcterms:W3CDTF">2017-05-05T15:24:00Z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ce6c14dc-537d-40d9-b9a6-ac28b1ef791b</vt:lpwstr>
  </property>
</Properties>
</file>