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65FAA32E" w:rsidR="0073788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75346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</w:t>
      </w:r>
      <w:r w:rsidR="00753469">
        <w:rPr>
          <w:rFonts w:ascii="Arial" w:eastAsia="ＭＳ 明朝" w:hAnsi="Arial" w:cs="Arial"/>
          <w:b/>
          <w:bCs/>
          <w:sz w:val="28"/>
          <w:szCs w:val="24"/>
          <w:lang w:val="en-US"/>
        </w:rPr>
        <w:t>9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753469">
        <w:rPr>
          <w:rFonts w:ascii="Arial" w:eastAsia="ＭＳ 明朝" w:hAnsi="Arial" w:cs="Arial"/>
          <w:b/>
          <w:bCs/>
          <w:sz w:val="28"/>
          <w:szCs w:val="24"/>
        </w:rPr>
        <w:tab/>
      </w:r>
      <w:r w:rsidR="00094879" w:rsidRPr="00094879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R1-1707223</w:t>
      </w:r>
    </w:p>
    <w:p w14:paraId="5B002469" w14:textId="26E7A68D" w:rsidR="0073788D" w:rsidRPr="00D2030D" w:rsidRDefault="0075346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Hangzhou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P. R. China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15</w:t>
      </w:r>
      <w:r w:rsidRPr="00753469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19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May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AFECC2F" w:rsidR="00C92E0F" w:rsidRDefault="00E85E43" w:rsidP="006B6EA8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302E1A5D" w:rsidR="00C92E0F" w:rsidRDefault="00E85E43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733F87">
        <w:rPr>
          <w:rFonts w:ascii="Arial" w:eastAsia="ＭＳ 明朝" w:hAnsi="Arial" w:cs="Arial"/>
          <w:b/>
          <w:sz w:val="28"/>
          <w:szCs w:val="28"/>
          <w:lang w:val="en-US"/>
        </w:rPr>
        <w:t>Motivation of paging p</w:t>
      </w:r>
      <w:r w:rsidR="00017C72">
        <w:rPr>
          <w:rFonts w:ascii="Arial" w:eastAsia="ＭＳ 明朝" w:hAnsi="Arial" w:cs="Arial"/>
          <w:b/>
          <w:sz w:val="28"/>
          <w:szCs w:val="28"/>
          <w:lang w:val="en-US"/>
        </w:rPr>
        <w:t xml:space="preserve">ower </w:t>
      </w:r>
      <w:r w:rsidR="00733F87">
        <w:rPr>
          <w:rFonts w:ascii="Arial" w:eastAsia="ＭＳ 明朝" w:hAnsi="Arial" w:cs="Arial"/>
          <w:b/>
          <w:sz w:val="28"/>
          <w:szCs w:val="28"/>
          <w:lang w:val="en-US"/>
        </w:rPr>
        <w:t>consumption reduction for efeMTC</w:t>
      </w:r>
    </w:p>
    <w:p w14:paraId="24AAD7AE" w14:textId="4BAA75D3" w:rsidR="00C92E0F" w:rsidRDefault="00753469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73A5F">
        <w:rPr>
          <w:rFonts w:ascii="Arial" w:eastAsia="ＭＳ 明朝" w:hAnsi="Arial" w:cs="Arial"/>
          <w:b/>
          <w:sz w:val="28"/>
          <w:szCs w:val="28"/>
          <w:lang w:val="en-US"/>
        </w:rPr>
        <w:t>6.2.6.2</w:t>
      </w:r>
    </w:p>
    <w:p w14:paraId="49210008" w14:textId="77777777" w:rsidR="00A23553" w:rsidRDefault="00613AAD" w:rsidP="006B6EA8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bookmarkEnd w:id="1"/>
    <w:p w14:paraId="120B1A3C" w14:textId="42B22E8D" w:rsidR="003301CE" w:rsidRDefault="00EA5D44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</w:p>
    <w:p w14:paraId="68BB3C9B" w14:textId="50572A26" w:rsidR="00156FDD" w:rsidRDefault="00017C72" w:rsidP="00156FDD">
      <w:pPr>
        <w:rPr>
          <w:lang w:val="en-US"/>
        </w:rPr>
      </w:pPr>
      <w:r>
        <w:rPr>
          <w:lang w:val="en-US"/>
        </w:rPr>
        <w:t xml:space="preserve">Further power consumption reduction is required for both (ef)eMTC and (fe)NB-IoT, and the following scope is captured in the Rel-15 work. </w:t>
      </w:r>
    </w:p>
    <w:p w14:paraId="400289D9" w14:textId="310D9623" w:rsidR="00753469" w:rsidRDefault="00753469" w:rsidP="00156FD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14D32117" wp14:editId="26806998">
                <wp:extent cx="6244520" cy="997759"/>
                <wp:effectExtent l="0" t="0" r="29845" b="18415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4520" cy="99775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218483" w14:textId="3574EA25" w:rsidR="00641C29" w:rsidRDefault="00641C29" w:rsidP="00FC2C95">
                            <w:pPr>
                              <w:spacing w:after="0" w:afterAutospacing="0" w:line="240" w:lineRule="atLeast"/>
                              <w:contextualSpacing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>For efeMTC</w:t>
                            </w:r>
                          </w:p>
                          <w:p w14:paraId="27293EE7" w14:textId="29514058" w:rsidR="00641C29" w:rsidRPr="00173A5F" w:rsidRDefault="00641C29" w:rsidP="00173A5F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spacing w:after="0" w:afterAutospacing="0" w:line="240" w:lineRule="atLeast"/>
                              <w:ind w:leftChars="0"/>
                              <w:contextualSpacing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017C72">
                              <w:rPr>
                                <w:i/>
                                <w:iCs/>
                                <w:color w:val="000000" w:themeColor="text1"/>
                              </w:rPr>
                              <w:t>Study and, if found beneficial for idle mode paging and/or connected mode DRX, specify physical signal/channel that can be efficiently decoded or detected prior to decoding the physical downlink control/data channel.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正方形/長方形 5" o:spid="_x0000_s1026" style="width:491.7pt;height:7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" filled="f" strokecolor="black [3213]">
                <v:textbox>
                  <w:txbxContent>
                    <w:p w14:paraId="3A218483" w14:textId="3574EA25" w:rsidR="00641C29" w:rsidRDefault="00641C29" w:rsidP="00FC2C95">
                      <w:pPr>
                        <w:spacing w:after="0" w:afterAutospacing="0" w:line="240" w:lineRule="atLeast"/>
                        <w:contextualSpacing/>
                        <w:rPr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i/>
                          <w:iCs/>
                          <w:color w:val="000000" w:themeColor="text1"/>
                        </w:rPr>
                        <w:t>For efeMTC</w:t>
                      </w:r>
                    </w:p>
                    <w:p w14:paraId="27293EE7" w14:textId="29514058" w:rsidR="00641C29" w:rsidRPr="00173A5F" w:rsidRDefault="00641C29" w:rsidP="00173A5F">
                      <w:pPr>
                        <w:pStyle w:val="afc"/>
                        <w:numPr>
                          <w:ilvl w:val="0"/>
                          <w:numId w:val="8"/>
                        </w:numPr>
                        <w:spacing w:after="0" w:afterAutospacing="0" w:line="240" w:lineRule="atLeast"/>
                        <w:ind w:leftChars="0"/>
                        <w:contextualSpacing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017C72">
                        <w:rPr>
                          <w:i/>
                          <w:iCs/>
                          <w:color w:val="000000" w:themeColor="text1"/>
                        </w:rPr>
                        <w:t>Study and, if found beneficial for idle mode paging and/or connected mode DRX, specify physical signal/channel that can be efficiently decoded or detected prior to decoding the physical downlink control/data channel.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29EDABB" w14:textId="5B627CFB" w:rsidR="00641C29" w:rsidRDefault="00641C29" w:rsidP="00641C29">
      <w:pPr>
        <w:rPr>
          <w:lang w:val="en-US"/>
        </w:rPr>
      </w:pPr>
      <w:r>
        <w:rPr>
          <w:lang w:val="en-US"/>
        </w:rPr>
        <w:t xml:space="preserve">This contribution shares our expectation for this enhancement to help the RAN1 discussions. Note that the </w:t>
      </w:r>
      <w:r w:rsidR="005C426A">
        <w:rPr>
          <w:lang w:val="en-US"/>
        </w:rPr>
        <w:t>contents of this contribution are the</w:t>
      </w:r>
      <w:r>
        <w:rPr>
          <w:lang w:val="en-US"/>
        </w:rPr>
        <w:t xml:space="preserve"> same as </w:t>
      </w:r>
      <w:r w:rsidR="005C426A" w:rsidRPr="005C426A">
        <w:rPr>
          <w:lang w:val="en-US"/>
        </w:rPr>
        <w:t>R1-1707224</w:t>
      </w:r>
      <w:r>
        <w:rPr>
          <w:lang w:val="en-US"/>
        </w:rPr>
        <w:t xml:space="preserve"> for feNB-IoT ses</w:t>
      </w:r>
      <w:bookmarkStart w:id="2" w:name="_GoBack"/>
      <w:bookmarkEnd w:id="2"/>
      <w:r>
        <w:rPr>
          <w:lang w:val="en-US"/>
        </w:rPr>
        <w:t>sion.</w:t>
      </w:r>
    </w:p>
    <w:p w14:paraId="1F32F7F4" w14:textId="2F8E82A6" w:rsidR="006A2788" w:rsidRDefault="006E0AEC" w:rsidP="006A2788">
      <w:pPr>
        <w:pStyle w:val="10"/>
        <w:spacing w:after="180"/>
        <w:rPr>
          <w:lang w:val="en-US"/>
        </w:rPr>
      </w:pPr>
      <w:r>
        <w:rPr>
          <w:lang w:val="en-US"/>
        </w:rPr>
        <w:t>Motivation</w:t>
      </w:r>
    </w:p>
    <w:p w14:paraId="1FA2ACE0" w14:textId="77777777" w:rsidR="006E0AEC" w:rsidRDefault="006E0AEC" w:rsidP="006E0AEC">
      <w:r>
        <w:t>Some MTC/IoT applications have response time requirements from sending a (critical) command. For example, application server sends an emergency command to an MTC/IoT device via cellular network, and then the device is required to take an action a pre-determined time period.</w:t>
      </w:r>
    </w:p>
    <w:p w14:paraId="3ECEDB60" w14:textId="69D0DD1B" w:rsidR="006E0AEC" w:rsidRDefault="006E0AEC" w:rsidP="006E0AEC">
      <w:r>
        <w:t xml:space="preserve">When </w:t>
      </w:r>
      <w:r w:rsidR="00A863F8">
        <w:t>a</w:t>
      </w:r>
      <w:r>
        <w:t xml:space="preserve"> device is working by a battery and the service also requires a certain length of battery life, we can consider employing PSM or very long </w:t>
      </w:r>
      <w:r w:rsidR="00A863F8">
        <w:rPr>
          <w:lang w:val="en-US"/>
        </w:rPr>
        <w:t>IDLE</w:t>
      </w:r>
      <w:r>
        <w:t xml:space="preserve"> mode eDRX to satisfy the requirement. However, a long eDRX cycle is not applicable due to the response</w:t>
      </w:r>
      <w:r w:rsidR="00A863F8">
        <w:t xml:space="preserve"> time requirement above. The UE</w:t>
      </w:r>
      <w:r>
        <w:t xml:space="preserve"> therefore need</w:t>
      </w:r>
      <w:r w:rsidR="00A863F8">
        <w:t>s</w:t>
      </w:r>
      <w:r>
        <w:t xml:space="preserve"> to monitor paging (i.e. PDCCH) so frequently compared to the battery life requirement. </w:t>
      </w:r>
    </w:p>
    <w:p w14:paraId="20C2CF17" w14:textId="2453DB7A" w:rsidR="006E0AEC" w:rsidRDefault="006E0AEC" w:rsidP="006E0AEC">
      <w:r>
        <w:t xml:space="preserve">The problem here is that the intended paging message seldom (or almost never) comes because it is basically for the emergency use. As a consequence, the UE consumes most of its battery by monitoring/decoding </w:t>
      </w:r>
      <w:r w:rsidRPr="00756C9A">
        <w:rPr>
          <w:b/>
          <w:u w:val="single"/>
        </w:rPr>
        <w:t>EMPTY PDCCHs</w:t>
      </w:r>
      <w:r>
        <w:rPr>
          <w:b/>
          <w:u w:val="single"/>
        </w:rPr>
        <w:t xml:space="preserve"> in IDLE mode</w:t>
      </w:r>
      <w:r>
        <w:t xml:space="preserve">. This is what we see the room for improvements. </w:t>
      </w:r>
    </w:p>
    <w:p w14:paraId="6C8F5755" w14:textId="77777777" w:rsidR="006E0AEC" w:rsidRPr="00B30ADF" w:rsidRDefault="006E0AEC" w:rsidP="006E0AEC">
      <w:r>
        <w:t xml:space="preserve">We propose RAN1 to take this use case into their consideration. </w:t>
      </w:r>
    </w:p>
    <w:p w14:paraId="6C2DA760" w14:textId="65739EDF" w:rsidR="00D35297" w:rsidRPr="00B30ADF" w:rsidRDefault="00D35297" w:rsidP="006E0AEC"/>
    <w:sectPr w:rsidR="00D35297" w:rsidRPr="00B30ADF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641C29" w:rsidRDefault="00641C29">
      <w:r>
        <w:separator/>
      </w:r>
    </w:p>
  </w:endnote>
  <w:endnote w:type="continuationSeparator" w:id="0">
    <w:p w14:paraId="7DD93F5D" w14:textId="77777777" w:rsidR="00641C29" w:rsidRDefault="0064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641C29" w:rsidRDefault="00641C29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426A" w:rsidRPr="005C426A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641C29" w:rsidRDefault="00641C29">
      <w:r>
        <w:separator/>
      </w:r>
    </w:p>
  </w:footnote>
  <w:footnote w:type="continuationSeparator" w:id="0">
    <w:p w14:paraId="04BE8036" w14:textId="77777777" w:rsidR="00641C29" w:rsidRDefault="0064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44A3D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17C7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4879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3A5F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1F7FC0"/>
    <w:rsid w:val="00202B5A"/>
    <w:rsid w:val="00204DA4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E38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0A03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B08A9"/>
    <w:rsid w:val="005B1024"/>
    <w:rsid w:val="005B43CB"/>
    <w:rsid w:val="005B5D01"/>
    <w:rsid w:val="005C180D"/>
    <w:rsid w:val="005C2E5D"/>
    <w:rsid w:val="005C426A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1C29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473F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2788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0AEC"/>
    <w:rsid w:val="006E4676"/>
    <w:rsid w:val="006E474C"/>
    <w:rsid w:val="006E5B79"/>
    <w:rsid w:val="006E6080"/>
    <w:rsid w:val="006E739B"/>
    <w:rsid w:val="006F0C30"/>
    <w:rsid w:val="006F1810"/>
    <w:rsid w:val="006F2585"/>
    <w:rsid w:val="006F2D86"/>
    <w:rsid w:val="00703C89"/>
    <w:rsid w:val="0070705D"/>
    <w:rsid w:val="00711510"/>
    <w:rsid w:val="007123B9"/>
    <w:rsid w:val="007145ED"/>
    <w:rsid w:val="0071494F"/>
    <w:rsid w:val="007160C1"/>
    <w:rsid w:val="00723BB1"/>
    <w:rsid w:val="00725E7B"/>
    <w:rsid w:val="007301DD"/>
    <w:rsid w:val="00733F87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3469"/>
    <w:rsid w:val="00754720"/>
    <w:rsid w:val="00756C9A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B098C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1E33"/>
    <w:rsid w:val="00957439"/>
    <w:rsid w:val="009579A9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863F8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0ADF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677E7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6A6"/>
    <w:rsid w:val="00CC5FBE"/>
    <w:rsid w:val="00CC6A66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5297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6B0C"/>
    <w:rsid w:val="00DB6CBE"/>
    <w:rsid w:val="00DC37C2"/>
    <w:rsid w:val="00DC44B7"/>
    <w:rsid w:val="00DD3A8D"/>
    <w:rsid w:val="00DD505B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793B"/>
    <w:rsid w:val="00E518A6"/>
    <w:rsid w:val="00E53CB4"/>
    <w:rsid w:val="00E623E1"/>
    <w:rsid w:val="00E64E5D"/>
    <w:rsid w:val="00E672F6"/>
    <w:rsid w:val="00E70CA9"/>
    <w:rsid w:val="00E70DA6"/>
    <w:rsid w:val="00E71945"/>
    <w:rsid w:val="00E7515B"/>
    <w:rsid w:val="00E77824"/>
    <w:rsid w:val="00E827D2"/>
    <w:rsid w:val="00E85E43"/>
    <w:rsid w:val="00E930AA"/>
    <w:rsid w:val="00E97520"/>
    <w:rsid w:val="00EA5D44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2C9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C33BD-F80D-0743-B5AD-3F82C373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Macintosh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2017-05-01T03:42:00Z</dcterms:modified>
  <cp:category/>
</cp:coreProperties>
</file>