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0662DC" w14:textId="0ED2A173" w:rsidR="0009798D" w:rsidRPr="00327997" w:rsidRDefault="0009798D" w:rsidP="0009798D">
      <w:pPr>
        <w:pStyle w:val="3GPPHeader"/>
        <w:rPr>
          <w:highlight w:val="yellow"/>
        </w:rPr>
      </w:pPr>
      <w:r w:rsidRPr="00327997">
        <w:t>3GPP TSG-RAN WG1</w:t>
      </w:r>
      <w:r>
        <w:t xml:space="preserve"> #88bis</w:t>
      </w:r>
      <w:r w:rsidRPr="00327997">
        <w:tab/>
      </w:r>
      <w:r w:rsidRPr="0008308D">
        <w:t>R1-</w:t>
      </w:r>
      <w:r w:rsidR="0008308D" w:rsidRPr="0008308D">
        <w:t>1705916</w:t>
      </w:r>
    </w:p>
    <w:p w14:paraId="630B877C" w14:textId="77777777" w:rsidR="0009798D" w:rsidRPr="00C95811" w:rsidRDefault="0009798D" w:rsidP="0009798D">
      <w:pPr>
        <w:pStyle w:val="Header"/>
      </w:pPr>
      <w:r w:rsidRPr="00D0553D">
        <w:t>Spokane, USA 3rd - 7th April 2017</w:t>
      </w:r>
      <w:bookmarkStart w:id="0" w:name="_GoBack"/>
      <w:bookmarkEnd w:id="0"/>
    </w:p>
    <w:p w14:paraId="60543C3D" w14:textId="77777777" w:rsidR="00E90E49" w:rsidRPr="0009798D" w:rsidRDefault="00E90E49" w:rsidP="00357380">
      <w:pPr>
        <w:pStyle w:val="3GPPHeader"/>
        <w:rPr>
          <w:color w:val="FF0000"/>
          <w:lang w:val="en-US"/>
        </w:rPr>
      </w:pPr>
    </w:p>
    <w:p w14:paraId="1A97DED5" w14:textId="77777777" w:rsidR="00E90E49" w:rsidRPr="0009798D" w:rsidRDefault="003D3C45" w:rsidP="00327997">
      <w:pPr>
        <w:pStyle w:val="3GPPHeader"/>
      </w:pPr>
      <w:r w:rsidRPr="0009798D">
        <w:t>Source:</w:t>
      </w:r>
      <w:r w:rsidR="00E90E49" w:rsidRPr="0009798D">
        <w:tab/>
      </w:r>
      <w:r w:rsidR="00F64C2B" w:rsidRPr="0009798D">
        <w:t>Ericsson</w:t>
      </w:r>
    </w:p>
    <w:p w14:paraId="4F4C4FB8" w14:textId="44168D8E" w:rsidR="00E90E49" w:rsidRPr="0009798D" w:rsidRDefault="003D3C45" w:rsidP="00327997">
      <w:pPr>
        <w:pStyle w:val="3GPPHeader"/>
      </w:pPr>
      <w:r w:rsidRPr="0009798D">
        <w:t>Title:</w:t>
      </w:r>
      <w:r w:rsidR="00E90E49" w:rsidRPr="0009798D">
        <w:tab/>
      </w:r>
      <w:r w:rsidR="00DB4333" w:rsidRPr="0009798D">
        <w:t>On</w:t>
      </w:r>
      <w:r w:rsidR="006D5062" w:rsidRPr="0009798D">
        <w:t xml:space="preserve"> </w:t>
      </w:r>
      <w:r w:rsidR="00DB4333" w:rsidRPr="0009798D">
        <w:t>power control for NR</w:t>
      </w:r>
    </w:p>
    <w:p w14:paraId="3D9B247B" w14:textId="77777777" w:rsidR="00952A24" w:rsidRPr="0009798D" w:rsidRDefault="00952A24" w:rsidP="00327997">
      <w:pPr>
        <w:pStyle w:val="3GPPHeader"/>
      </w:pPr>
      <w:r w:rsidRPr="0009798D">
        <w:t>Agenda Item:</w:t>
      </w:r>
      <w:r w:rsidRPr="0009798D">
        <w:tab/>
      </w:r>
      <w:r w:rsidR="00AC7789" w:rsidRPr="0009798D">
        <w:t>8</w:t>
      </w:r>
      <w:r w:rsidR="00A85C6C" w:rsidRPr="0009798D">
        <w:t>.1.2.</w:t>
      </w:r>
      <w:r w:rsidR="00F0054A" w:rsidRPr="0009798D">
        <w:t>5</w:t>
      </w:r>
    </w:p>
    <w:p w14:paraId="41E8AF59" w14:textId="0ADE2305" w:rsidR="007B1ABD" w:rsidRPr="007B1ABD" w:rsidRDefault="00E90E49" w:rsidP="00DE05DF">
      <w:pPr>
        <w:pStyle w:val="3GPPHeader"/>
      </w:pPr>
      <w:r w:rsidRPr="0009798D">
        <w:t>Document for:</w:t>
      </w:r>
      <w:r w:rsidRPr="0009798D">
        <w:tab/>
      </w:r>
      <w:r w:rsidR="00A15745" w:rsidRPr="0009798D">
        <w:t>Discussion and</w:t>
      </w:r>
      <w:r w:rsidR="00952A24" w:rsidRPr="0009798D">
        <w:t xml:space="preserve"> </w:t>
      </w:r>
      <w:r w:rsidRPr="0009798D">
        <w:t>Decision</w:t>
      </w:r>
    </w:p>
    <w:p w14:paraId="5B301947" w14:textId="5C7CC2C8" w:rsidR="00E90E49" w:rsidRPr="00CE0424" w:rsidRDefault="007F75D5" w:rsidP="00CE0424">
      <w:pPr>
        <w:pStyle w:val="Heading1"/>
      </w:pPr>
      <w:r>
        <w:t>Introduction</w:t>
      </w:r>
    </w:p>
    <w:p w14:paraId="137619C0" w14:textId="2896CA58" w:rsidR="00B90F9A" w:rsidRPr="00E9149C" w:rsidRDefault="00B90F9A" w:rsidP="00B90F9A">
      <w:pPr>
        <w:pStyle w:val="BodyText"/>
      </w:pPr>
      <w:r>
        <w:t>In RAN1#88, the following agreement was made on power control</w:t>
      </w:r>
      <w:r>
        <w:fldChar w:fldCharType="begin"/>
      </w:r>
      <w:r>
        <w:instrText xml:space="preserve"> REF _Ref473796576 \r \h </w:instrText>
      </w:r>
      <w:r>
        <w:fldChar w:fldCharType="separate"/>
      </w:r>
      <w:r w:rsidR="00716E24">
        <w:t>[1]</w:t>
      </w:r>
      <w:r>
        <w:fldChar w:fldCharType="end"/>
      </w:r>
      <w:r>
        <w:t>:</w:t>
      </w:r>
    </w:p>
    <w:p w14:paraId="34C684DC" w14:textId="77777777" w:rsidR="00B90F9A" w:rsidRDefault="00B90F9A" w:rsidP="00B90F9A">
      <w:pPr>
        <w:pStyle w:val="BodyText"/>
      </w:pPr>
      <w:r>
        <w:rPr>
          <w:noProof/>
          <w:lang w:val="sv-FI" w:eastAsia="sv-FI"/>
        </w:rPr>
        <mc:AlternateContent>
          <mc:Choice Requires="wps">
            <w:drawing>
              <wp:inline distT="0" distB="0" distL="0" distR="0" wp14:anchorId="3EE3C8E9" wp14:editId="439F5615">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63B07F" w14:textId="77777777" w:rsidR="00B90F9A" w:rsidRPr="00FB1F71" w:rsidRDefault="00B90F9A" w:rsidP="00B90F9A">
                            <w:pPr>
                              <w:rPr>
                                <w:rFonts w:eastAsia="MS Mincho"/>
                                <w:b/>
                                <w:u w:val="single"/>
                                <w:lang w:val="en-US" w:eastAsia="ja-JP"/>
                              </w:rPr>
                            </w:pPr>
                            <w:r w:rsidRPr="00D75CEF">
                              <w:rPr>
                                <w:rFonts w:eastAsia="MS Mincho" w:hint="eastAsia"/>
                                <w:b/>
                                <w:highlight w:val="green"/>
                                <w:u w:val="single"/>
                                <w:lang w:val="en-US" w:eastAsia="ja-JP"/>
                              </w:rPr>
                              <w:t>Agreements:</w:t>
                            </w:r>
                          </w:p>
                          <w:p w14:paraId="4E170AB3" w14:textId="77777777" w:rsidR="00B90F9A" w:rsidRPr="0009798D" w:rsidRDefault="00B90F9A" w:rsidP="00B90F9A">
                            <w:pPr>
                              <w:numPr>
                                <w:ilvl w:val="0"/>
                                <w:numId w:val="21"/>
                              </w:numPr>
                              <w:overflowPunct/>
                              <w:autoSpaceDE/>
                              <w:autoSpaceDN/>
                              <w:adjustRightInd/>
                              <w:spacing w:after="0"/>
                              <w:jc w:val="left"/>
                              <w:textAlignment w:val="auto"/>
                              <w:rPr>
                                <w:rFonts w:eastAsia="MS Mincho"/>
                                <w:lang w:val="en-US" w:eastAsia="ja-JP"/>
                              </w:rPr>
                            </w:pPr>
                            <w:r w:rsidRPr="0009798D">
                              <w:rPr>
                                <w:rFonts w:eastAsia="MS Mincho"/>
                                <w:lang w:val="en-US" w:eastAsia="ja-JP"/>
                              </w:rPr>
                              <w:t>NR supports beam specific power control as baseline.</w:t>
                            </w:r>
                          </w:p>
                          <w:p w14:paraId="65025815" w14:textId="77777777" w:rsidR="00B90F9A" w:rsidRPr="0009798D" w:rsidRDefault="00B90F9A" w:rsidP="00B90F9A">
                            <w:pPr>
                              <w:numPr>
                                <w:ilvl w:val="1"/>
                                <w:numId w:val="21"/>
                              </w:numPr>
                              <w:overflowPunct/>
                              <w:autoSpaceDE/>
                              <w:autoSpaceDN/>
                              <w:adjustRightInd/>
                              <w:spacing w:after="0"/>
                              <w:jc w:val="left"/>
                              <w:textAlignment w:val="auto"/>
                              <w:rPr>
                                <w:rFonts w:eastAsia="MS Mincho"/>
                                <w:lang w:val="en-US" w:eastAsia="ja-JP"/>
                              </w:rPr>
                            </w:pPr>
                            <w:r w:rsidRPr="0009798D">
                              <w:rPr>
                                <w:rFonts w:eastAsia="MS Mincho"/>
                                <w:lang w:val="en-US" w:eastAsia="ja-JP"/>
                              </w:rPr>
                              <w:t>FFS details especially regarding handling layer/layer-group/panel specific/beam group specific/beam pair link specific power control</w:t>
                            </w:r>
                          </w:p>
                          <w:p w14:paraId="25F9FC6A" w14:textId="77777777" w:rsidR="00B90F9A" w:rsidRPr="0009798D" w:rsidRDefault="00B90F9A" w:rsidP="00B90F9A">
                            <w:pPr>
                              <w:numPr>
                                <w:ilvl w:val="1"/>
                                <w:numId w:val="21"/>
                              </w:numPr>
                              <w:overflowPunct/>
                              <w:autoSpaceDE/>
                              <w:autoSpaceDN/>
                              <w:adjustRightInd/>
                              <w:spacing w:after="0"/>
                              <w:jc w:val="left"/>
                              <w:textAlignment w:val="auto"/>
                              <w:rPr>
                                <w:rFonts w:eastAsia="MS Mincho"/>
                                <w:lang w:val="en-US" w:eastAsia="ja-JP"/>
                              </w:rPr>
                            </w:pPr>
                            <w:r w:rsidRPr="0009798D">
                              <w:rPr>
                                <w:rFonts w:eastAsia="MS Mincho"/>
                                <w:lang w:val="en-US" w:eastAsia="ja-JP"/>
                              </w:rPr>
                              <w:t>FFS whether to apply open loop only, closed loop only, or both</w:t>
                            </w:r>
                          </w:p>
                          <w:p w14:paraId="02553FBC" w14:textId="77777777" w:rsidR="00B90F9A" w:rsidRPr="0009798D" w:rsidRDefault="00B90F9A" w:rsidP="00B90F9A">
                            <w:pPr>
                              <w:numPr>
                                <w:ilvl w:val="0"/>
                                <w:numId w:val="21"/>
                              </w:numPr>
                              <w:overflowPunct/>
                              <w:autoSpaceDE/>
                              <w:autoSpaceDN/>
                              <w:adjustRightInd/>
                              <w:spacing w:after="0"/>
                              <w:jc w:val="left"/>
                              <w:textAlignment w:val="auto"/>
                              <w:rPr>
                                <w:rFonts w:eastAsia="MS Mincho"/>
                                <w:lang w:val="en-US" w:eastAsia="ja-JP"/>
                              </w:rPr>
                            </w:pPr>
                            <w:r w:rsidRPr="0009798D">
                              <w:rPr>
                                <w:rFonts w:eastAsia="MS Mincho"/>
                                <w:lang w:val="en-US" w:eastAsia="ja-JP"/>
                              </w:rPr>
                              <w:t>Waveform (CP-OFDM vs. DFT-s-OFDM) specific power control for a UE, e.g., PHR, offset needs to be studied in WI.</w:t>
                            </w:r>
                          </w:p>
                          <w:p w14:paraId="1289BD43" w14:textId="77777777" w:rsidR="00B90F9A" w:rsidRPr="00BF7642" w:rsidRDefault="00B90F9A" w:rsidP="00B90F9A">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EE3C8E9" id="_x0000_t202" coordsize="21600,21600" o:spt="202" path="m,l,21600r21600,l21600,xe">
                <v:stroke joinstyle="miter"/>
                <v:path gradientshapeok="t" o:connecttype="rect"/>
              </v:shapetype>
              <v:shape id="Text Box 1"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cD+kw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" fillcolor="white [3201]" strokeweight=".5pt">
                <v:textbox style="mso-fit-shape-to-text:t">
                  <w:txbxContent>
                    <w:p w14:paraId="1C63B07F" w14:textId="77777777" w:rsidR="00B90F9A" w:rsidRPr="00FB1F71" w:rsidRDefault="00B90F9A" w:rsidP="00B90F9A">
                      <w:pPr>
                        <w:rPr>
                          <w:rFonts w:eastAsia="MS Mincho"/>
                          <w:b/>
                          <w:u w:val="single"/>
                          <w:lang w:val="en-US" w:eastAsia="ja-JP"/>
                        </w:rPr>
                      </w:pPr>
                      <w:r w:rsidRPr="00D75CEF">
                        <w:rPr>
                          <w:rFonts w:eastAsia="MS Mincho" w:hint="eastAsia"/>
                          <w:b/>
                          <w:highlight w:val="green"/>
                          <w:u w:val="single"/>
                          <w:lang w:val="en-US" w:eastAsia="ja-JP"/>
                        </w:rPr>
                        <w:t>Agreements:</w:t>
                      </w:r>
                    </w:p>
                    <w:p w14:paraId="4E170AB3" w14:textId="77777777" w:rsidR="00B90F9A" w:rsidRPr="0009798D" w:rsidRDefault="00B90F9A" w:rsidP="00B90F9A">
                      <w:pPr>
                        <w:numPr>
                          <w:ilvl w:val="0"/>
                          <w:numId w:val="21"/>
                        </w:numPr>
                        <w:overflowPunct/>
                        <w:autoSpaceDE/>
                        <w:autoSpaceDN/>
                        <w:adjustRightInd/>
                        <w:spacing w:after="0"/>
                        <w:jc w:val="left"/>
                        <w:textAlignment w:val="auto"/>
                        <w:rPr>
                          <w:rFonts w:eastAsia="MS Mincho"/>
                          <w:lang w:val="en-US" w:eastAsia="ja-JP"/>
                        </w:rPr>
                      </w:pPr>
                      <w:r w:rsidRPr="0009798D">
                        <w:rPr>
                          <w:rFonts w:eastAsia="MS Mincho"/>
                          <w:lang w:val="en-US" w:eastAsia="ja-JP"/>
                        </w:rPr>
                        <w:t>NR supports beam specific power control as baseline.</w:t>
                      </w:r>
                    </w:p>
                    <w:p w14:paraId="65025815" w14:textId="77777777" w:rsidR="00B90F9A" w:rsidRPr="0009798D" w:rsidRDefault="00B90F9A" w:rsidP="00B90F9A">
                      <w:pPr>
                        <w:numPr>
                          <w:ilvl w:val="1"/>
                          <w:numId w:val="21"/>
                        </w:numPr>
                        <w:overflowPunct/>
                        <w:autoSpaceDE/>
                        <w:autoSpaceDN/>
                        <w:adjustRightInd/>
                        <w:spacing w:after="0"/>
                        <w:jc w:val="left"/>
                        <w:textAlignment w:val="auto"/>
                        <w:rPr>
                          <w:rFonts w:eastAsia="MS Mincho"/>
                          <w:lang w:val="en-US" w:eastAsia="ja-JP"/>
                        </w:rPr>
                      </w:pPr>
                      <w:r w:rsidRPr="0009798D">
                        <w:rPr>
                          <w:rFonts w:eastAsia="MS Mincho"/>
                          <w:lang w:val="en-US" w:eastAsia="ja-JP"/>
                        </w:rPr>
                        <w:t>FFS details especially regarding handling layer/layer-group/panel specific/beam group specific/beam pair link specific power control</w:t>
                      </w:r>
                    </w:p>
                    <w:p w14:paraId="25F9FC6A" w14:textId="77777777" w:rsidR="00B90F9A" w:rsidRPr="0009798D" w:rsidRDefault="00B90F9A" w:rsidP="00B90F9A">
                      <w:pPr>
                        <w:numPr>
                          <w:ilvl w:val="1"/>
                          <w:numId w:val="21"/>
                        </w:numPr>
                        <w:overflowPunct/>
                        <w:autoSpaceDE/>
                        <w:autoSpaceDN/>
                        <w:adjustRightInd/>
                        <w:spacing w:after="0"/>
                        <w:jc w:val="left"/>
                        <w:textAlignment w:val="auto"/>
                        <w:rPr>
                          <w:rFonts w:eastAsia="MS Mincho"/>
                          <w:lang w:val="en-US" w:eastAsia="ja-JP"/>
                        </w:rPr>
                      </w:pPr>
                      <w:r w:rsidRPr="0009798D">
                        <w:rPr>
                          <w:rFonts w:eastAsia="MS Mincho"/>
                          <w:lang w:val="en-US" w:eastAsia="ja-JP"/>
                        </w:rPr>
                        <w:t>FFS whether to apply open loop only, closed loop only, or both</w:t>
                      </w:r>
                    </w:p>
                    <w:p w14:paraId="02553FBC" w14:textId="77777777" w:rsidR="00B90F9A" w:rsidRPr="0009798D" w:rsidRDefault="00B90F9A" w:rsidP="00B90F9A">
                      <w:pPr>
                        <w:numPr>
                          <w:ilvl w:val="0"/>
                          <w:numId w:val="21"/>
                        </w:numPr>
                        <w:overflowPunct/>
                        <w:autoSpaceDE/>
                        <w:autoSpaceDN/>
                        <w:adjustRightInd/>
                        <w:spacing w:after="0"/>
                        <w:jc w:val="left"/>
                        <w:textAlignment w:val="auto"/>
                        <w:rPr>
                          <w:rFonts w:eastAsia="MS Mincho"/>
                          <w:lang w:val="en-US" w:eastAsia="ja-JP"/>
                        </w:rPr>
                      </w:pPr>
                      <w:r w:rsidRPr="0009798D">
                        <w:rPr>
                          <w:rFonts w:eastAsia="MS Mincho"/>
                          <w:lang w:val="en-US" w:eastAsia="ja-JP"/>
                        </w:rPr>
                        <w:t>Waveform (CP-OFDM vs. DFT-s-OFDM) specific power control for a UE, e.g., PHR, offset needs to be studied in WI.</w:t>
                      </w:r>
                    </w:p>
                    <w:p w14:paraId="1289BD43" w14:textId="77777777" w:rsidR="00B90F9A" w:rsidRPr="00BF7642" w:rsidRDefault="00B90F9A" w:rsidP="00B90F9A">
                      <w:pPr>
                        <w:rPr>
                          <w:rFonts w:eastAsia="MS Mincho"/>
                          <w:lang w:val="en-US"/>
                        </w:rPr>
                      </w:pPr>
                    </w:p>
                  </w:txbxContent>
                </v:textbox>
                <w10:anchorlock/>
              </v:shape>
            </w:pict>
          </mc:Fallback>
        </mc:AlternateContent>
      </w:r>
    </w:p>
    <w:p w14:paraId="47C22454" w14:textId="77777777" w:rsidR="00B90F9A" w:rsidRDefault="00B90F9A" w:rsidP="00BF7642">
      <w:pPr>
        <w:pStyle w:val="BodyText"/>
      </w:pPr>
    </w:p>
    <w:p w14:paraId="62BF8807" w14:textId="33B52CF7" w:rsidR="00477768" w:rsidRPr="00CE0424" w:rsidRDefault="00BF7642" w:rsidP="00BF7642">
      <w:pPr>
        <w:pStyle w:val="BodyText"/>
      </w:pPr>
      <w:r>
        <w:t xml:space="preserve">In this contribution, </w:t>
      </w:r>
      <w:r w:rsidR="00F0054A">
        <w:t xml:space="preserve">we discuss </w:t>
      </w:r>
      <w:r w:rsidR="0009798D">
        <w:t xml:space="preserve">some of the </w:t>
      </w:r>
      <w:r w:rsidR="00F0054A">
        <w:t>remaining issues on power control.</w:t>
      </w:r>
      <w:r w:rsidR="005E23C1">
        <w:t xml:space="preserve"> The </w:t>
      </w:r>
      <w:r w:rsidR="00DE05DF">
        <w:t>topic</w:t>
      </w:r>
      <w:r w:rsidR="005E23C1">
        <w:t xml:space="preserve"> of </w:t>
      </w:r>
      <w:r w:rsidR="005E23C1" w:rsidRPr="005E6FF3">
        <w:t>path loss estimation for UL power control</w:t>
      </w:r>
      <w:r w:rsidR="005E23C1">
        <w:t xml:space="preserve"> is discussed in our </w:t>
      </w:r>
      <w:r w:rsidR="00E82391">
        <w:t>companion</w:t>
      </w:r>
      <w:r w:rsidR="005E23C1">
        <w:t xml:space="preserve"> contribution </w:t>
      </w:r>
      <w:r w:rsidR="00E82391">
        <w:fldChar w:fldCharType="begin"/>
      </w:r>
      <w:r w:rsidR="00E82391">
        <w:instrText xml:space="preserve"> REF _Ref477944470 \r \h </w:instrText>
      </w:r>
      <w:r w:rsidR="00E82391">
        <w:fldChar w:fldCharType="separate"/>
      </w:r>
      <w:r w:rsidR="00716E24">
        <w:t>[3]</w:t>
      </w:r>
      <w:r w:rsidR="00E82391">
        <w:fldChar w:fldCharType="end"/>
      </w:r>
      <w:r w:rsidR="005E23C1">
        <w:t xml:space="preserve">. </w:t>
      </w:r>
    </w:p>
    <w:p w14:paraId="68D25A38" w14:textId="2CA0B007" w:rsidR="004000E8" w:rsidRDefault="004000E8" w:rsidP="00CE0424">
      <w:pPr>
        <w:pStyle w:val="Heading1"/>
      </w:pPr>
      <w:bookmarkStart w:id="1" w:name="_Ref178064866"/>
      <w:r w:rsidRPr="00CE0424">
        <w:t>Discussion</w:t>
      </w:r>
      <w:bookmarkEnd w:id="1"/>
    </w:p>
    <w:p w14:paraId="7AB1530C" w14:textId="334B8BC5" w:rsidR="001444BE" w:rsidRPr="000845EF" w:rsidRDefault="001444BE" w:rsidP="001444BE">
      <w:pPr>
        <w:spacing w:after="180"/>
        <w:rPr>
          <w:rFonts w:eastAsia="MS Mincho" w:cs="Arial"/>
          <w:lang w:eastAsia="en-GB"/>
        </w:rPr>
      </w:pPr>
      <w:r w:rsidRPr="000845EF">
        <w:rPr>
          <w:rFonts w:eastAsia="MS Mincho" w:cs="Arial"/>
          <w:lang w:eastAsia="en-GB"/>
        </w:rPr>
        <w:t>In</w:t>
      </w:r>
      <w:r w:rsidR="00F1451F">
        <w:rPr>
          <w:rFonts w:eastAsia="MS Mincho" w:cs="Arial"/>
          <w:lang w:eastAsia="en-GB"/>
        </w:rPr>
        <w:t>,</w:t>
      </w:r>
      <w:r w:rsidRPr="000845EF">
        <w:rPr>
          <w:rFonts w:eastAsia="MS Mincho" w:cs="Arial"/>
          <w:lang w:eastAsia="en-GB"/>
        </w:rPr>
        <w:t xml:space="preserve"> for instance LTE release 10</w:t>
      </w:r>
      <w:r w:rsidR="00F1451F">
        <w:rPr>
          <w:rFonts w:eastAsia="MS Mincho" w:cs="Arial"/>
          <w:lang w:eastAsia="en-GB"/>
        </w:rPr>
        <w:t>,</w:t>
      </w:r>
      <w:r w:rsidRPr="000845EF">
        <w:rPr>
          <w:rFonts w:eastAsia="MS Mincho" w:cs="Arial"/>
          <w:lang w:eastAsia="en-GB"/>
        </w:rPr>
        <w:t xml:space="preserve"> the setting of the UE Transmit power for a physical uplink control channel (PUCCH) transmission is defined as follows</w:t>
      </w:r>
      <w:r w:rsidR="00F1451F">
        <w:rPr>
          <w:rFonts w:eastAsia="MS Mincho" w:cs="Arial"/>
          <w:lang w:eastAsia="en-GB"/>
        </w:rPr>
        <w:t>:</w:t>
      </w:r>
    </w:p>
    <w:p w14:paraId="7FCBEA31" w14:textId="77777777" w:rsidR="001444BE" w:rsidRPr="000845EF" w:rsidRDefault="00A900B3" w:rsidP="001444BE">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0,PUCCH</m:t>
                      </m:r>
                    </m:sub>
                    <m:sup/>
                  </m:sSubSup>
                  <m:r>
                    <w:rPr>
                      <w:rFonts w:ascii="Cambria Math" w:hAnsi="Cambria Math" w:cs="Arial"/>
                    </w:rPr>
                    <m:t>+PL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m:t>
                  </m:r>
                </m:e>
                <m:sub>
                  <m:r>
                    <w:rPr>
                      <w:rFonts w:ascii="Cambria Math" w:hAnsi="Cambria Math" w:cs="Arial"/>
                    </w:rPr>
                    <m:t>Format</m:t>
                  </m:r>
                </m:sub>
                <m:sup/>
              </m:sSubSup>
              <m:r>
                <w:rPr>
                  <w:rFonts w:ascii="Cambria Math" w:hAnsi="Cambria Math" w:cs="Arial"/>
                </w:rPr>
                <m:t>+δ</m:t>
              </m:r>
            </m:e>
          </m:d>
        </m:oMath>
      </m:oMathPara>
    </w:p>
    <w:p w14:paraId="4CE45D4D" w14:textId="77777777" w:rsidR="001444BE" w:rsidRPr="000845EF" w:rsidRDefault="001444BE" w:rsidP="001444BE">
      <w:pPr>
        <w:pStyle w:val="BodyText"/>
        <w:rPr>
          <w:rFonts w:cs="Arial"/>
        </w:rPr>
      </w:pPr>
      <w:r w:rsidRPr="000845EF">
        <w:rPr>
          <w:rFonts w:cs="Arial"/>
        </w:rPr>
        <w:t xml:space="preserve">Here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oMath>
      <w:r w:rsidRPr="000845EF">
        <w:rPr>
          <w:rFonts w:cs="Arial"/>
        </w:rPr>
        <w:t xml:space="preserve"> is the transmit power to use in a given subframe and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DL</m:t>
            </m:r>
          </m:sub>
          <m:sup/>
        </m:sSubSup>
      </m:oMath>
      <w:r w:rsidRPr="000845EF">
        <w:rPr>
          <w:rFonts w:cs="Arial"/>
        </w:rPr>
        <w:t xml:space="preserve"> is the pathloss estimated by the UE. For PUSCH one instead use the equation </w:t>
      </w:r>
    </w:p>
    <w:p w14:paraId="6FDC246B" w14:textId="77777777" w:rsidR="001444BE" w:rsidRPr="000845EF" w:rsidRDefault="00A900B3" w:rsidP="001444BE">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sSubSup>
                  <m:r>
                    <w:rPr>
                      <w:rFonts w:ascii="Cambria Math" w:hAnsi="Cambria Math" w:cs="Arial"/>
                    </w:rPr>
                    <m:t>+αPL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rPr>
                        <m:t>10</m:t>
                      </m:r>
                    </m:sub>
                    <m:sup/>
                  </m:sSubSup>
                  <m:r>
                    <m:rPr>
                      <m:sty m:val="p"/>
                    </m:rPr>
                    <w:rPr>
                      <w:rFonts w:ascii="Cambria Math" w:hAnsi="Cambria Math" w:cs="Arial"/>
                    </w:rPr>
                    <m:t>M+∇</m:t>
                  </m:r>
                </m:e>
                <m:sub>
                  <m:r>
                    <w:rPr>
                      <w:rFonts w:ascii="Cambria Math" w:hAnsi="Cambria Math" w:cs="Arial"/>
                    </w:rPr>
                    <m:t>MCS</m:t>
                  </m:r>
                </m:sub>
                <m:sup/>
              </m:sSubSup>
              <m:r>
                <w:rPr>
                  <w:rFonts w:ascii="Cambria Math" w:hAnsi="Cambria Math" w:cs="Arial"/>
                </w:rPr>
                <m:t>+δ</m:t>
              </m:r>
            </m:e>
          </m:d>
        </m:oMath>
      </m:oMathPara>
    </w:p>
    <w:p w14:paraId="20EA73DF" w14:textId="0DBF6054" w:rsidR="002765E1" w:rsidRDefault="001444BE" w:rsidP="001444BE">
      <w:pPr>
        <w:pStyle w:val="BodyText"/>
        <w:rPr>
          <w:rFonts w:cs="Arial"/>
        </w:rPr>
      </w:pPr>
      <w:r w:rsidRPr="000845EF">
        <w:rPr>
          <w:rFonts w:cs="Arial"/>
        </w:rPr>
        <w:t xml:space="preserve">where </w:t>
      </w:r>
      <w:r w:rsidRPr="000845EF">
        <w:rPr>
          <w:rFonts w:cs="Arial"/>
          <w:i/>
        </w:rPr>
        <w:t>c</w:t>
      </w:r>
      <w:r w:rsidRPr="000845EF">
        <w:rPr>
          <w:rFonts w:cs="Arial"/>
        </w:rPr>
        <w:t xml:space="preserve"> denotes the serving cell and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oMath>
      <w:r w:rsidRPr="000845EF">
        <w:rPr>
          <w:rFonts w:cs="Arial"/>
        </w:rPr>
        <w:t xml:space="preserve"> is the transmit power to use in a given subframe. </w:t>
      </w:r>
      <w:r w:rsidR="002765E1">
        <w:rPr>
          <w:rFonts w:cs="Arial"/>
        </w:rPr>
        <w:t xml:space="preserve">These formulas have been modified in later releases of LTE. </w:t>
      </w:r>
    </w:p>
    <w:p w14:paraId="01DF31DD" w14:textId="66D14045" w:rsidR="002765E1" w:rsidRDefault="002765E1" w:rsidP="002765E1">
      <w:pPr>
        <w:pStyle w:val="Observation"/>
      </w:pPr>
      <w:bookmarkStart w:id="2" w:name="_Toc477965070"/>
      <w:r>
        <w:t>In LTE release 13 a</w:t>
      </w:r>
      <w:r w:rsidR="00F1451F">
        <w:t xml:space="preserve"> additional</w:t>
      </w:r>
      <w:r>
        <w:t xml:space="preserve"> </w:t>
      </w:r>
      <m:oMath>
        <m:r>
          <m:rPr>
            <m:sty m:val="b"/>
          </m:rPr>
          <w:rPr>
            <w:rFonts w:ascii="Cambria Math" w:hAnsi="Cambria Math" w:cs="Arial"/>
          </w:rPr>
          <m:t>10</m:t>
        </m:r>
        <m:sSubSup>
          <m:sSubSupPr>
            <m:ctrlPr>
              <w:rPr>
                <w:rFonts w:ascii="Cambria Math" w:hAnsi="Cambria Math" w:cs="Arial"/>
              </w:rPr>
            </m:ctrlPr>
          </m:sSubSupPr>
          <m:e>
            <m:r>
              <m:rPr>
                <m:sty m:val="bi"/>
              </m:rPr>
              <w:rPr>
                <w:rFonts w:ascii="Cambria Math" w:hAnsi="Cambria Math" w:cs="Arial"/>
              </w:rPr>
              <m:t>log</m:t>
            </m:r>
          </m:e>
          <m:sub>
            <m:r>
              <m:rPr>
                <m:sty m:val="bi"/>
              </m:rPr>
              <w:rPr>
                <w:rFonts w:ascii="Cambria Math" w:hAnsi="Cambria Math" w:cs="Arial"/>
              </w:rPr>
              <m:t>10</m:t>
            </m:r>
          </m:sub>
          <m:sup/>
        </m:sSubSup>
        <m:r>
          <m:rPr>
            <m:sty m:val="b"/>
          </m:rPr>
          <w:rPr>
            <w:rFonts w:ascii="Cambria Math" w:hAnsi="Cambria Math" w:cs="Arial"/>
          </w:rPr>
          <m:t>M</m:t>
        </m:r>
      </m:oMath>
      <w:r>
        <w:t xml:space="preserve"> </w:t>
      </w:r>
      <w:r w:rsidR="006111A0">
        <w:t xml:space="preserve">term </w:t>
      </w:r>
      <w:r>
        <w:t>was introduced for PUCCH</w:t>
      </w:r>
      <w:r w:rsidR="009F75C7">
        <w:t xml:space="preserve"> </w:t>
      </w:r>
      <w:r w:rsidR="006111A0">
        <w:t xml:space="preserve">and </w:t>
      </w:r>
      <w:r w:rsidR="009F75C7">
        <w:t>PUCCH format 4/5</w:t>
      </w:r>
      <w:bookmarkEnd w:id="2"/>
    </w:p>
    <w:p w14:paraId="2B8DCC0B" w14:textId="4C38BF61" w:rsidR="001444BE" w:rsidRPr="001444BE" w:rsidRDefault="00CA5132" w:rsidP="001444BE">
      <w:pPr>
        <w:pStyle w:val="Proposal"/>
      </w:pPr>
      <w:bookmarkStart w:id="3" w:name="_Toc477957106"/>
      <w:bookmarkStart w:id="4" w:name="_Toc477963947"/>
      <w:bookmarkStart w:id="5" w:name="_Toc477965073"/>
      <w:r>
        <w:t xml:space="preserve">NR </w:t>
      </w:r>
      <w:r w:rsidR="006111A0">
        <w:t xml:space="preserve">should similarly consider </w:t>
      </w:r>
      <w:r>
        <w:t xml:space="preserve">a </w:t>
      </w:r>
      <m:oMath>
        <m:r>
          <m:rPr>
            <m:sty m:val="b"/>
          </m:rPr>
          <w:rPr>
            <w:rFonts w:ascii="Cambria Math" w:hAnsi="Cambria Math" w:cs="Arial"/>
          </w:rPr>
          <m:t>10</m:t>
        </m:r>
        <m:sSubSup>
          <m:sSubSupPr>
            <m:ctrlPr>
              <w:rPr>
                <w:rFonts w:ascii="Cambria Math" w:hAnsi="Cambria Math" w:cs="Arial"/>
              </w:rPr>
            </m:ctrlPr>
          </m:sSubSupPr>
          <m:e>
            <m:r>
              <m:rPr>
                <m:sty m:val="bi"/>
              </m:rPr>
              <w:rPr>
                <w:rFonts w:ascii="Cambria Math" w:hAnsi="Cambria Math" w:cs="Arial"/>
              </w:rPr>
              <m:t>log</m:t>
            </m:r>
          </m:e>
          <m:sub>
            <m:r>
              <m:rPr>
                <m:sty m:val="bi"/>
              </m:rPr>
              <w:rPr>
                <w:rFonts w:ascii="Cambria Math" w:hAnsi="Cambria Math" w:cs="Arial"/>
              </w:rPr>
              <m:t>10</m:t>
            </m:r>
          </m:sub>
          <m:sup/>
        </m:sSubSup>
        <m:r>
          <m:rPr>
            <m:sty m:val="b"/>
          </m:rPr>
          <w:rPr>
            <w:rFonts w:ascii="Cambria Math" w:hAnsi="Cambria Math" w:cs="Arial"/>
          </w:rPr>
          <m:t>M</m:t>
        </m:r>
      </m:oMath>
      <w:r w:rsidR="009F75C7">
        <w:t xml:space="preserve"> </w:t>
      </w:r>
      <w:r w:rsidR="006111A0">
        <w:t xml:space="preserve">term </w:t>
      </w:r>
      <w:r w:rsidR="009F75C7">
        <w:t>for PUCCH i</w:t>
      </w:r>
      <w:r w:rsidR="001554B7">
        <w:t xml:space="preserve">f variable PUCCH bandwidth is supported. </w:t>
      </w:r>
      <w:bookmarkEnd w:id="3"/>
      <w:bookmarkEnd w:id="4"/>
      <w:bookmarkEnd w:id="5"/>
    </w:p>
    <w:p w14:paraId="22923656" w14:textId="65F4F387" w:rsidR="00A85871" w:rsidRDefault="00A85871" w:rsidP="00DB4333">
      <w:pPr>
        <w:pStyle w:val="Heading2"/>
        <w:rPr>
          <w:rFonts w:eastAsia="MS Mincho"/>
          <w:lang w:val="en-US" w:eastAsia="ja-JP"/>
        </w:rPr>
      </w:pPr>
      <w:r>
        <w:t xml:space="preserve">On open vs. closed loop for </w:t>
      </w:r>
      <w:r w:rsidRPr="0009798D">
        <w:rPr>
          <w:rFonts w:eastAsia="MS Mincho"/>
          <w:lang w:val="en-US" w:eastAsia="ja-JP"/>
        </w:rPr>
        <w:t>beam specific power</w:t>
      </w:r>
      <w:r>
        <w:rPr>
          <w:rFonts w:eastAsia="MS Mincho"/>
          <w:lang w:val="en-US" w:eastAsia="ja-JP"/>
        </w:rPr>
        <w:t xml:space="preserve"> control</w:t>
      </w:r>
    </w:p>
    <w:p w14:paraId="57332D70" w14:textId="1E715AE7" w:rsidR="00826504" w:rsidRDefault="00826504" w:rsidP="00826504">
      <w:pPr>
        <w:pStyle w:val="BodyText"/>
      </w:pPr>
      <w:r>
        <w:t>In NR, narrow beams in both DL and UL are expected to be used and frequent beam switching is expected due to UE movement. This makes it important to be able to perform fast power control since there may occur large rapid changes in RSRP due to</w:t>
      </w:r>
      <w:r w:rsidR="00F1451F">
        <w:t>,</w:t>
      </w:r>
      <w:r>
        <w:t xml:space="preserve"> for instance</w:t>
      </w:r>
      <w:r w:rsidR="00F1451F">
        <w:t>,</w:t>
      </w:r>
      <w:r>
        <w:t xml:space="preserve"> beam switching. Furthermore, in order to conduct the UL power control the estimated path loss, in a beam specific sense, will most likely be based on CSI-RS. However, since a very flexible CSI-RS framework is envisioned in NR </w:t>
      </w:r>
      <w:r w:rsidR="00F1451F">
        <w:t xml:space="preserve">(including </w:t>
      </w:r>
      <w:r>
        <w:t>aperiodic, semi-persistent as well as periodic CSI-RS</w:t>
      </w:r>
      <w:r w:rsidR="00F1451F">
        <w:t>)</w:t>
      </w:r>
      <w:r>
        <w:t xml:space="preserve"> it is possible that the CSI-RS is</w:t>
      </w:r>
      <w:r w:rsidR="009C4E98">
        <w:t xml:space="preserve"> absent or </w:t>
      </w:r>
      <w:r>
        <w:t xml:space="preserve">transmitted relatively seldom in some cases. </w:t>
      </w:r>
      <w:r w:rsidR="00D474BF">
        <w:t xml:space="preserve">Similar to LTE closed loop and open loop should be used together. </w:t>
      </w:r>
    </w:p>
    <w:p w14:paraId="012F7DD4" w14:textId="41DC2CBD" w:rsidR="00B51F27" w:rsidRPr="00826504" w:rsidRDefault="00826504" w:rsidP="00B51F27">
      <w:pPr>
        <w:pStyle w:val="Proposal"/>
      </w:pPr>
      <w:bookmarkStart w:id="6" w:name="_Toc477957107"/>
      <w:bookmarkStart w:id="7" w:name="_Toc477963948"/>
      <w:bookmarkStart w:id="8" w:name="_Toc477965074"/>
      <w:r>
        <w:lastRenderedPageBreak/>
        <w:t>Enable both closed and open loop power control for beam specific power control.</w:t>
      </w:r>
      <w:bookmarkEnd w:id="6"/>
      <w:bookmarkEnd w:id="7"/>
      <w:bookmarkEnd w:id="8"/>
      <w:r>
        <w:t xml:space="preserve"> </w:t>
      </w:r>
    </w:p>
    <w:p w14:paraId="5AF42F72" w14:textId="1402FC09" w:rsidR="00B51F27" w:rsidRPr="00B51F27" w:rsidRDefault="00B51F27" w:rsidP="00B51F27">
      <w:pPr>
        <w:pStyle w:val="Heading2"/>
        <w:rPr>
          <w:lang w:val="en-US" w:eastAsia="ja-JP"/>
        </w:rPr>
      </w:pPr>
      <w:r>
        <w:rPr>
          <w:rFonts w:eastAsia="MS Mincho"/>
          <w:lang w:val="en-US" w:eastAsia="ja-JP"/>
        </w:rPr>
        <w:t>B</w:t>
      </w:r>
      <w:r w:rsidRPr="0009798D">
        <w:rPr>
          <w:rFonts w:eastAsia="MS Mincho"/>
          <w:lang w:val="en-US" w:eastAsia="ja-JP"/>
        </w:rPr>
        <w:t>eam pair link specific power control</w:t>
      </w:r>
    </w:p>
    <w:p w14:paraId="053EE543" w14:textId="0F60059A" w:rsidR="00887220" w:rsidRDefault="00A85871" w:rsidP="00887220">
      <w:pPr>
        <w:pStyle w:val="BodyText"/>
      </w:pPr>
      <w:r w:rsidRPr="00654DC9">
        <w:rPr>
          <w:rStyle w:val="IvDbodytextChar"/>
          <w:rFonts w:ascii="Times New Roman" w:hAnsi="Times New Roman"/>
          <w:spacing w:val="0"/>
        </w:rPr>
        <w:t>A b</w:t>
      </w:r>
      <w:r>
        <w:rPr>
          <w:rStyle w:val="IvDbodytextChar"/>
          <w:rFonts w:ascii="Times New Roman" w:hAnsi="Times New Roman"/>
          <w:spacing w:val="0"/>
        </w:rPr>
        <w:t>eam</w:t>
      </w:r>
      <w:r w:rsidR="0044697A">
        <w:rPr>
          <w:rStyle w:val="IvDbodytextChar"/>
          <w:rFonts w:ascii="Times New Roman" w:hAnsi="Times New Roman"/>
          <w:spacing w:val="0"/>
        </w:rPr>
        <w:t xml:space="preserve"> pair link (BPL</w:t>
      </w:r>
      <w:r w:rsidRPr="00654DC9">
        <w:rPr>
          <w:rStyle w:val="IvDbodytextChar"/>
          <w:rFonts w:ascii="Times New Roman" w:hAnsi="Times New Roman"/>
          <w:spacing w:val="0"/>
        </w:rPr>
        <w:t xml:space="preserve">) </w:t>
      </w:r>
      <w:r w:rsidRPr="00654DC9">
        <w:rPr>
          <w:rStyle w:val="BodyTextChar"/>
        </w:rPr>
        <w:t xml:space="preserve">is a radio link described by a pair of beams, one at the gNB Tx side and the other at the UE Rx side.  BPLs can </w:t>
      </w:r>
      <w:r w:rsidRPr="00654DC9">
        <w:t>be used either simultaneously</w:t>
      </w:r>
      <w:r w:rsidRPr="00654DC9">
        <w:rPr>
          <w:rStyle w:val="IvDbodytextChar"/>
          <w:rFonts w:ascii="Times New Roman" w:hAnsi="Times New Roman"/>
          <w:spacing w:val="0"/>
        </w:rPr>
        <w:t xml:space="preserve"> during one transmission interval</w:t>
      </w:r>
      <w:r w:rsidRPr="00654DC9">
        <w:t xml:space="preserve"> or in different time intervals to support robust</w:t>
      </w:r>
      <w:r w:rsidRPr="00654DC9">
        <w:rPr>
          <w:rStyle w:val="IvDbodytextChar"/>
          <w:rFonts w:ascii="Times New Roman" w:hAnsi="Times New Roman"/>
          <w:spacing w:val="0"/>
        </w:rPr>
        <w:t xml:space="preserve"> </w:t>
      </w:r>
      <w:r w:rsidRPr="00654DC9">
        <w:t xml:space="preserve">data transmission between </w:t>
      </w:r>
      <w:r>
        <w:t xml:space="preserve">an </w:t>
      </w:r>
      <w:r w:rsidRPr="00654DC9">
        <w:t>gNB and a UE. Due to different propagation conditions, different pathloss</w:t>
      </w:r>
      <w:r>
        <w:t>es</w:t>
      </w:r>
      <w:r w:rsidRPr="00654DC9">
        <w:t xml:space="preserve"> can be experienced in different beam pair links.</w:t>
      </w:r>
      <w:r w:rsidRPr="00654DC9">
        <w:rPr>
          <w:rStyle w:val="IvDbodytextChar"/>
          <w:rFonts w:ascii="Times New Roman" w:hAnsi="Times New Roman"/>
          <w:spacing w:val="0"/>
        </w:rPr>
        <w:t xml:space="preserve"> </w:t>
      </w:r>
      <w:r w:rsidR="00887220">
        <w:rPr>
          <w:rStyle w:val="IvDbodytextChar"/>
          <w:rFonts w:ascii="Times New Roman" w:hAnsi="Times New Roman"/>
          <w:spacing w:val="0"/>
        </w:rPr>
        <w:t>In order to</w:t>
      </w:r>
      <w:r w:rsidR="00887220" w:rsidRPr="00654DC9">
        <w:t xml:space="preserve"> account for th</w:t>
      </w:r>
      <w:r w:rsidR="00887220">
        <w:t>is</w:t>
      </w:r>
      <w:r w:rsidR="00634674">
        <w:t>,</w:t>
      </w:r>
      <w:r w:rsidR="00887220" w:rsidRPr="00654DC9">
        <w:t xml:space="preserve"> independent power-control loop</w:t>
      </w:r>
      <w:r w:rsidR="00887220">
        <w:t xml:space="preserve"> </w:t>
      </w:r>
      <w:r w:rsidR="00887220" w:rsidRPr="00654DC9">
        <w:t>process</w:t>
      </w:r>
      <w:r w:rsidR="00887220">
        <w:t>es</w:t>
      </w:r>
      <w:r w:rsidR="00887220" w:rsidRPr="00654DC9">
        <w:t xml:space="preserve"> per BPL could enable accurate uplink power control for both data-channel, control-channel, and reference signal transmissions.  A UE needs to maintain at least a separate pathloss per BPL for open loop power control and an independent power accumulation</w:t>
      </w:r>
      <w:r w:rsidR="00887220">
        <w:t xml:space="preserve"> function for each BPL. </w:t>
      </w:r>
      <w:r w:rsidR="00887220" w:rsidRPr="00654DC9">
        <w:t>Independent power control per BPL would also allow the support of multi-layer transmission over multiple BPLs on different TRPs.</w:t>
      </w:r>
      <w:r w:rsidR="00887220">
        <w:t xml:space="preserve"> </w:t>
      </w:r>
    </w:p>
    <w:p w14:paraId="58EDF3C2" w14:textId="77777777" w:rsidR="00887220" w:rsidRPr="00EA030C" w:rsidRDefault="00887220" w:rsidP="00887220">
      <w:pPr>
        <w:pStyle w:val="Observation"/>
      </w:pPr>
      <w:bookmarkStart w:id="9" w:name="_Toc474162080"/>
      <w:bookmarkStart w:id="10" w:name="_Toc474165776"/>
      <w:bookmarkStart w:id="11" w:name="_Toc477965071"/>
      <w:r>
        <w:t>Independent power control loop per BPL is needed for accurate uplink power control and for multi-layer transmission over more than one TRPs.</w:t>
      </w:r>
      <w:bookmarkEnd w:id="9"/>
      <w:bookmarkEnd w:id="10"/>
      <w:bookmarkEnd w:id="11"/>
      <w:r>
        <w:t xml:space="preserve"> </w:t>
      </w:r>
    </w:p>
    <w:p w14:paraId="1A7327B1" w14:textId="428B4093" w:rsidR="00887220" w:rsidRDefault="00887220" w:rsidP="0044697A">
      <w:pPr>
        <w:pStyle w:val="Proposal"/>
      </w:pPr>
      <w:bookmarkStart w:id="12" w:name="_Toc473796419"/>
      <w:bookmarkStart w:id="13" w:name="_Toc473796773"/>
      <w:bookmarkStart w:id="14" w:name="_Toc474097662"/>
      <w:bookmarkStart w:id="15" w:name="_Toc474097871"/>
      <w:bookmarkStart w:id="16" w:name="_Toc474162086"/>
      <w:bookmarkStart w:id="17" w:name="_Toc474165078"/>
      <w:bookmarkStart w:id="18" w:name="_Toc474165781"/>
      <w:bookmarkStart w:id="19" w:name="_Toc477963949"/>
      <w:bookmarkStart w:id="20" w:name="_Toc477965075"/>
      <w:r>
        <w:t>Consider to support independent power control loop and parameters for different beam pair links.</w:t>
      </w:r>
      <w:bookmarkEnd w:id="12"/>
      <w:bookmarkEnd w:id="13"/>
      <w:bookmarkEnd w:id="14"/>
      <w:bookmarkEnd w:id="15"/>
      <w:bookmarkEnd w:id="16"/>
      <w:bookmarkEnd w:id="17"/>
      <w:bookmarkEnd w:id="18"/>
      <w:bookmarkEnd w:id="19"/>
      <w:bookmarkEnd w:id="20"/>
    </w:p>
    <w:p w14:paraId="7981CF83" w14:textId="78E10493" w:rsidR="006F4A2E" w:rsidRPr="0005326C" w:rsidRDefault="006362DB" w:rsidP="006F4A2E">
      <w:pPr>
        <w:pStyle w:val="Heading2"/>
        <w:rPr>
          <w:rFonts w:eastAsia="MS Mincho"/>
          <w:lang w:val="en-US" w:eastAsia="ja-JP"/>
        </w:rPr>
      </w:pPr>
      <w:r>
        <w:rPr>
          <w:rFonts w:eastAsia="MS Mincho"/>
          <w:lang w:val="en-US" w:eastAsia="ja-JP"/>
        </w:rPr>
        <w:t>On m</w:t>
      </w:r>
      <w:r w:rsidR="00DB4333">
        <w:rPr>
          <w:rFonts w:eastAsia="MS Mincho"/>
          <w:lang w:val="en-US" w:eastAsia="ja-JP"/>
        </w:rPr>
        <w:t>ultiple panels</w:t>
      </w:r>
    </w:p>
    <w:p w14:paraId="66E3A28E" w14:textId="10599845" w:rsidR="00530308" w:rsidRDefault="00530308" w:rsidP="00E72641">
      <w:pPr>
        <w:rPr>
          <w:rFonts w:eastAsia="MS Mincho"/>
          <w:lang w:val="en-US" w:eastAsia="ja-JP"/>
        </w:rPr>
      </w:pPr>
      <w:r>
        <w:rPr>
          <w:rFonts w:eastAsia="MS Mincho"/>
          <w:lang w:val="en-US" w:eastAsia="ja-JP"/>
        </w:rPr>
        <w:t xml:space="preserve">When </w:t>
      </w:r>
      <w:r w:rsidR="00887220">
        <w:rPr>
          <w:rFonts w:eastAsia="MS Mincho"/>
          <w:lang w:val="en-US" w:eastAsia="ja-JP"/>
        </w:rPr>
        <w:t xml:space="preserve">a </w:t>
      </w:r>
      <w:r>
        <w:rPr>
          <w:rFonts w:eastAsia="MS Mincho"/>
          <w:lang w:val="en-US" w:eastAsia="ja-JP"/>
        </w:rPr>
        <w:t>UE has</w:t>
      </w:r>
      <w:r w:rsidR="00F96541">
        <w:rPr>
          <w:rFonts w:eastAsia="MS Mincho"/>
          <w:lang w:val="en-US" w:eastAsia="ja-JP"/>
        </w:rPr>
        <w:t xml:space="preserve"> multiple panels, </w:t>
      </w:r>
      <w:r w:rsidR="00477D72">
        <w:rPr>
          <w:rFonts w:eastAsia="MS Mincho"/>
          <w:lang w:val="en-US" w:eastAsia="ja-JP"/>
        </w:rPr>
        <w:t>there is an ongoing discussion on how to perform beam reporting in establishing multiple BPLs, either set based or group based</w:t>
      </w:r>
      <w:r w:rsidR="004B454E">
        <w:rPr>
          <w:rFonts w:eastAsia="MS Mincho"/>
          <w:lang w:val="en-US" w:eastAsia="ja-JP"/>
        </w:rPr>
        <w:t xml:space="preserve"> </w:t>
      </w:r>
      <w:r w:rsidR="004B454E">
        <w:rPr>
          <w:rFonts w:eastAsia="MS Mincho"/>
          <w:lang w:val="en-US" w:eastAsia="ja-JP"/>
        </w:rPr>
        <w:fldChar w:fldCharType="begin"/>
      </w:r>
      <w:r w:rsidR="004B454E">
        <w:rPr>
          <w:rFonts w:eastAsia="MS Mincho"/>
          <w:lang w:val="en-US" w:eastAsia="ja-JP"/>
        </w:rPr>
        <w:instrText xml:space="preserve"> REF _Ref474161321 \r \h </w:instrText>
      </w:r>
      <w:r w:rsidR="004B454E">
        <w:rPr>
          <w:rFonts w:eastAsia="MS Mincho"/>
          <w:lang w:val="en-US" w:eastAsia="ja-JP"/>
        </w:rPr>
      </w:r>
      <w:r w:rsidR="004B454E">
        <w:rPr>
          <w:rFonts w:eastAsia="MS Mincho"/>
          <w:lang w:val="en-US" w:eastAsia="ja-JP"/>
        </w:rPr>
        <w:fldChar w:fldCharType="separate"/>
      </w:r>
      <w:r w:rsidR="00716E24">
        <w:rPr>
          <w:rFonts w:eastAsia="MS Mincho"/>
          <w:lang w:val="en-US" w:eastAsia="ja-JP"/>
        </w:rPr>
        <w:t>[2]</w:t>
      </w:r>
      <w:r w:rsidR="004B454E">
        <w:rPr>
          <w:rFonts w:eastAsia="MS Mincho"/>
          <w:lang w:val="en-US" w:eastAsia="ja-JP"/>
        </w:rPr>
        <w:fldChar w:fldCharType="end"/>
      </w:r>
      <w:r w:rsidR="00477D72">
        <w:rPr>
          <w:rFonts w:eastAsia="MS Mincho"/>
          <w:lang w:val="en-US" w:eastAsia="ja-JP"/>
        </w:rPr>
        <w:t xml:space="preserve">. However, from </w:t>
      </w:r>
      <w:r w:rsidR="004B454E">
        <w:rPr>
          <w:rFonts w:eastAsia="MS Mincho"/>
          <w:lang w:val="en-US" w:eastAsia="ja-JP"/>
        </w:rPr>
        <w:t>power control point of view</w:t>
      </w:r>
      <w:r w:rsidR="006F4A2E">
        <w:rPr>
          <w:rFonts w:eastAsia="MS Mincho"/>
          <w:lang w:val="en-US" w:eastAsia="ja-JP"/>
        </w:rPr>
        <w:t xml:space="preserve"> </w:t>
      </w:r>
      <w:r>
        <w:rPr>
          <w:rFonts w:eastAsia="MS Mincho"/>
          <w:lang w:val="en-US" w:eastAsia="ja-JP"/>
        </w:rPr>
        <w:t xml:space="preserve">there </w:t>
      </w:r>
      <w:r w:rsidR="00DB5001">
        <w:rPr>
          <w:rFonts w:eastAsia="MS Mincho"/>
          <w:lang w:val="en-US" w:eastAsia="ja-JP"/>
        </w:rPr>
        <w:t xml:space="preserve">seems to be </w:t>
      </w:r>
      <w:r>
        <w:rPr>
          <w:rFonts w:eastAsia="MS Mincho"/>
          <w:lang w:val="en-US" w:eastAsia="ja-JP"/>
        </w:rPr>
        <w:t xml:space="preserve">no difference from </w:t>
      </w:r>
      <w:r w:rsidR="004B454E">
        <w:rPr>
          <w:rFonts w:eastAsia="MS Mincho"/>
          <w:lang w:val="en-US" w:eastAsia="ja-JP"/>
        </w:rPr>
        <w:t>BPLs with a single panel</w:t>
      </w:r>
      <w:r>
        <w:rPr>
          <w:rFonts w:eastAsia="MS Mincho"/>
          <w:lang w:val="en-US" w:eastAsia="ja-JP"/>
        </w:rPr>
        <w:t>.</w:t>
      </w:r>
      <w:r w:rsidR="004B454E">
        <w:rPr>
          <w:rFonts w:eastAsia="MS Mincho"/>
          <w:lang w:val="en-US" w:eastAsia="ja-JP"/>
        </w:rPr>
        <w:t xml:space="preserve"> </w:t>
      </w:r>
      <w:r w:rsidR="009431D2">
        <w:rPr>
          <w:rFonts w:eastAsia="MS Mincho"/>
          <w:lang w:val="en-US" w:eastAsia="ja-JP"/>
        </w:rPr>
        <w:t xml:space="preserve">For each DL </w:t>
      </w:r>
      <w:r w:rsidR="004B454E">
        <w:rPr>
          <w:rFonts w:eastAsia="MS Mincho"/>
          <w:lang w:val="en-US" w:eastAsia="ja-JP"/>
        </w:rPr>
        <w:t>Tx</w:t>
      </w:r>
      <w:r w:rsidR="00654DC9">
        <w:rPr>
          <w:rFonts w:eastAsia="MS Mincho"/>
          <w:lang w:val="en-US" w:eastAsia="ja-JP"/>
        </w:rPr>
        <w:t xml:space="preserve"> beam, </w:t>
      </w:r>
      <w:r w:rsidR="009431D2">
        <w:rPr>
          <w:rFonts w:eastAsia="MS Mincho"/>
          <w:lang w:val="en-US" w:eastAsia="ja-JP"/>
        </w:rPr>
        <w:t>a</w:t>
      </w:r>
      <w:r w:rsidR="003718BE">
        <w:rPr>
          <w:rFonts w:eastAsia="MS Mincho"/>
          <w:lang w:val="en-US" w:eastAsia="ja-JP"/>
        </w:rPr>
        <w:t xml:space="preserve"> UE would measure RSRP </w:t>
      </w:r>
      <w:r w:rsidR="009431D2">
        <w:rPr>
          <w:rFonts w:eastAsia="MS Mincho"/>
          <w:lang w:val="en-US" w:eastAsia="ja-JP"/>
        </w:rPr>
        <w:t>for the best Rx beam</w:t>
      </w:r>
      <w:r w:rsidR="003718BE">
        <w:rPr>
          <w:rFonts w:eastAsia="MS Mincho"/>
          <w:lang w:val="en-US" w:eastAsia="ja-JP"/>
        </w:rPr>
        <w:t xml:space="preserve"> on </w:t>
      </w:r>
      <w:r w:rsidR="00DB5001">
        <w:rPr>
          <w:rFonts w:eastAsia="MS Mincho"/>
          <w:lang w:val="en-US" w:eastAsia="ja-JP"/>
        </w:rPr>
        <w:t>each</w:t>
      </w:r>
      <w:r w:rsidR="0032035E">
        <w:rPr>
          <w:rFonts w:eastAsia="MS Mincho"/>
          <w:lang w:val="en-US" w:eastAsia="ja-JP"/>
        </w:rPr>
        <w:t xml:space="preserve"> panel. </w:t>
      </w:r>
      <w:r w:rsidR="00917C90">
        <w:rPr>
          <w:rFonts w:eastAsia="MS Mincho"/>
          <w:lang w:val="en-US" w:eastAsia="ja-JP"/>
        </w:rPr>
        <w:t>The UE keeps a list of best Rx beams</w:t>
      </w:r>
      <w:r w:rsidR="00654DC9">
        <w:rPr>
          <w:rFonts w:eastAsia="MS Mincho"/>
          <w:lang w:val="en-US" w:eastAsia="ja-JP"/>
        </w:rPr>
        <w:t xml:space="preserve"> and the corresponding panels</w:t>
      </w:r>
      <w:r w:rsidR="00917C90">
        <w:rPr>
          <w:rFonts w:eastAsia="MS Mincho"/>
          <w:lang w:val="en-US" w:eastAsia="ja-JP"/>
        </w:rPr>
        <w:t xml:space="preserve"> for all DL </w:t>
      </w:r>
      <w:r w:rsidR="004B454E">
        <w:rPr>
          <w:rFonts w:eastAsia="MS Mincho"/>
          <w:lang w:val="en-US" w:eastAsia="ja-JP"/>
        </w:rPr>
        <w:t xml:space="preserve">Tx </w:t>
      </w:r>
      <w:r w:rsidR="00917C90">
        <w:rPr>
          <w:rFonts w:eastAsia="MS Mincho"/>
          <w:lang w:val="en-US" w:eastAsia="ja-JP"/>
        </w:rPr>
        <w:t xml:space="preserve">beams. </w:t>
      </w:r>
      <w:r w:rsidR="0032035E">
        <w:rPr>
          <w:rFonts w:eastAsia="MS Mincho"/>
          <w:lang w:val="en-US" w:eastAsia="ja-JP"/>
        </w:rPr>
        <w:t xml:space="preserve">For UL transmission, </w:t>
      </w:r>
      <w:r w:rsidR="003718BE">
        <w:rPr>
          <w:rFonts w:eastAsia="MS Mincho"/>
          <w:lang w:val="en-US" w:eastAsia="ja-JP"/>
        </w:rPr>
        <w:t xml:space="preserve">either one or </w:t>
      </w:r>
      <w:r w:rsidR="00917C90">
        <w:rPr>
          <w:rFonts w:eastAsia="MS Mincho"/>
          <w:lang w:val="en-US" w:eastAsia="ja-JP"/>
        </w:rPr>
        <w:t>more</w:t>
      </w:r>
      <w:r w:rsidR="006F4A2E">
        <w:rPr>
          <w:rFonts w:eastAsia="MS Mincho"/>
          <w:lang w:val="en-US" w:eastAsia="ja-JP"/>
        </w:rPr>
        <w:t xml:space="preserve"> </w:t>
      </w:r>
      <w:r w:rsidR="003718BE">
        <w:rPr>
          <w:rFonts w:eastAsia="MS Mincho"/>
          <w:lang w:val="en-US" w:eastAsia="ja-JP"/>
        </w:rPr>
        <w:t>panels could be</w:t>
      </w:r>
      <w:r w:rsidR="00F96541">
        <w:rPr>
          <w:rFonts w:eastAsia="MS Mincho"/>
          <w:lang w:val="en-US" w:eastAsia="ja-JP"/>
        </w:rPr>
        <w:t xml:space="preserve"> used </w:t>
      </w:r>
      <w:r w:rsidR="006F4A2E">
        <w:rPr>
          <w:rFonts w:eastAsia="MS Mincho"/>
          <w:lang w:val="en-US" w:eastAsia="ja-JP"/>
        </w:rPr>
        <w:t>simultaneously</w:t>
      </w:r>
      <w:r w:rsidR="00F96541">
        <w:rPr>
          <w:rFonts w:eastAsia="MS Mincho"/>
          <w:lang w:val="en-US" w:eastAsia="ja-JP"/>
        </w:rPr>
        <w:t>, pathloss</w:t>
      </w:r>
      <w:r w:rsidR="0032035E">
        <w:rPr>
          <w:rFonts w:eastAsia="MS Mincho"/>
          <w:lang w:val="en-US" w:eastAsia="ja-JP"/>
        </w:rPr>
        <w:t xml:space="preserve"> may be adjusted by the UE depending on which </w:t>
      </w:r>
      <w:r w:rsidR="004B454E">
        <w:rPr>
          <w:rFonts w:eastAsia="MS Mincho"/>
          <w:lang w:val="en-US" w:eastAsia="ja-JP"/>
        </w:rPr>
        <w:t xml:space="preserve">BPL on which </w:t>
      </w:r>
      <w:r w:rsidR="0032035E">
        <w:rPr>
          <w:rFonts w:eastAsia="MS Mincho"/>
          <w:lang w:val="en-US" w:eastAsia="ja-JP"/>
        </w:rPr>
        <w:t xml:space="preserve">panel </w:t>
      </w:r>
      <w:r w:rsidR="006F4A2E">
        <w:rPr>
          <w:rFonts w:eastAsia="MS Mincho"/>
          <w:lang w:val="en-US" w:eastAsia="ja-JP"/>
        </w:rPr>
        <w:t xml:space="preserve">that </w:t>
      </w:r>
      <w:r w:rsidR="004B454E">
        <w:rPr>
          <w:rFonts w:eastAsia="MS Mincho"/>
          <w:lang w:val="en-US" w:eastAsia="ja-JP"/>
        </w:rPr>
        <w:t>is</w:t>
      </w:r>
      <w:r w:rsidR="009431D2">
        <w:rPr>
          <w:rFonts w:eastAsia="MS Mincho"/>
          <w:lang w:val="en-US" w:eastAsia="ja-JP"/>
        </w:rPr>
        <w:t xml:space="preserve"> used</w:t>
      </w:r>
      <w:r w:rsidR="0032035E">
        <w:rPr>
          <w:rFonts w:eastAsia="MS Mincho"/>
          <w:lang w:val="en-US" w:eastAsia="ja-JP"/>
        </w:rPr>
        <w:t>.</w:t>
      </w:r>
      <w:r w:rsidR="00B45284">
        <w:rPr>
          <w:rFonts w:eastAsia="MS Mincho"/>
          <w:lang w:val="en-US" w:eastAsia="ja-JP"/>
        </w:rPr>
        <w:t xml:space="preserve"> </w:t>
      </w:r>
      <w:r w:rsidR="0032035E">
        <w:rPr>
          <w:rFonts w:eastAsia="MS Mincho"/>
          <w:lang w:val="en-US" w:eastAsia="ja-JP"/>
        </w:rPr>
        <w:t xml:space="preserve"> This</w:t>
      </w:r>
      <w:r w:rsidR="00B45284">
        <w:rPr>
          <w:rFonts w:eastAsia="MS Mincho"/>
          <w:lang w:val="en-US" w:eastAsia="ja-JP"/>
        </w:rPr>
        <w:t xml:space="preserve"> </w:t>
      </w:r>
      <w:r w:rsidR="00631258">
        <w:rPr>
          <w:rFonts w:eastAsia="MS Mincho"/>
          <w:lang w:val="en-US" w:eastAsia="ja-JP"/>
        </w:rPr>
        <w:t>can</w:t>
      </w:r>
      <w:r w:rsidR="0032035E">
        <w:rPr>
          <w:rFonts w:eastAsia="MS Mincho"/>
          <w:lang w:val="en-US" w:eastAsia="ja-JP"/>
        </w:rPr>
        <w:t xml:space="preserve"> be transparent to gNB. </w:t>
      </w:r>
      <w:r w:rsidR="00631258">
        <w:rPr>
          <w:rFonts w:eastAsia="MS Mincho"/>
          <w:lang w:val="en-US" w:eastAsia="ja-JP"/>
        </w:rPr>
        <w:t>S</w:t>
      </w:r>
      <w:r w:rsidR="00654DC9">
        <w:rPr>
          <w:rFonts w:eastAsia="MS Mincho"/>
          <w:lang w:val="en-US" w:eastAsia="ja-JP"/>
        </w:rPr>
        <w:t xml:space="preserve">o based on this understanding, </w:t>
      </w:r>
      <w:r w:rsidR="00631258">
        <w:rPr>
          <w:rFonts w:eastAsia="MS Mincho"/>
          <w:lang w:val="en-US" w:eastAsia="ja-JP"/>
        </w:rPr>
        <w:t>multi-panel does not need to be handled differently from BPLs for power control</w:t>
      </w:r>
      <w:r w:rsidR="004B454E">
        <w:rPr>
          <w:rFonts w:eastAsia="MS Mincho"/>
          <w:lang w:val="en-US" w:eastAsia="ja-JP"/>
        </w:rPr>
        <w:t xml:space="preserve"> purpose</w:t>
      </w:r>
      <w:r w:rsidR="00631258">
        <w:rPr>
          <w:rFonts w:eastAsia="MS Mincho"/>
          <w:lang w:val="en-US" w:eastAsia="ja-JP"/>
        </w:rPr>
        <w:t xml:space="preserve">. </w:t>
      </w:r>
    </w:p>
    <w:p w14:paraId="45E00BE9" w14:textId="1F88D5BB" w:rsidR="009D446A" w:rsidRPr="00FB1F71" w:rsidRDefault="00F96541" w:rsidP="00E72641">
      <w:pPr>
        <w:rPr>
          <w:rFonts w:eastAsia="MS Mincho"/>
          <w:lang w:val="en-US" w:eastAsia="ja-JP"/>
        </w:rPr>
      </w:pPr>
      <w:r>
        <w:rPr>
          <w:rFonts w:eastAsia="MS Mincho"/>
          <w:lang w:val="en-US" w:eastAsia="ja-JP"/>
        </w:rPr>
        <w:t>Thus we have the following observation:</w:t>
      </w:r>
    </w:p>
    <w:p w14:paraId="3F35B9D1" w14:textId="3F1FACD2" w:rsidR="00CF0603" w:rsidRPr="00BC111F" w:rsidRDefault="00E72641" w:rsidP="00B54422">
      <w:pPr>
        <w:pStyle w:val="Observation"/>
      </w:pPr>
      <w:bookmarkStart w:id="21" w:name="_Toc474162083"/>
      <w:bookmarkStart w:id="22" w:name="_Toc477965072"/>
      <w:r>
        <w:t xml:space="preserve">Multi-panel power control can be handled </w:t>
      </w:r>
      <w:r w:rsidR="00DB4333">
        <w:t xml:space="preserve">in a </w:t>
      </w:r>
      <w:r>
        <w:t xml:space="preserve">similar </w:t>
      </w:r>
      <w:r w:rsidR="00DB4333">
        <w:t xml:space="preserve">way as for </w:t>
      </w:r>
      <w:r w:rsidR="00917C90">
        <w:t>BPLs</w:t>
      </w:r>
      <w:r w:rsidR="00F96541">
        <w:t xml:space="preserve">, </w:t>
      </w:r>
      <w:r w:rsidR="00114679">
        <w:t xml:space="preserve">so </w:t>
      </w:r>
      <w:r>
        <w:t xml:space="preserve">there </w:t>
      </w:r>
      <w:r w:rsidR="00917C90">
        <w:t>seems to be</w:t>
      </w:r>
      <w:r>
        <w:t xml:space="preserve"> no need to treat mul</w:t>
      </w:r>
      <w:r w:rsidR="00917C90">
        <w:t>t</w:t>
      </w:r>
      <w:r>
        <w:t xml:space="preserve">i-panel </w:t>
      </w:r>
      <w:r w:rsidR="00DB4333">
        <w:t>separately</w:t>
      </w:r>
      <w:r>
        <w:t>.</w:t>
      </w:r>
      <w:bookmarkEnd w:id="21"/>
      <w:bookmarkEnd w:id="22"/>
    </w:p>
    <w:p w14:paraId="0B266E68" w14:textId="77777777" w:rsidR="003A0E41" w:rsidRDefault="008B028E" w:rsidP="003A0E41">
      <w:r>
        <w:t>Based on the above observations, we have the following proposal:</w:t>
      </w:r>
    </w:p>
    <w:p w14:paraId="6076B987" w14:textId="429FEC91" w:rsidR="00A02214" w:rsidRPr="00E2056E" w:rsidRDefault="00654DC9" w:rsidP="00A02214">
      <w:pPr>
        <w:pStyle w:val="Proposal"/>
      </w:pPr>
      <w:bookmarkStart w:id="23" w:name="_Toc473796421"/>
      <w:bookmarkStart w:id="24" w:name="_Toc473796776"/>
      <w:bookmarkStart w:id="25" w:name="_Toc474097665"/>
      <w:bookmarkStart w:id="26" w:name="_Toc474097874"/>
      <w:bookmarkStart w:id="27" w:name="_Toc474162089"/>
      <w:bookmarkStart w:id="28" w:name="_Toc474165081"/>
      <w:bookmarkStart w:id="29" w:name="_Toc474165783"/>
      <w:bookmarkStart w:id="30" w:name="_Toc477957108"/>
      <w:bookmarkStart w:id="31" w:name="_Toc477963950"/>
      <w:bookmarkStart w:id="32" w:name="_Toc477965076"/>
      <w:r>
        <w:t>Unless there are</w:t>
      </w:r>
      <w:r w:rsidR="00917C90">
        <w:t xml:space="preserve"> other compelling reasons, t</w:t>
      </w:r>
      <w:r w:rsidR="00EA030C">
        <w:t xml:space="preserve">he same power control mechanism for multiple </w:t>
      </w:r>
      <w:r w:rsidR="00917C90">
        <w:t>BPLs</w:t>
      </w:r>
      <w:r w:rsidR="00EA030C">
        <w:t xml:space="preserve"> </w:t>
      </w:r>
      <w:r w:rsidR="00917C90">
        <w:t>may be</w:t>
      </w:r>
      <w:r w:rsidR="00EA030C">
        <w:t xml:space="preserve"> used for multiple panels.</w:t>
      </w:r>
      <w:bookmarkEnd w:id="23"/>
      <w:bookmarkEnd w:id="24"/>
      <w:bookmarkEnd w:id="25"/>
      <w:bookmarkEnd w:id="26"/>
      <w:bookmarkEnd w:id="27"/>
      <w:bookmarkEnd w:id="28"/>
      <w:bookmarkEnd w:id="29"/>
      <w:bookmarkEnd w:id="30"/>
      <w:bookmarkEnd w:id="31"/>
      <w:bookmarkEnd w:id="32"/>
    </w:p>
    <w:p w14:paraId="58B282DD" w14:textId="77777777" w:rsidR="00C01F33" w:rsidRPr="00CE0424" w:rsidRDefault="00C01F33" w:rsidP="003A0E41">
      <w:pPr>
        <w:pStyle w:val="Heading1"/>
      </w:pPr>
      <w:r w:rsidRPr="00CE0424">
        <w:t>Conclusion</w:t>
      </w:r>
      <w:r w:rsidR="00AE2FEB">
        <w:t>s</w:t>
      </w:r>
    </w:p>
    <w:p w14:paraId="53534455" w14:textId="77777777" w:rsidR="002451ED" w:rsidRDefault="003A0E41" w:rsidP="008E065E">
      <w:pPr>
        <w:pStyle w:val="BodyText"/>
      </w:pPr>
      <w:r>
        <w:t>In this contribution we made the following ob</w:t>
      </w:r>
      <w:r w:rsidR="004033B5">
        <w:t>s</w:t>
      </w:r>
      <w:r>
        <w:t>ervations</w:t>
      </w:r>
      <w:r w:rsidR="00EA030C">
        <w:t>:</w:t>
      </w:r>
    </w:p>
    <w:p w14:paraId="162064D5" w14:textId="3216CC3D" w:rsidR="00716E24" w:rsidRDefault="00E5689D">
      <w:pPr>
        <w:pStyle w:val="TOC1"/>
        <w:rPr>
          <w:rFonts w:asciiTheme="minorHAnsi" w:eastAsiaTheme="minorEastAsia" w:hAnsiTheme="minorHAnsi" w:cstheme="minorBidi"/>
          <w:b w:val="0"/>
          <w:sz w:val="22"/>
          <w:lang w:val="sv-FI" w:eastAsia="sv-FI"/>
        </w:rPr>
      </w:pPr>
      <w:r>
        <w:rPr>
          <w:b w:val="0"/>
          <w:bCs/>
        </w:rPr>
        <w:fldChar w:fldCharType="begin"/>
      </w:r>
      <w:r>
        <w:rPr>
          <w:bCs/>
        </w:rPr>
        <w:instrText xml:space="preserve"> TOC \n \h \z \t "Observation,1" </w:instrText>
      </w:r>
      <w:r>
        <w:rPr>
          <w:b w:val="0"/>
          <w:bCs/>
        </w:rPr>
        <w:fldChar w:fldCharType="separate"/>
      </w:r>
      <w:hyperlink w:anchor="_Toc477965070" w:history="1">
        <w:r w:rsidR="00716E24" w:rsidRPr="000D3DC8">
          <w:rPr>
            <w:rStyle w:val="Hyperlink"/>
          </w:rPr>
          <w:t>Observation 1</w:t>
        </w:r>
        <w:r w:rsidR="00716E24">
          <w:rPr>
            <w:rFonts w:asciiTheme="minorHAnsi" w:eastAsiaTheme="minorEastAsia" w:hAnsiTheme="minorHAnsi" w:cstheme="minorBidi"/>
            <w:b w:val="0"/>
            <w:sz w:val="22"/>
            <w:lang w:val="sv-FI" w:eastAsia="sv-FI"/>
          </w:rPr>
          <w:tab/>
        </w:r>
        <w:r w:rsidR="00716E24" w:rsidRPr="000D3DC8">
          <w:rPr>
            <w:rStyle w:val="Hyperlink"/>
          </w:rPr>
          <w:t xml:space="preserve">In LTE release 13 a term </w:t>
        </w:r>
        <m:oMath>
          <m:r>
            <m:rPr>
              <m:sty m:val="b"/>
            </m:rPr>
            <w:rPr>
              <w:rStyle w:val="Hyperlink"/>
              <w:rFonts w:ascii="Cambria Math" w:hAnsi="Cambria Math" w:cs="Arial"/>
            </w:rPr>
            <m:t>10</m:t>
          </m:r>
          <m:r>
            <m:rPr>
              <m:sty m:val="bi"/>
            </m:rPr>
            <w:rPr>
              <w:rStyle w:val="Hyperlink"/>
              <w:rFonts w:ascii="Cambria Math" w:hAnsi="Cambria Math" w:cs="Arial"/>
            </w:rPr>
            <m:t>log</m:t>
          </m:r>
          <m:r>
            <m:rPr>
              <m:sty m:val="bi"/>
            </m:rPr>
            <w:rPr>
              <w:rStyle w:val="Hyperlink"/>
              <w:rFonts w:ascii="Cambria Math" w:hAnsi="Cambria Math" w:cs="Arial"/>
            </w:rPr>
            <m:t>10</m:t>
          </m:r>
          <m:r>
            <m:rPr>
              <m:sty m:val="b"/>
            </m:rPr>
            <w:rPr>
              <w:rStyle w:val="Hyperlink"/>
              <w:rFonts w:ascii="Cambria Math" w:hAnsi="Cambria Math" w:cs="Arial"/>
            </w:rPr>
            <m:t>M</m:t>
          </m:r>
        </m:oMath>
        <w:r w:rsidR="00716E24" w:rsidRPr="000D3DC8">
          <w:rPr>
            <w:rStyle w:val="Hyperlink"/>
          </w:rPr>
          <w:t xml:space="preserve"> was introduced also for PUCCH for PUCCH format 4/5</w:t>
        </w:r>
      </w:hyperlink>
    </w:p>
    <w:p w14:paraId="73C8FC98" w14:textId="123ED3BD" w:rsidR="00716E24" w:rsidRDefault="00A900B3">
      <w:pPr>
        <w:pStyle w:val="TOC1"/>
        <w:rPr>
          <w:rFonts w:asciiTheme="minorHAnsi" w:eastAsiaTheme="minorEastAsia" w:hAnsiTheme="minorHAnsi" w:cstheme="minorBidi"/>
          <w:b w:val="0"/>
          <w:sz w:val="22"/>
          <w:lang w:val="sv-FI" w:eastAsia="sv-FI"/>
        </w:rPr>
      </w:pPr>
      <w:hyperlink w:anchor="_Toc477965071" w:history="1">
        <w:r w:rsidR="00716E24" w:rsidRPr="000D3DC8">
          <w:rPr>
            <w:rStyle w:val="Hyperlink"/>
          </w:rPr>
          <w:t>Observation 2</w:t>
        </w:r>
        <w:r w:rsidR="00716E24">
          <w:rPr>
            <w:rFonts w:asciiTheme="minorHAnsi" w:eastAsiaTheme="minorEastAsia" w:hAnsiTheme="minorHAnsi" w:cstheme="minorBidi"/>
            <w:b w:val="0"/>
            <w:sz w:val="22"/>
            <w:lang w:val="sv-FI" w:eastAsia="sv-FI"/>
          </w:rPr>
          <w:tab/>
        </w:r>
        <w:r w:rsidR="00716E24" w:rsidRPr="000D3DC8">
          <w:rPr>
            <w:rStyle w:val="Hyperlink"/>
          </w:rPr>
          <w:t>Independent power control loop per BPL is needed for accurate uplink power control and for multi-layer transmission over more than one TRPs.</w:t>
        </w:r>
      </w:hyperlink>
    </w:p>
    <w:p w14:paraId="008F3C6C" w14:textId="35159580" w:rsidR="00716E24" w:rsidRDefault="00A900B3">
      <w:pPr>
        <w:pStyle w:val="TOC1"/>
        <w:rPr>
          <w:rFonts w:asciiTheme="minorHAnsi" w:eastAsiaTheme="minorEastAsia" w:hAnsiTheme="minorHAnsi" w:cstheme="minorBidi"/>
          <w:b w:val="0"/>
          <w:sz w:val="22"/>
          <w:lang w:val="sv-FI" w:eastAsia="sv-FI"/>
        </w:rPr>
      </w:pPr>
      <w:hyperlink w:anchor="_Toc477965072" w:history="1">
        <w:r w:rsidR="00716E24" w:rsidRPr="000D3DC8">
          <w:rPr>
            <w:rStyle w:val="Hyperlink"/>
          </w:rPr>
          <w:t>Observation 3</w:t>
        </w:r>
        <w:r w:rsidR="00716E24">
          <w:rPr>
            <w:rFonts w:asciiTheme="minorHAnsi" w:eastAsiaTheme="minorEastAsia" w:hAnsiTheme="minorHAnsi" w:cstheme="minorBidi"/>
            <w:b w:val="0"/>
            <w:sz w:val="22"/>
            <w:lang w:val="sv-FI" w:eastAsia="sv-FI"/>
          </w:rPr>
          <w:tab/>
        </w:r>
        <w:r w:rsidR="00716E24" w:rsidRPr="000D3DC8">
          <w:rPr>
            <w:rStyle w:val="Hyperlink"/>
          </w:rPr>
          <w:t>Multi-panel power control can be handled in a similar way as for BPLs, there seems to be no need to treat multi-panel separately.</w:t>
        </w:r>
      </w:hyperlink>
    </w:p>
    <w:p w14:paraId="4C1C4E58" w14:textId="2C355C3D" w:rsidR="008E065E" w:rsidRDefault="00E5689D" w:rsidP="008E065E">
      <w:pPr>
        <w:pStyle w:val="BodyText"/>
        <w:rPr>
          <w:b/>
          <w:bCs/>
        </w:rPr>
      </w:pPr>
      <w:r>
        <w:rPr>
          <w:bCs/>
          <w:noProof/>
          <w:szCs w:val="22"/>
          <w:lang w:val="en-US"/>
        </w:rPr>
        <w:fldChar w:fldCharType="end"/>
      </w:r>
    </w:p>
    <w:p w14:paraId="2383D5AB" w14:textId="77777777" w:rsidR="00631258" w:rsidRPr="00654DC9" w:rsidRDefault="00E5689D">
      <w:pPr>
        <w:pStyle w:val="TOC1"/>
        <w:rPr>
          <w:b w:val="0"/>
        </w:rPr>
      </w:pPr>
      <w:r w:rsidRPr="00654DC9">
        <w:rPr>
          <w:b w:val="0"/>
        </w:rPr>
        <w:t xml:space="preserve">Based on the discussion </w:t>
      </w:r>
      <w:r w:rsidR="009C6832" w:rsidRPr="00654DC9">
        <w:rPr>
          <w:b w:val="0"/>
        </w:rPr>
        <w:t>in this contri</w:t>
      </w:r>
      <w:r w:rsidR="003A0E41" w:rsidRPr="00654DC9">
        <w:rPr>
          <w:b w:val="0"/>
        </w:rPr>
        <w:t>bution</w:t>
      </w:r>
      <w:r w:rsidR="008E065E" w:rsidRPr="00654DC9">
        <w:rPr>
          <w:b w:val="0"/>
        </w:rPr>
        <w:t xml:space="preserve"> we propose the following:</w:t>
      </w:r>
    </w:p>
    <w:p w14:paraId="1EFBF29C" w14:textId="77777777" w:rsidR="00716E24" w:rsidRPr="00716E24" w:rsidRDefault="00E5689D">
      <w:pPr>
        <w:pStyle w:val="TOC1"/>
        <w:rPr>
          <w:rFonts w:asciiTheme="minorHAnsi" w:eastAsiaTheme="minorEastAsia" w:hAnsiTheme="minorHAnsi" w:cstheme="minorBidi"/>
          <w:b w:val="0"/>
          <w:sz w:val="22"/>
          <w:lang w:eastAsia="sv-FI"/>
        </w:rPr>
      </w:pPr>
      <w:r>
        <w:rPr>
          <w:b w:val="0"/>
          <w:bCs/>
        </w:rPr>
        <w:fldChar w:fldCharType="begin"/>
      </w:r>
      <w:r>
        <w:rPr>
          <w:bCs/>
        </w:rPr>
        <w:instrText xml:space="preserve"> TOC \f \n \p " " \t "Proposal,1" </w:instrText>
      </w:r>
      <w:r>
        <w:rPr>
          <w:b w:val="0"/>
          <w:bCs/>
        </w:rPr>
        <w:fldChar w:fldCharType="separate"/>
      </w:r>
      <w:r w:rsidR="00716E24">
        <w:t>Proposal 1</w:t>
      </w:r>
      <w:r w:rsidR="00716E24" w:rsidRPr="00716E24">
        <w:rPr>
          <w:rFonts w:asciiTheme="minorHAnsi" w:eastAsiaTheme="minorEastAsia" w:hAnsiTheme="minorHAnsi" w:cstheme="minorBidi"/>
          <w:b w:val="0"/>
          <w:sz w:val="22"/>
          <w:lang w:eastAsia="sv-FI"/>
        </w:rPr>
        <w:tab/>
      </w:r>
      <w:r w:rsidR="00716E24">
        <w:t xml:space="preserve">It should for NR be considered to include a term </w:t>
      </w:r>
      <m:oMath>
        <m:r>
          <m:rPr>
            <m:sty m:val="b"/>
          </m:rPr>
          <w:rPr>
            <w:rFonts w:ascii="Cambria Math" w:hAnsi="Cambria Math" w:cs="Arial"/>
          </w:rPr>
          <m:t>10log10M</m:t>
        </m:r>
      </m:oMath>
      <w:r w:rsidR="00716E24">
        <w:t xml:space="preserve"> for PUCCH in order to better support the case of more </w:t>
      </w:r>
      <w:r w:rsidR="00716E24" w:rsidRPr="00A11F0E">
        <w:t>than one PRB for PUCCH.</w:t>
      </w:r>
    </w:p>
    <w:p w14:paraId="4296FC0D" w14:textId="77777777" w:rsidR="00716E24" w:rsidRPr="00716E24" w:rsidRDefault="00716E24">
      <w:pPr>
        <w:pStyle w:val="TOC1"/>
        <w:rPr>
          <w:rFonts w:asciiTheme="minorHAnsi" w:eastAsiaTheme="minorEastAsia" w:hAnsiTheme="minorHAnsi" w:cstheme="minorBidi"/>
          <w:b w:val="0"/>
          <w:sz w:val="22"/>
          <w:lang w:eastAsia="sv-FI"/>
        </w:rPr>
      </w:pPr>
      <w:r>
        <w:t>Proposal 2</w:t>
      </w:r>
      <w:r w:rsidRPr="00716E24">
        <w:rPr>
          <w:rFonts w:asciiTheme="minorHAnsi" w:eastAsiaTheme="minorEastAsia" w:hAnsiTheme="minorHAnsi" w:cstheme="minorBidi"/>
          <w:b w:val="0"/>
          <w:sz w:val="22"/>
          <w:lang w:eastAsia="sv-FI"/>
        </w:rPr>
        <w:tab/>
      </w:r>
      <w:r>
        <w:t>Enable both closed and open loop power control for beam specific power control.</w:t>
      </w:r>
    </w:p>
    <w:p w14:paraId="35504D19" w14:textId="77777777" w:rsidR="00716E24" w:rsidRPr="00716E24" w:rsidRDefault="00716E24">
      <w:pPr>
        <w:pStyle w:val="TOC1"/>
        <w:rPr>
          <w:rFonts w:asciiTheme="minorHAnsi" w:eastAsiaTheme="minorEastAsia" w:hAnsiTheme="minorHAnsi" w:cstheme="minorBidi"/>
          <w:b w:val="0"/>
          <w:sz w:val="22"/>
          <w:lang w:eastAsia="sv-FI"/>
        </w:rPr>
      </w:pPr>
      <w:r>
        <w:t>Proposal 3</w:t>
      </w:r>
      <w:r w:rsidRPr="00716E24">
        <w:rPr>
          <w:rFonts w:asciiTheme="minorHAnsi" w:eastAsiaTheme="minorEastAsia" w:hAnsiTheme="minorHAnsi" w:cstheme="minorBidi"/>
          <w:b w:val="0"/>
          <w:sz w:val="22"/>
          <w:lang w:eastAsia="sv-FI"/>
        </w:rPr>
        <w:tab/>
      </w:r>
      <w:r>
        <w:t>Consider to support independent power control loop and parameters for different beam pair links.</w:t>
      </w:r>
    </w:p>
    <w:p w14:paraId="64AA91C5" w14:textId="77777777" w:rsidR="00716E24" w:rsidRPr="00716E24" w:rsidRDefault="00716E24">
      <w:pPr>
        <w:pStyle w:val="TOC1"/>
        <w:rPr>
          <w:rFonts w:asciiTheme="minorHAnsi" w:eastAsiaTheme="minorEastAsia" w:hAnsiTheme="minorHAnsi" w:cstheme="minorBidi"/>
          <w:b w:val="0"/>
          <w:sz w:val="22"/>
          <w:lang w:eastAsia="sv-FI"/>
        </w:rPr>
      </w:pPr>
      <w:r>
        <w:t>Proposal 4</w:t>
      </w:r>
      <w:r w:rsidRPr="00716E24">
        <w:rPr>
          <w:rFonts w:asciiTheme="minorHAnsi" w:eastAsiaTheme="minorEastAsia" w:hAnsiTheme="minorHAnsi" w:cstheme="minorBidi"/>
          <w:b w:val="0"/>
          <w:sz w:val="22"/>
          <w:lang w:eastAsia="sv-FI"/>
        </w:rPr>
        <w:tab/>
      </w:r>
      <w:r>
        <w:t>Unless there are other compelling reasons, the same power control mechanism for multiple BPLs may be used for multiple panels.</w:t>
      </w:r>
    </w:p>
    <w:p w14:paraId="0C76C2EC" w14:textId="1CBD2332" w:rsidR="00C01F33" w:rsidRPr="00790B99" w:rsidRDefault="00E5689D" w:rsidP="00E5689D">
      <w:pPr>
        <w:pStyle w:val="BodyText"/>
        <w:rPr>
          <w:b/>
          <w:bCs/>
        </w:rPr>
      </w:pPr>
      <w:r>
        <w:rPr>
          <w:b/>
          <w:bCs/>
        </w:rPr>
        <w:fldChar w:fldCharType="end"/>
      </w:r>
    </w:p>
    <w:p w14:paraId="4320A01E" w14:textId="77777777" w:rsidR="00F507D1" w:rsidRPr="00CE0424" w:rsidRDefault="00F507D1" w:rsidP="00CE0424">
      <w:pPr>
        <w:pStyle w:val="Heading1"/>
      </w:pPr>
      <w:bookmarkStart w:id="33" w:name="_In-sequence_SDU_delivery"/>
      <w:bookmarkEnd w:id="33"/>
      <w:r w:rsidRPr="00CE0424">
        <w:t>References</w:t>
      </w:r>
    </w:p>
    <w:p w14:paraId="194100FB" w14:textId="41FEF700" w:rsidR="001F7091" w:rsidRDefault="00EA030C" w:rsidP="001F7091">
      <w:pPr>
        <w:pStyle w:val="Reference"/>
      </w:pPr>
      <w:bookmarkStart w:id="34" w:name="_Ref473796576"/>
      <w:r>
        <w:t xml:space="preserve">Chairman’s note, </w:t>
      </w:r>
      <w:bookmarkEnd w:id="34"/>
      <w:r w:rsidR="001F7091" w:rsidRPr="00476DB7">
        <w:t>3GPP TSG RAN WG1 Meeting #88</w:t>
      </w:r>
    </w:p>
    <w:p w14:paraId="3662DB3F" w14:textId="3472EF95" w:rsidR="00477D72" w:rsidRDefault="00477D72" w:rsidP="00477D72">
      <w:pPr>
        <w:pStyle w:val="Reference"/>
      </w:pPr>
      <w:bookmarkStart w:id="35" w:name="_Ref474161321"/>
      <w:r w:rsidRPr="00477D72">
        <w:t>R1-1702675</w:t>
      </w:r>
      <w:r>
        <w:t>, “</w:t>
      </w:r>
      <w:r w:rsidRPr="00477D72">
        <w:t>On group based reporting of Tx beams</w:t>
      </w:r>
      <w:r>
        <w:t>”, Ericsson, RAN1#88.</w:t>
      </w:r>
      <w:bookmarkEnd w:id="35"/>
    </w:p>
    <w:p w14:paraId="385DE8B1" w14:textId="0688B450" w:rsidR="005E23C1" w:rsidRDefault="005E23C1" w:rsidP="005E23C1">
      <w:pPr>
        <w:pStyle w:val="Reference"/>
      </w:pPr>
      <w:bookmarkStart w:id="36" w:name="_Ref477944470"/>
      <w:r w:rsidRPr="00477D72">
        <w:t>R1-</w:t>
      </w:r>
      <w:r w:rsidR="0008308D">
        <w:t>1705915</w:t>
      </w:r>
      <w:r>
        <w:t>, “</w:t>
      </w:r>
      <w:r w:rsidRPr="005E6FF3">
        <w:t>On path loss estimation for UL power control</w:t>
      </w:r>
      <w:r>
        <w:t>”, Ericsson, RAN1#88bis.</w:t>
      </w:r>
      <w:bookmarkEnd w:id="36"/>
    </w:p>
    <w:p w14:paraId="2B301FC5" w14:textId="77777777" w:rsidR="00E72641" w:rsidRDefault="00E72641" w:rsidP="00E72641">
      <w:pPr>
        <w:pStyle w:val="Reference"/>
        <w:numPr>
          <w:ilvl w:val="0"/>
          <w:numId w:val="0"/>
        </w:numPr>
        <w:ind w:left="567" w:hanging="567"/>
      </w:pPr>
    </w:p>
    <w:sectPr w:rsidR="00E72641" w:rsidSect="00C02A4C">
      <w:headerReference w:type="even" r:id="rId13"/>
      <w:headerReference w:type="default"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C0850" w14:textId="77777777" w:rsidR="00FC796A" w:rsidRDefault="00FC796A">
      <w:r>
        <w:separator/>
      </w:r>
    </w:p>
  </w:endnote>
  <w:endnote w:type="continuationSeparator" w:id="0">
    <w:p w14:paraId="56C35AA2" w14:textId="77777777" w:rsidR="00FC796A" w:rsidRDefault="00FC796A">
      <w:r>
        <w:continuationSeparator/>
      </w:r>
    </w:p>
  </w:endnote>
  <w:endnote w:type="continuationNotice" w:id="1">
    <w:p w14:paraId="7A3D3633" w14:textId="77777777" w:rsidR="00FC796A" w:rsidRDefault="00FC7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59018" w14:textId="0E3A9AA9" w:rsidR="00081AE2" w:rsidRDefault="00081A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00B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00B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6769A" w14:textId="77777777" w:rsidR="00FC796A" w:rsidRDefault="00FC796A">
      <w:r>
        <w:separator/>
      </w:r>
    </w:p>
  </w:footnote>
  <w:footnote w:type="continuationSeparator" w:id="0">
    <w:p w14:paraId="6FBC3544" w14:textId="77777777" w:rsidR="00FC796A" w:rsidRDefault="00FC796A">
      <w:r>
        <w:continuationSeparator/>
      </w:r>
    </w:p>
  </w:footnote>
  <w:footnote w:type="continuationNotice" w:id="1">
    <w:p w14:paraId="1B60B184" w14:textId="77777777" w:rsidR="00FC796A" w:rsidRDefault="00FC79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76B0" w14:textId="77777777" w:rsidR="00081AE2" w:rsidRDefault="00081AE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BD23E" w14:textId="77777777" w:rsidR="00E032AC" w:rsidRDefault="00E03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745BEC"/>
    <w:multiLevelType w:val="hybridMultilevel"/>
    <w:tmpl w:val="771496E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Courier New" w:hint="default"/>
      </w:rPr>
    </w:lvl>
    <w:lvl w:ilvl="5" w:tplc="10090005">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725E38"/>
    <w:multiLevelType w:val="hybridMultilevel"/>
    <w:tmpl w:val="CF80DD72"/>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0C2486B"/>
    <w:multiLevelType w:val="hybridMultilevel"/>
    <w:tmpl w:val="C9BA9C18"/>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9D2476"/>
    <w:multiLevelType w:val="hybridMultilevel"/>
    <w:tmpl w:val="1116E818"/>
    <w:lvl w:ilvl="0" w:tplc="081D0001">
      <w:start w:val="1"/>
      <w:numFmt w:val="bullet"/>
      <w:lvlText w:val=""/>
      <w:lvlJc w:val="left"/>
      <w:pPr>
        <w:ind w:left="774" w:hanging="360"/>
      </w:pPr>
      <w:rPr>
        <w:rFonts w:ascii="Symbol" w:hAnsi="Symbol" w:hint="default"/>
      </w:rPr>
    </w:lvl>
    <w:lvl w:ilvl="1" w:tplc="081D0003" w:tentative="1">
      <w:start w:val="1"/>
      <w:numFmt w:val="bullet"/>
      <w:lvlText w:val="o"/>
      <w:lvlJc w:val="left"/>
      <w:pPr>
        <w:ind w:left="1494" w:hanging="360"/>
      </w:pPr>
      <w:rPr>
        <w:rFonts w:ascii="Courier New" w:hAnsi="Courier New" w:cs="Courier New" w:hint="default"/>
      </w:rPr>
    </w:lvl>
    <w:lvl w:ilvl="2" w:tplc="081D0005" w:tentative="1">
      <w:start w:val="1"/>
      <w:numFmt w:val="bullet"/>
      <w:lvlText w:val=""/>
      <w:lvlJc w:val="left"/>
      <w:pPr>
        <w:ind w:left="2214" w:hanging="360"/>
      </w:pPr>
      <w:rPr>
        <w:rFonts w:ascii="Wingdings" w:hAnsi="Wingdings" w:hint="default"/>
      </w:rPr>
    </w:lvl>
    <w:lvl w:ilvl="3" w:tplc="081D0001" w:tentative="1">
      <w:start w:val="1"/>
      <w:numFmt w:val="bullet"/>
      <w:lvlText w:val=""/>
      <w:lvlJc w:val="left"/>
      <w:pPr>
        <w:ind w:left="2934" w:hanging="360"/>
      </w:pPr>
      <w:rPr>
        <w:rFonts w:ascii="Symbol" w:hAnsi="Symbol" w:hint="default"/>
      </w:rPr>
    </w:lvl>
    <w:lvl w:ilvl="4" w:tplc="081D0003" w:tentative="1">
      <w:start w:val="1"/>
      <w:numFmt w:val="bullet"/>
      <w:lvlText w:val="o"/>
      <w:lvlJc w:val="left"/>
      <w:pPr>
        <w:ind w:left="3654" w:hanging="360"/>
      </w:pPr>
      <w:rPr>
        <w:rFonts w:ascii="Courier New" w:hAnsi="Courier New" w:cs="Courier New" w:hint="default"/>
      </w:rPr>
    </w:lvl>
    <w:lvl w:ilvl="5" w:tplc="081D0005" w:tentative="1">
      <w:start w:val="1"/>
      <w:numFmt w:val="bullet"/>
      <w:lvlText w:val=""/>
      <w:lvlJc w:val="left"/>
      <w:pPr>
        <w:ind w:left="4374" w:hanging="360"/>
      </w:pPr>
      <w:rPr>
        <w:rFonts w:ascii="Wingdings" w:hAnsi="Wingdings" w:hint="default"/>
      </w:rPr>
    </w:lvl>
    <w:lvl w:ilvl="6" w:tplc="081D0001" w:tentative="1">
      <w:start w:val="1"/>
      <w:numFmt w:val="bullet"/>
      <w:lvlText w:val=""/>
      <w:lvlJc w:val="left"/>
      <w:pPr>
        <w:ind w:left="5094" w:hanging="360"/>
      </w:pPr>
      <w:rPr>
        <w:rFonts w:ascii="Symbol" w:hAnsi="Symbol" w:hint="default"/>
      </w:rPr>
    </w:lvl>
    <w:lvl w:ilvl="7" w:tplc="081D0003" w:tentative="1">
      <w:start w:val="1"/>
      <w:numFmt w:val="bullet"/>
      <w:lvlText w:val="o"/>
      <w:lvlJc w:val="left"/>
      <w:pPr>
        <w:ind w:left="5814" w:hanging="360"/>
      </w:pPr>
      <w:rPr>
        <w:rFonts w:ascii="Courier New" w:hAnsi="Courier New" w:cs="Courier New" w:hint="default"/>
      </w:rPr>
    </w:lvl>
    <w:lvl w:ilvl="8" w:tplc="081D0005" w:tentative="1">
      <w:start w:val="1"/>
      <w:numFmt w:val="bullet"/>
      <w:lvlText w:val=""/>
      <w:lvlJc w:val="left"/>
      <w:pPr>
        <w:ind w:left="6534"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A1680C"/>
    <w:multiLevelType w:val="hybridMultilevel"/>
    <w:tmpl w:val="4B56B28E"/>
    <w:lvl w:ilvl="0" w:tplc="4F7A4B60">
      <w:start w:val="1"/>
      <w:numFmt w:val="bullet"/>
      <w:lvlText w:val="›"/>
      <w:lvlJc w:val="left"/>
      <w:pPr>
        <w:tabs>
          <w:tab w:val="num" w:pos="720"/>
        </w:tabs>
        <w:ind w:left="720" w:hanging="360"/>
      </w:pPr>
      <w:rPr>
        <w:rFonts w:ascii="Arial" w:hAnsi="Arial" w:cs="Times New Roman" w:hint="default"/>
      </w:rPr>
    </w:lvl>
    <w:lvl w:ilvl="1" w:tplc="1C96FE30">
      <w:numFmt w:val="bullet"/>
      <w:lvlText w:val="–"/>
      <w:lvlJc w:val="left"/>
      <w:pPr>
        <w:tabs>
          <w:tab w:val="num" w:pos="1440"/>
        </w:tabs>
        <w:ind w:left="1440" w:hanging="360"/>
      </w:pPr>
      <w:rPr>
        <w:rFonts w:ascii="Ericsson Capital TT" w:hAnsi="Ericsson Capital TT" w:hint="default"/>
      </w:rPr>
    </w:lvl>
    <w:lvl w:ilvl="2" w:tplc="8E524E5C">
      <w:numFmt w:val="bullet"/>
      <w:lvlText w:val="›"/>
      <w:lvlJc w:val="left"/>
      <w:pPr>
        <w:tabs>
          <w:tab w:val="num" w:pos="2160"/>
        </w:tabs>
        <w:ind w:left="2160" w:hanging="360"/>
      </w:pPr>
      <w:rPr>
        <w:rFonts w:ascii="Ericsson Capital TT" w:hAnsi="Ericsson Capital TT" w:hint="default"/>
        <w:lang w:val="en-US"/>
      </w:rPr>
    </w:lvl>
    <w:lvl w:ilvl="3" w:tplc="8098B930">
      <w:start w:val="1"/>
      <w:numFmt w:val="bullet"/>
      <w:lvlText w:val="›"/>
      <w:lvlJc w:val="left"/>
      <w:pPr>
        <w:tabs>
          <w:tab w:val="num" w:pos="2880"/>
        </w:tabs>
        <w:ind w:left="2880" w:hanging="360"/>
      </w:pPr>
      <w:rPr>
        <w:rFonts w:ascii="Arial" w:hAnsi="Arial" w:cs="Times New Roman" w:hint="default"/>
      </w:rPr>
    </w:lvl>
    <w:lvl w:ilvl="4" w:tplc="D80CC506">
      <w:start w:val="1"/>
      <w:numFmt w:val="bullet"/>
      <w:lvlText w:val="›"/>
      <w:lvlJc w:val="left"/>
      <w:pPr>
        <w:tabs>
          <w:tab w:val="num" w:pos="3600"/>
        </w:tabs>
        <w:ind w:left="3600" w:hanging="360"/>
      </w:pPr>
      <w:rPr>
        <w:rFonts w:ascii="Arial" w:hAnsi="Arial" w:cs="Times New Roman" w:hint="default"/>
      </w:rPr>
    </w:lvl>
    <w:lvl w:ilvl="5" w:tplc="2C2E458C">
      <w:start w:val="1"/>
      <w:numFmt w:val="bullet"/>
      <w:lvlText w:val="›"/>
      <w:lvlJc w:val="left"/>
      <w:pPr>
        <w:tabs>
          <w:tab w:val="num" w:pos="4320"/>
        </w:tabs>
        <w:ind w:left="4320" w:hanging="360"/>
      </w:pPr>
      <w:rPr>
        <w:rFonts w:ascii="Arial" w:hAnsi="Arial" w:cs="Times New Roman" w:hint="default"/>
      </w:rPr>
    </w:lvl>
    <w:lvl w:ilvl="6" w:tplc="65FCE5FA">
      <w:start w:val="1"/>
      <w:numFmt w:val="bullet"/>
      <w:lvlText w:val="›"/>
      <w:lvlJc w:val="left"/>
      <w:pPr>
        <w:tabs>
          <w:tab w:val="num" w:pos="5040"/>
        </w:tabs>
        <w:ind w:left="5040" w:hanging="360"/>
      </w:pPr>
      <w:rPr>
        <w:rFonts w:ascii="Arial" w:hAnsi="Arial" w:cs="Times New Roman" w:hint="default"/>
      </w:rPr>
    </w:lvl>
    <w:lvl w:ilvl="7" w:tplc="6164C1A8">
      <w:start w:val="1"/>
      <w:numFmt w:val="bullet"/>
      <w:lvlText w:val="›"/>
      <w:lvlJc w:val="left"/>
      <w:pPr>
        <w:tabs>
          <w:tab w:val="num" w:pos="5760"/>
        </w:tabs>
        <w:ind w:left="5760" w:hanging="360"/>
      </w:pPr>
      <w:rPr>
        <w:rFonts w:ascii="Arial" w:hAnsi="Arial" w:cs="Times New Roman" w:hint="default"/>
      </w:rPr>
    </w:lvl>
    <w:lvl w:ilvl="8" w:tplc="F0742704">
      <w:start w:val="1"/>
      <w:numFmt w:val="bullet"/>
      <w:lvlText w:val="›"/>
      <w:lvlJc w:val="left"/>
      <w:pPr>
        <w:tabs>
          <w:tab w:val="num" w:pos="6480"/>
        </w:tabs>
        <w:ind w:left="6480" w:hanging="360"/>
      </w:pPr>
      <w:rPr>
        <w:rFonts w:ascii="Arial" w:hAnsi="Arial" w:cs="Times New Roman" w:hint="default"/>
      </w:rPr>
    </w:lvl>
  </w:abstractNum>
  <w:num w:numId="1">
    <w:abstractNumId w:val="3"/>
  </w:num>
  <w:num w:numId="2">
    <w:abstractNumId w:val="18"/>
  </w:num>
  <w:num w:numId="3">
    <w:abstractNumId w:val="13"/>
  </w:num>
  <w:num w:numId="4">
    <w:abstractNumId w:val="14"/>
  </w:num>
  <w:num w:numId="5">
    <w:abstractNumId w:val="9"/>
  </w:num>
  <w:num w:numId="6">
    <w:abstractNumId w:val="15"/>
  </w:num>
  <w:num w:numId="7">
    <w:abstractNumId w:val="20"/>
  </w:num>
  <w:num w:numId="8">
    <w:abstractNumId w:val="10"/>
  </w:num>
  <w:num w:numId="9">
    <w:abstractNumId w:val="6"/>
  </w:num>
  <w:num w:numId="10">
    <w:abstractNumId w:val="2"/>
  </w:num>
  <w:num w:numId="11">
    <w:abstractNumId w:val="1"/>
  </w:num>
  <w:num w:numId="12">
    <w:abstractNumId w:val="0"/>
  </w:num>
  <w:num w:numId="13">
    <w:abstractNumId w:val="19"/>
  </w:num>
  <w:num w:numId="14">
    <w:abstractNumId w:val="11"/>
  </w:num>
  <w:num w:numId="15">
    <w:abstractNumId w:val="12"/>
  </w:num>
  <w:num w:numId="16">
    <w:abstractNumId w:val="5"/>
  </w:num>
  <w:num w:numId="17">
    <w:abstractNumId w:val="7"/>
  </w:num>
  <w:num w:numId="18">
    <w:abstractNumId w:val="17"/>
  </w:num>
  <w:num w:numId="19">
    <w:abstractNumId w:val="8"/>
  </w:num>
  <w:num w:numId="20">
    <w:abstractNumId w:val="21"/>
  </w:num>
  <w:num w:numId="21">
    <w:abstractNumId w:val="4"/>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AU"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6913"/>
    <w:rsid w:val="000079E1"/>
    <w:rsid w:val="00007CDC"/>
    <w:rsid w:val="00011B28"/>
    <w:rsid w:val="00015D15"/>
    <w:rsid w:val="00023DBA"/>
    <w:rsid w:val="0002564D"/>
    <w:rsid w:val="00025ECA"/>
    <w:rsid w:val="00030B30"/>
    <w:rsid w:val="000325B8"/>
    <w:rsid w:val="00034C15"/>
    <w:rsid w:val="00036BA1"/>
    <w:rsid w:val="00042009"/>
    <w:rsid w:val="000422E2"/>
    <w:rsid w:val="00042F22"/>
    <w:rsid w:val="000444EF"/>
    <w:rsid w:val="00052A07"/>
    <w:rsid w:val="0005326C"/>
    <w:rsid w:val="000534E3"/>
    <w:rsid w:val="0005606A"/>
    <w:rsid w:val="00057117"/>
    <w:rsid w:val="000616E7"/>
    <w:rsid w:val="0006487E"/>
    <w:rsid w:val="00065E1A"/>
    <w:rsid w:val="00074A2E"/>
    <w:rsid w:val="00077E5F"/>
    <w:rsid w:val="0008036A"/>
    <w:rsid w:val="00081AE2"/>
    <w:rsid w:val="00081AE6"/>
    <w:rsid w:val="0008308D"/>
    <w:rsid w:val="000855EB"/>
    <w:rsid w:val="00085B52"/>
    <w:rsid w:val="000866F2"/>
    <w:rsid w:val="0009009F"/>
    <w:rsid w:val="00091557"/>
    <w:rsid w:val="000924C1"/>
    <w:rsid w:val="000924F0"/>
    <w:rsid w:val="00093474"/>
    <w:rsid w:val="0009510F"/>
    <w:rsid w:val="0009798D"/>
    <w:rsid w:val="000A1B7B"/>
    <w:rsid w:val="000A56F2"/>
    <w:rsid w:val="000B2719"/>
    <w:rsid w:val="000B3A8F"/>
    <w:rsid w:val="000B4AB9"/>
    <w:rsid w:val="000B58C3"/>
    <w:rsid w:val="000B61E9"/>
    <w:rsid w:val="000C165A"/>
    <w:rsid w:val="000C22B9"/>
    <w:rsid w:val="000C2E19"/>
    <w:rsid w:val="000D0D07"/>
    <w:rsid w:val="000D4797"/>
    <w:rsid w:val="000E0527"/>
    <w:rsid w:val="000E1E92"/>
    <w:rsid w:val="000E2D41"/>
    <w:rsid w:val="000F06D6"/>
    <w:rsid w:val="000F0EB1"/>
    <w:rsid w:val="000F1106"/>
    <w:rsid w:val="000F3BE9"/>
    <w:rsid w:val="000F3F6C"/>
    <w:rsid w:val="000F6DF3"/>
    <w:rsid w:val="001005FF"/>
    <w:rsid w:val="001062FB"/>
    <w:rsid w:val="001063E6"/>
    <w:rsid w:val="00113CF4"/>
    <w:rsid w:val="00114679"/>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4BE"/>
    <w:rsid w:val="00151E23"/>
    <w:rsid w:val="001526E0"/>
    <w:rsid w:val="0015373E"/>
    <w:rsid w:val="001551B5"/>
    <w:rsid w:val="001554B6"/>
    <w:rsid w:val="001554B7"/>
    <w:rsid w:val="001659C1"/>
    <w:rsid w:val="00173A8E"/>
    <w:rsid w:val="00174A6C"/>
    <w:rsid w:val="0018143F"/>
    <w:rsid w:val="00190AC1"/>
    <w:rsid w:val="0019341A"/>
    <w:rsid w:val="00197DF9"/>
    <w:rsid w:val="001A1987"/>
    <w:rsid w:val="001A2564"/>
    <w:rsid w:val="001A6173"/>
    <w:rsid w:val="001A6CBA"/>
    <w:rsid w:val="001B0D97"/>
    <w:rsid w:val="001B5A5D"/>
    <w:rsid w:val="001C1CE5"/>
    <w:rsid w:val="001C2355"/>
    <w:rsid w:val="001C3D2A"/>
    <w:rsid w:val="001D51BA"/>
    <w:rsid w:val="001D6342"/>
    <w:rsid w:val="001D6D53"/>
    <w:rsid w:val="001E2560"/>
    <w:rsid w:val="001E58E2"/>
    <w:rsid w:val="001E7AED"/>
    <w:rsid w:val="001F3916"/>
    <w:rsid w:val="001F54C5"/>
    <w:rsid w:val="001F662C"/>
    <w:rsid w:val="001F7074"/>
    <w:rsid w:val="001F7091"/>
    <w:rsid w:val="00200490"/>
    <w:rsid w:val="00201F3A"/>
    <w:rsid w:val="00203F96"/>
    <w:rsid w:val="002057F2"/>
    <w:rsid w:val="00205CE4"/>
    <w:rsid w:val="002069B2"/>
    <w:rsid w:val="00207FA3"/>
    <w:rsid w:val="00214DA8"/>
    <w:rsid w:val="00215423"/>
    <w:rsid w:val="002158FA"/>
    <w:rsid w:val="00220600"/>
    <w:rsid w:val="00220B1F"/>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5E1"/>
    <w:rsid w:val="002805F5"/>
    <w:rsid w:val="00280751"/>
    <w:rsid w:val="0028280A"/>
    <w:rsid w:val="00286ACD"/>
    <w:rsid w:val="00287838"/>
    <w:rsid w:val="002907B5"/>
    <w:rsid w:val="00292EB7"/>
    <w:rsid w:val="00295407"/>
    <w:rsid w:val="00296227"/>
    <w:rsid w:val="00296F44"/>
    <w:rsid w:val="0029777D"/>
    <w:rsid w:val="002A055E"/>
    <w:rsid w:val="002A1D4E"/>
    <w:rsid w:val="002A2869"/>
    <w:rsid w:val="002B24D6"/>
    <w:rsid w:val="002B3E67"/>
    <w:rsid w:val="002C41E6"/>
    <w:rsid w:val="002D071A"/>
    <w:rsid w:val="002D34B2"/>
    <w:rsid w:val="002D7637"/>
    <w:rsid w:val="002E17F2"/>
    <w:rsid w:val="002E4DA3"/>
    <w:rsid w:val="002E7CAE"/>
    <w:rsid w:val="002F2771"/>
    <w:rsid w:val="002F37A9"/>
    <w:rsid w:val="002F6288"/>
    <w:rsid w:val="00301A0B"/>
    <w:rsid w:val="00301CE6"/>
    <w:rsid w:val="0030256B"/>
    <w:rsid w:val="0030501F"/>
    <w:rsid w:val="00307BA1"/>
    <w:rsid w:val="00311702"/>
    <w:rsid w:val="003117C9"/>
    <w:rsid w:val="00311E82"/>
    <w:rsid w:val="003129C1"/>
    <w:rsid w:val="00313FD6"/>
    <w:rsid w:val="003143BD"/>
    <w:rsid w:val="0032035E"/>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634D"/>
    <w:rsid w:val="00370E47"/>
    <w:rsid w:val="003718BE"/>
    <w:rsid w:val="003742AC"/>
    <w:rsid w:val="00374ADB"/>
    <w:rsid w:val="00377CE1"/>
    <w:rsid w:val="00385BF0"/>
    <w:rsid w:val="00391AD2"/>
    <w:rsid w:val="003939FF"/>
    <w:rsid w:val="003A0E41"/>
    <w:rsid w:val="003A2223"/>
    <w:rsid w:val="003A2A0F"/>
    <w:rsid w:val="003A45A1"/>
    <w:rsid w:val="003A5B0A"/>
    <w:rsid w:val="003A5D97"/>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97A"/>
    <w:rsid w:val="004517AA"/>
    <w:rsid w:val="00452CAC"/>
    <w:rsid w:val="00457565"/>
    <w:rsid w:val="00457B71"/>
    <w:rsid w:val="004669DF"/>
    <w:rsid w:val="004669E2"/>
    <w:rsid w:val="00470C31"/>
    <w:rsid w:val="004734D0"/>
    <w:rsid w:val="0047556B"/>
    <w:rsid w:val="00477768"/>
    <w:rsid w:val="004778B0"/>
    <w:rsid w:val="00477D72"/>
    <w:rsid w:val="00492BC5"/>
    <w:rsid w:val="004964F1"/>
    <w:rsid w:val="004A09F1"/>
    <w:rsid w:val="004A16BC"/>
    <w:rsid w:val="004A2B94"/>
    <w:rsid w:val="004B454E"/>
    <w:rsid w:val="004B7C0C"/>
    <w:rsid w:val="004C3898"/>
    <w:rsid w:val="004C5C74"/>
    <w:rsid w:val="004D36B1"/>
    <w:rsid w:val="004D7EBD"/>
    <w:rsid w:val="004E03EF"/>
    <w:rsid w:val="004E2680"/>
    <w:rsid w:val="004E28F9"/>
    <w:rsid w:val="004E462E"/>
    <w:rsid w:val="004E56DC"/>
    <w:rsid w:val="004E76F4"/>
    <w:rsid w:val="004F0B4E"/>
    <w:rsid w:val="004F0B6C"/>
    <w:rsid w:val="004F2078"/>
    <w:rsid w:val="004F4DA3"/>
    <w:rsid w:val="005059F5"/>
    <w:rsid w:val="00506557"/>
    <w:rsid w:val="0050677A"/>
    <w:rsid w:val="005108D8"/>
    <w:rsid w:val="005116F9"/>
    <w:rsid w:val="005153A7"/>
    <w:rsid w:val="005219CF"/>
    <w:rsid w:val="00530308"/>
    <w:rsid w:val="00534B59"/>
    <w:rsid w:val="00536759"/>
    <w:rsid w:val="00537C62"/>
    <w:rsid w:val="00546970"/>
    <w:rsid w:val="005501DF"/>
    <w:rsid w:val="00554192"/>
    <w:rsid w:val="00554E19"/>
    <w:rsid w:val="005555D5"/>
    <w:rsid w:val="0056121F"/>
    <w:rsid w:val="00566587"/>
    <w:rsid w:val="00572505"/>
    <w:rsid w:val="00575DA6"/>
    <w:rsid w:val="00582809"/>
    <w:rsid w:val="0058798C"/>
    <w:rsid w:val="005900FA"/>
    <w:rsid w:val="005935A4"/>
    <w:rsid w:val="005948C2"/>
    <w:rsid w:val="00595DCA"/>
    <w:rsid w:val="0059779B"/>
    <w:rsid w:val="005A102F"/>
    <w:rsid w:val="005A209A"/>
    <w:rsid w:val="005A357C"/>
    <w:rsid w:val="005A662D"/>
    <w:rsid w:val="005B35D7"/>
    <w:rsid w:val="005B392A"/>
    <w:rsid w:val="005B3AA3"/>
    <w:rsid w:val="005B6F83"/>
    <w:rsid w:val="005C74FB"/>
    <w:rsid w:val="005D1602"/>
    <w:rsid w:val="005E23C1"/>
    <w:rsid w:val="005E385F"/>
    <w:rsid w:val="005E5B81"/>
    <w:rsid w:val="005F2CB1"/>
    <w:rsid w:val="005F3025"/>
    <w:rsid w:val="005F618C"/>
    <w:rsid w:val="005F70BD"/>
    <w:rsid w:val="0060283C"/>
    <w:rsid w:val="00604F14"/>
    <w:rsid w:val="006111A0"/>
    <w:rsid w:val="00611B83"/>
    <w:rsid w:val="00613257"/>
    <w:rsid w:val="00620A71"/>
    <w:rsid w:val="00620D80"/>
    <w:rsid w:val="006234A6"/>
    <w:rsid w:val="0062379C"/>
    <w:rsid w:val="00630001"/>
    <w:rsid w:val="006311B3"/>
    <w:rsid w:val="00631258"/>
    <w:rsid w:val="0063284C"/>
    <w:rsid w:val="00634674"/>
    <w:rsid w:val="006362DB"/>
    <w:rsid w:val="00636398"/>
    <w:rsid w:val="006368D3"/>
    <w:rsid w:val="006377EC"/>
    <w:rsid w:val="0064151F"/>
    <w:rsid w:val="00641533"/>
    <w:rsid w:val="0064208D"/>
    <w:rsid w:val="00643475"/>
    <w:rsid w:val="0064396A"/>
    <w:rsid w:val="00644956"/>
    <w:rsid w:val="0064624E"/>
    <w:rsid w:val="00650AB9"/>
    <w:rsid w:val="00654DC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55"/>
    <w:rsid w:val="00681003"/>
    <w:rsid w:val="006817C9"/>
    <w:rsid w:val="00683ECE"/>
    <w:rsid w:val="00695FC2"/>
    <w:rsid w:val="00696704"/>
    <w:rsid w:val="00696949"/>
    <w:rsid w:val="00697052"/>
    <w:rsid w:val="006A46FB"/>
    <w:rsid w:val="006A5E28"/>
    <w:rsid w:val="006A6585"/>
    <w:rsid w:val="006A697B"/>
    <w:rsid w:val="006A7AFF"/>
    <w:rsid w:val="006B1816"/>
    <w:rsid w:val="006B2099"/>
    <w:rsid w:val="006B50CF"/>
    <w:rsid w:val="006C03B8"/>
    <w:rsid w:val="006C35D1"/>
    <w:rsid w:val="006C5EC9"/>
    <w:rsid w:val="006C6059"/>
    <w:rsid w:val="006C7522"/>
    <w:rsid w:val="006D5062"/>
    <w:rsid w:val="006D6F08"/>
    <w:rsid w:val="006E062C"/>
    <w:rsid w:val="006E1514"/>
    <w:rsid w:val="006E2288"/>
    <w:rsid w:val="006E28B7"/>
    <w:rsid w:val="006E3310"/>
    <w:rsid w:val="006E4E39"/>
    <w:rsid w:val="006E565E"/>
    <w:rsid w:val="006E673D"/>
    <w:rsid w:val="006E7D3B"/>
    <w:rsid w:val="006F1B70"/>
    <w:rsid w:val="006F341D"/>
    <w:rsid w:val="006F3CDE"/>
    <w:rsid w:val="006F4A2E"/>
    <w:rsid w:val="006F58D4"/>
    <w:rsid w:val="0070346E"/>
    <w:rsid w:val="00704EDB"/>
    <w:rsid w:val="00706101"/>
    <w:rsid w:val="00707072"/>
    <w:rsid w:val="00707D61"/>
    <w:rsid w:val="00712287"/>
    <w:rsid w:val="00712772"/>
    <w:rsid w:val="007148D3"/>
    <w:rsid w:val="00715B9A"/>
    <w:rsid w:val="00716E24"/>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4C5"/>
    <w:rsid w:val="00790B99"/>
    <w:rsid w:val="007925EA"/>
    <w:rsid w:val="00793CD8"/>
    <w:rsid w:val="007956AB"/>
    <w:rsid w:val="00795C92"/>
    <w:rsid w:val="00796231"/>
    <w:rsid w:val="007A1CB3"/>
    <w:rsid w:val="007A2FAC"/>
    <w:rsid w:val="007A306F"/>
    <w:rsid w:val="007A43A6"/>
    <w:rsid w:val="007A58A6"/>
    <w:rsid w:val="007B1ABD"/>
    <w:rsid w:val="007B3D2D"/>
    <w:rsid w:val="007B50AE"/>
    <w:rsid w:val="007B51DF"/>
    <w:rsid w:val="007B7374"/>
    <w:rsid w:val="007C05DD"/>
    <w:rsid w:val="007C3D18"/>
    <w:rsid w:val="007C4874"/>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6504"/>
    <w:rsid w:val="00827C3D"/>
    <w:rsid w:val="00827D6F"/>
    <w:rsid w:val="008376AC"/>
    <w:rsid w:val="008444E8"/>
    <w:rsid w:val="00844E80"/>
    <w:rsid w:val="00846FE7"/>
    <w:rsid w:val="008525B5"/>
    <w:rsid w:val="00856911"/>
    <w:rsid w:val="008677FD"/>
    <w:rsid w:val="008706D4"/>
    <w:rsid w:val="00870F8A"/>
    <w:rsid w:val="008719A4"/>
    <w:rsid w:val="00871D23"/>
    <w:rsid w:val="00874312"/>
    <w:rsid w:val="0087437C"/>
    <w:rsid w:val="00875030"/>
    <w:rsid w:val="00875CD7"/>
    <w:rsid w:val="00876B4D"/>
    <w:rsid w:val="00877F18"/>
    <w:rsid w:val="008834EB"/>
    <w:rsid w:val="00887220"/>
    <w:rsid w:val="00892DE6"/>
    <w:rsid w:val="00894A88"/>
    <w:rsid w:val="00895386"/>
    <w:rsid w:val="008A21FF"/>
    <w:rsid w:val="008A2CE2"/>
    <w:rsid w:val="008A30AC"/>
    <w:rsid w:val="008A44B8"/>
    <w:rsid w:val="008A51A8"/>
    <w:rsid w:val="008A54C7"/>
    <w:rsid w:val="008A77D8"/>
    <w:rsid w:val="008B028E"/>
    <w:rsid w:val="008B0483"/>
    <w:rsid w:val="008B120C"/>
    <w:rsid w:val="008B51A0"/>
    <w:rsid w:val="008B592A"/>
    <w:rsid w:val="008B7B5C"/>
    <w:rsid w:val="008C0C99"/>
    <w:rsid w:val="008C2017"/>
    <w:rsid w:val="008C4958"/>
    <w:rsid w:val="008C4BAA"/>
    <w:rsid w:val="008C6AE8"/>
    <w:rsid w:val="008C7573"/>
    <w:rsid w:val="008D34F1"/>
    <w:rsid w:val="008D39D8"/>
    <w:rsid w:val="008D6560"/>
    <w:rsid w:val="008D6D1A"/>
    <w:rsid w:val="008E065E"/>
    <w:rsid w:val="008E0927"/>
    <w:rsid w:val="008E1909"/>
    <w:rsid w:val="008F1EAB"/>
    <w:rsid w:val="008F33DC"/>
    <w:rsid w:val="008F477F"/>
    <w:rsid w:val="00902350"/>
    <w:rsid w:val="0090336B"/>
    <w:rsid w:val="009053AA"/>
    <w:rsid w:val="00906939"/>
    <w:rsid w:val="00910B7D"/>
    <w:rsid w:val="00911DFB"/>
    <w:rsid w:val="009123CD"/>
    <w:rsid w:val="009139D9"/>
    <w:rsid w:val="00914AD8"/>
    <w:rsid w:val="00916079"/>
    <w:rsid w:val="00917C90"/>
    <w:rsid w:val="00917CE9"/>
    <w:rsid w:val="00920BF2"/>
    <w:rsid w:val="00922010"/>
    <w:rsid w:val="00931BD9"/>
    <w:rsid w:val="00935739"/>
    <w:rsid w:val="009368F3"/>
    <w:rsid w:val="00941636"/>
    <w:rsid w:val="009431D2"/>
    <w:rsid w:val="00943742"/>
    <w:rsid w:val="00945C05"/>
    <w:rsid w:val="00946945"/>
    <w:rsid w:val="00946EBC"/>
    <w:rsid w:val="00947713"/>
    <w:rsid w:val="00950DE7"/>
    <w:rsid w:val="00952A24"/>
    <w:rsid w:val="00953920"/>
    <w:rsid w:val="00953D47"/>
    <w:rsid w:val="0095681E"/>
    <w:rsid w:val="009572D4"/>
    <w:rsid w:val="00960677"/>
    <w:rsid w:val="00961921"/>
    <w:rsid w:val="0096430A"/>
    <w:rsid w:val="0096554B"/>
    <w:rsid w:val="0096584A"/>
    <w:rsid w:val="00971F08"/>
    <w:rsid w:val="0097603D"/>
    <w:rsid w:val="00976949"/>
    <w:rsid w:val="00980477"/>
    <w:rsid w:val="00982C2A"/>
    <w:rsid w:val="00985253"/>
    <w:rsid w:val="009853B3"/>
    <w:rsid w:val="00985BFD"/>
    <w:rsid w:val="00990630"/>
    <w:rsid w:val="00991761"/>
    <w:rsid w:val="00993B65"/>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4E98"/>
    <w:rsid w:val="009C6832"/>
    <w:rsid w:val="009D446A"/>
    <w:rsid w:val="009D4FF0"/>
    <w:rsid w:val="009D703C"/>
    <w:rsid w:val="009D718F"/>
    <w:rsid w:val="009D7836"/>
    <w:rsid w:val="009E068F"/>
    <w:rsid w:val="009E14E0"/>
    <w:rsid w:val="009E35DB"/>
    <w:rsid w:val="009E47A3"/>
    <w:rsid w:val="009F08F3"/>
    <w:rsid w:val="009F344F"/>
    <w:rsid w:val="009F4BD5"/>
    <w:rsid w:val="009F75C7"/>
    <w:rsid w:val="00A02214"/>
    <w:rsid w:val="00A031D8"/>
    <w:rsid w:val="00A048A8"/>
    <w:rsid w:val="00A04F49"/>
    <w:rsid w:val="00A05FCD"/>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871"/>
    <w:rsid w:val="00A85C6C"/>
    <w:rsid w:val="00A85EF6"/>
    <w:rsid w:val="00A900B3"/>
    <w:rsid w:val="00A92879"/>
    <w:rsid w:val="00A93179"/>
    <w:rsid w:val="00A9442A"/>
    <w:rsid w:val="00AA016F"/>
    <w:rsid w:val="00AA1ED6"/>
    <w:rsid w:val="00AA2649"/>
    <w:rsid w:val="00AA51D6"/>
    <w:rsid w:val="00AB0BC8"/>
    <w:rsid w:val="00AB11CA"/>
    <w:rsid w:val="00AB14D9"/>
    <w:rsid w:val="00AB17D7"/>
    <w:rsid w:val="00AB4AB8"/>
    <w:rsid w:val="00AB655E"/>
    <w:rsid w:val="00AC007F"/>
    <w:rsid w:val="00AC11E6"/>
    <w:rsid w:val="00AC2ECD"/>
    <w:rsid w:val="00AC3119"/>
    <w:rsid w:val="00AC49FB"/>
    <w:rsid w:val="00AC5A10"/>
    <w:rsid w:val="00AC7789"/>
    <w:rsid w:val="00AD0AA3"/>
    <w:rsid w:val="00AD3F94"/>
    <w:rsid w:val="00AD4A5A"/>
    <w:rsid w:val="00AE27AC"/>
    <w:rsid w:val="00AE2FEB"/>
    <w:rsid w:val="00AE40E0"/>
    <w:rsid w:val="00AE4DBA"/>
    <w:rsid w:val="00AE4F07"/>
    <w:rsid w:val="00AE7A48"/>
    <w:rsid w:val="00AF1C5D"/>
    <w:rsid w:val="00AF42D7"/>
    <w:rsid w:val="00B006FE"/>
    <w:rsid w:val="00B007CB"/>
    <w:rsid w:val="00B02AA9"/>
    <w:rsid w:val="00B02FA3"/>
    <w:rsid w:val="00B03374"/>
    <w:rsid w:val="00B05084"/>
    <w:rsid w:val="00B157F9"/>
    <w:rsid w:val="00B17523"/>
    <w:rsid w:val="00B20256"/>
    <w:rsid w:val="00B20D09"/>
    <w:rsid w:val="00B2763F"/>
    <w:rsid w:val="00B27AAC"/>
    <w:rsid w:val="00B30929"/>
    <w:rsid w:val="00B372AA"/>
    <w:rsid w:val="00B40445"/>
    <w:rsid w:val="00B41888"/>
    <w:rsid w:val="00B45284"/>
    <w:rsid w:val="00B45A52"/>
    <w:rsid w:val="00B46175"/>
    <w:rsid w:val="00B51F27"/>
    <w:rsid w:val="00B54422"/>
    <w:rsid w:val="00B664C7"/>
    <w:rsid w:val="00B739F6"/>
    <w:rsid w:val="00B81A6C"/>
    <w:rsid w:val="00B85DE5"/>
    <w:rsid w:val="00B90F73"/>
    <w:rsid w:val="00B90F9A"/>
    <w:rsid w:val="00B93B59"/>
    <w:rsid w:val="00B9406A"/>
    <w:rsid w:val="00BA2280"/>
    <w:rsid w:val="00BA2A08"/>
    <w:rsid w:val="00BA56D2"/>
    <w:rsid w:val="00BA76E0"/>
    <w:rsid w:val="00BB2A25"/>
    <w:rsid w:val="00BB51E9"/>
    <w:rsid w:val="00BC0FDC"/>
    <w:rsid w:val="00BC111F"/>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038"/>
    <w:rsid w:val="00C07377"/>
    <w:rsid w:val="00C10478"/>
    <w:rsid w:val="00C12107"/>
    <w:rsid w:val="00C14D4B"/>
    <w:rsid w:val="00C154BB"/>
    <w:rsid w:val="00C23257"/>
    <w:rsid w:val="00C279B5"/>
    <w:rsid w:val="00C27C45"/>
    <w:rsid w:val="00C3719D"/>
    <w:rsid w:val="00C54995"/>
    <w:rsid w:val="00C54D41"/>
    <w:rsid w:val="00C60783"/>
    <w:rsid w:val="00C64672"/>
    <w:rsid w:val="00C66F6E"/>
    <w:rsid w:val="00C70697"/>
    <w:rsid w:val="00C72EF4"/>
    <w:rsid w:val="00C72F8E"/>
    <w:rsid w:val="00C75D2F"/>
    <w:rsid w:val="00C767BE"/>
    <w:rsid w:val="00C76E3C"/>
    <w:rsid w:val="00C81568"/>
    <w:rsid w:val="00C8427E"/>
    <w:rsid w:val="00C9027A"/>
    <w:rsid w:val="00C9068E"/>
    <w:rsid w:val="00C93C4B"/>
    <w:rsid w:val="00C944AB"/>
    <w:rsid w:val="00C95B40"/>
    <w:rsid w:val="00C97E48"/>
    <w:rsid w:val="00CA1068"/>
    <w:rsid w:val="00CA1ED8"/>
    <w:rsid w:val="00CA2417"/>
    <w:rsid w:val="00CA5132"/>
    <w:rsid w:val="00CA5E70"/>
    <w:rsid w:val="00CB1F63"/>
    <w:rsid w:val="00CB7170"/>
    <w:rsid w:val="00CC040E"/>
    <w:rsid w:val="00CC111F"/>
    <w:rsid w:val="00CC2011"/>
    <w:rsid w:val="00CC3EA0"/>
    <w:rsid w:val="00CC4DFD"/>
    <w:rsid w:val="00CC7B45"/>
    <w:rsid w:val="00CD1188"/>
    <w:rsid w:val="00CD2ED1"/>
    <w:rsid w:val="00CD337B"/>
    <w:rsid w:val="00CE0424"/>
    <w:rsid w:val="00CE7561"/>
    <w:rsid w:val="00CF0603"/>
    <w:rsid w:val="00CF1354"/>
    <w:rsid w:val="00CF3B1F"/>
    <w:rsid w:val="00CF3BF6"/>
    <w:rsid w:val="00CF625B"/>
    <w:rsid w:val="00CF687E"/>
    <w:rsid w:val="00D0349B"/>
    <w:rsid w:val="00D06A74"/>
    <w:rsid w:val="00D10249"/>
    <w:rsid w:val="00D115C3"/>
    <w:rsid w:val="00D11897"/>
    <w:rsid w:val="00D13135"/>
    <w:rsid w:val="00D13E4E"/>
    <w:rsid w:val="00D239A7"/>
    <w:rsid w:val="00D23F47"/>
    <w:rsid w:val="00D27448"/>
    <w:rsid w:val="00D36E71"/>
    <w:rsid w:val="00D37D87"/>
    <w:rsid w:val="00D40B33"/>
    <w:rsid w:val="00D42FE7"/>
    <w:rsid w:val="00D4318F"/>
    <w:rsid w:val="00D438BF"/>
    <w:rsid w:val="00D440F8"/>
    <w:rsid w:val="00D474BF"/>
    <w:rsid w:val="00D546FF"/>
    <w:rsid w:val="00D55AD5"/>
    <w:rsid w:val="00D576CA"/>
    <w:rsid w:val="00D61AF5"/>
    <w:rsid w:val="00D625B6"/>
    <w:rsid w:val="00D652B5"/>
    <w:rsid w:val="00D66155"/>
    <w:rsid w:val="00D708B0"/>
    <w:rsid w:val="00D77B1D"/>
    <w:rsid w:val="00D8021F"/>
    <w:rsid w:val="00D80383"/>
    <w:rsid w:val="00D823C6"/>
    <w:rsid w:val="00D83D27"/>
    <w:rsid w:val="00D86CA3"/>
    <w:rsid w:val="00D871CE"/>
    <w:rsid w:val="00D9196D"/>
    <w:rsid w:val="00D92982"/>
    <w:rsid w:val="00D92C2E"/>
    <w:rsid w:val="00DA305E"/>
    <w:rsid w:val="00DA37AE"/>
    <w:rsid w:val="00DA5417"/>
    <w:rsid w:val="00DA56E8"/>
    <w:rsid w:val="00DB0A9F"/>
    <w:rsid w:val="00DB377D"/>
    <w:rsid w:val="00DB4333"/>
    <w:rsid w:val="00DB5001"/>
    <w:rsid w:val="00DC184B"/>
    <w:rsid w:val="00DC2D36"/>
    <w:rsid w:val="00DC53EF"/>
    <w:rsid w:val="00DD40A6"/>
    <w:rsid w:val="00DE05DF"/>
    <w:rsid w:val="00DE5608"/>
    <w:rsid w:val="00DE58D0"/>
    <w:rsid w:val="00DE654F"/>
    <w:rsid w:val="00DF0B6E"/>
    <w:rsid w:val="00DF15E0"/>
    <w:rsid w:val="00DF2056"/>
    <w:rsid w:val="00DF37A0"/>
    <w:rsid w:val="00E032AC"/>
    <w:rsid w:val="00E110E7"/>
    <w:rsid w:val="00E11B20"/>
    <w:rsid w:val="00E17FA2"/>
    <w:rsid w:val="00E2056E"/>
    <w:rsid w:val="00E22330"/>
    <w:rsid w:val="00E27AC9"/>
    <w:rsid w:val="00E30B5A"/>
    <w:rsid w:val="00E3123D"/>
    <w:rsid w:val="00E31461"/>
    <w:rsid w:val="00E31D43"/>
    <w:rsid w:val="00E32608"/>
    <w:rsid w:val="00E34188"/>
    <w:rsid w:val="00E34B6E"/>
    <w:rsid w:val="00E35559"/>
    <w:rsid w:val="00E3723A"/>
    <w:rsid w:val="00E37860"/>
    <w:rsid w:val="00E414B2"/>
    <w:rsid w:val="00E433DE"/>
    <w:rsid w:val="00E446F1"/>
    <w:rsid w:val="00E46886"/>
    <w:rsid w:val="00E47AEF"/>
    <w:rsid w:val="00E53B75"/>
    <w:rsid w:val="00E54E3B"/>
    <w:rsid w:val="00E551D9"/>
    <w:rsid w:val="00E5689D"/>
    <w:rsid w:val="00E57565"/>
    <w:rsid w:val="00E63838"/>
    <w:rsid w:val="00E64434"/>
    <w:rsid w:val="00E67C51"/>
    <w:rsid w:val="00E72600"/>
    <w:rsid w:val="00E72641"/>
    <w:rsid w:val="00E72EFC"/>
    <w:rsid w:val="00E7311D"/>
    <w:rsid w:val="00E758EC"/>
    <w:rsid w:val="00E8234C"/>
    <w:rsid w:val="00E82391"/>
    <w:rsid w:val="00E83AA9"/>
    <w:rsid w:val="00E85928"/>
    <w:rsid w:val="00E87822"/>
    <w:rsid w:val="00E90395"/>
    <w:rsid w:val="00E90E49"/>
    <w:rsid w:val="00E917F9"/>
    <w:rsid w:val="00E9291C"/>
    <w:rsid w:val="00E93B60"/>
    <w:rsid w:val="00E93FFE"/>
    <w:rsid w:val="00E94F8A"/>
    <w:rsid w:val="00EA030C"/>
    <w:rsid w:val="00EA4B16"/>
    <w:rsid w:val="00EA7A41"/>
    <w:rsid w:val="00EB077B"/>
    <w:rsid w:val="00EB4EA2"/>
    <w:rsid w:val="00EC27C6"/>
    <w:rsid w:val="00EC4207"/>
    <w:rsid w:val="00EC5653"/>
    <w:rsid w:val="00EC71CE"/>
    <w:rsid w:val="00EC77A7"/>
    <w:rsid w:val="00ED1006"/>
    <w:rsid w:val="00EE2FCD"/>
    <w:rsid w:val="00EE59C8"/>
    <w:rsid w:val="00EF18FE"/>
    <w:rsid w:val="00EF5787"/>
    <w:rsid w:val="00EF60D0"/>
    <w:rsid w:val="00F0054A"/>
    <w:rsid w:val="00F0528D"/>
    <w:rsid w:val="00F06C67"/>
    <w:rsid w:val="00F06DFD"/>
    <w:rsid w:val="00F071D1"/>
    <w:rsid w:val="00F07533"/>
    <w:rsid w:val="00F10629"/>
    <w:rsid w:val="00F1451F"/>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CA0"/>
    <w:rsid w:val="00F9056A"/>
    <w:rsid w:val="00F90F8D"/>
    <w:rsid w:val="00F92782"/>
    <w:rsid w:val="00F93AA9"/>
    <w:rsid w:val="00F96541"/>
    <w:rsid w:val="00F96985"/>
    <w:rsid w:val="00F97838"/>
    <w:rsid w:val="00FA2BB3"/>
    <w:rsid w:val="00FB4C80"/>
    <w:rsid w:val="00FB6A6A"/>
    <w:rsid w:val="00FC089E"/>
    <w:rsid w:val="00FC7429"/>
    <w:rsid w:val="00FC796A"/>
    <w:rsid w:val="00FD07F6"/>
    <w:rsid w:val="00FD1EC8"/>
    <w:rsid w:val="00FD413C"/>
    <w:rsid w:val="00FD47ED"/>
    <w:rsid w:val="00FD74DB"/>
    <w:rsid w:val="00FD7660"/>
    <w:rsid w:val="00FE0655"/>
    <w:rsid w:val="00FE2365"/>
    <w:rsid w:val="00FE37D7"/>
    <w:rsid w:val="00FE4C7B"/>
    <w:rsid w:val="00FE7336"/>
    <w:rsid w:val="00FE787C"/>
    <w:rsid w:val="00FE7B8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AF471"/>
  <w15:docId w15:val="{3763209E-7EA7-4FFF-B432-7CE6E3135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6634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663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6634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6634D"/>
    <w:pPr>
      <w:numPr>
        <w:ilvl w:val="2"/>
      </w:numPr>
      <w:spacing w:before="120"/>
      <w:outlineLvl w:val="2"/>
    </w:pPr>
    <w:rPr>
      <w:sz w:val="24"/>
      <w:szCs w:val="28"/>
    </w:rPr>
  </w:style>
  <w:style w:type="paragraph" w:styleId="Heading4">
    <w:name w:val="heading 4"/>
    <w:basedOn w:val="Heading3"/>
    <w:next w:val="Normal"/>
    <w:qFormat/>
    <w:rsid w:val="0036634D"/>
    <w:pPr>
      <w:numPr>
        <w:ilvl w:val="3"/>
      </w:numPr>
      <w:outlineLvl w:val="3"/>
    </w:pPr>
    <w:rPr>
      <w:szCs w:val="24"/>
    </w:rPr>
  </w:style>
  <w:style w:type="paragraph" w:styleId="Heading5">
    <w:name w:val="heading 5"/>
    <w:basedOn w:val="Heading4"/>
    <w:next w:val="Normal"/>
    <w:qFormat/>
    <w:rsid w:val="0036634D"/>
    <w:pPr>
      <w:numPr>
        <w:ilvl w:val="4"/>
      </w:numPr>
      <w:outlineLvl w:val="4"/>
    </w:pPr>
    <w:rPr>
      <w:sz w:val="22"/>
      <w:szCs w:val="22"/>
    </w:rPr>
  </w:style>
  <w:style w:type="paragraph" w:styleId="Heading6">
    <w:name w:val="heading 6"/>
    <w:basedOn w:val="Normal"/>
    <w:next w:val="Normal"/>
    <w:qFormat/>
    <w:rsid w:val="0036634D"/>
    <w:pPr>
      <w:keepNext/>
      <w:keepLines/>
      <w:numPr>
        <w:ilvl w:val="5"/>
        <w:numId w:val="1"/>
      </w:numPr>
      <w:spacing w:before="120"/>
      <w:outlineLvl w:val="5"/>
    </w:pPr>
    <w:rPr>
      <w:rFonts w:cs="Arial"/>
    </w:rPr>
  </w:style>
  <w:style w:type="paragraph" w:styleId="Heading7">
    <w:name w:val="heading 7"/>
    <w:basedOn w:val="Normal"/>
    <w:next w:val="Normal"/>
    <w:qFormat/>
    <w:rsid w:val="0036634D"/>
    <w:pPr>
      <w:keepNext/>
      <w:keepLines/>
      <w:numPr>
        <w:ilvl w:val="6"/>
        <w:numId w:val="1"/>
      </w:numPr>
      <w:spacing w:before="120"/>
      <w:outlineLvl w:val="6"/>
    </w:pPr>
    <w:rPr>
      <w:rFonts w:cs="Arial"/>
    </w:rPr>
  </w:style>
  <w:style w:type="paragraph" w:styleId="Heading8">
    <w:name w:val="heading 8"/>
    <w:basedOn w:val="Heading7"/>
    <w:next w:val="Normal"/>
    <w:qFormat/>
    <w:rsid w:val="0036634D"/>
    <w:pPr>
      <w:numPr>
        <w:ilvl w:val="7"/>
      </w:numPr>
      <w:outlineLvl w:val="7"/>
    </w:pPr>
  </w:style>
  <w:style w:type="paragraph" w:styleId="Heading9">
    <w:name w:val="heading 9"/>
    <w:basedOn w:val="Heading8"/>
    <w:next w:val="Normal"/>
    <w:qFormat/>
    <w:rsid w:val="003663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634D"/>
    <w:pPr>
      <w:spacing w:before="180"/>
      <w:ind w:left="2693" w:hanging="2693"/>
    </w:pPr>
    <w:rPr>
      <w:b w:val="0"/>
      <w:bCs/>
    </w:rPr>
  </w:style>
  <w:style w:type="paragraph" w:styleId="TOC1">
    <w:name w:val="toc 1"/>
    <w:aliases w:val="Observation TOC2"/>
    <w:uiPriority w:val="39"/>
    <w:rsid w:val="0036634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6634D"/>
    <w:pPr>
      <w:keepNext/>
      <w:keepLines/>
      <w:spacing w:before="180"/>
      <w:jc w:val="center"/>
    </w:pPr>
  </w:style>
  <w:style w:type="paragraph" w:styleId="Caption">
    <w:name w:val="caption"/>
    <w:basedOn w:val="Normal"/>
    <w:next w:val="Normal"/>
    <w:qFormat/>
    <w:rsid w:val="0036634D"/>
    <w:pPr>
      <w:spacing w:after="240"/>
      <w:jc w:val="center"/>
    </w:pPr>
    <w:rPr>
      <w:b/>
      <w:bCs/>
    </w:rPr>
  </w:style>
  <w:style w:type="paragraph" w:styleId="TOC5">
    <w:name w:val="toc 5"/>
    <w:aliases w:val="Observation TOC"/>
    <w:basedOn w:val="TOC4"/>
    <w:semiHidden/>
    <w:rsid w:val="0036634D"/>
    <w:pPr>
      <w:tabs>
        <w:tab w:val="right" w:pos="1701"/>
      </w:tabs>
      <w:ind w:left="1701" w:hanging="1701"/>
    </w:pPr>
  </w:style>
  <w:style w:type="paragraph" w:styleId="TOC4">
    <w:name w:val="toc 4"/>
    <w:basedOn w:val="TOC3"/>
    <w:semiHidden/>
    <w:rsid w:val="0036634D"/>
    <w:pPr>
      <w:ind w:left="1418" w:hanging="1418"/>
    </w:pPr>
  </w:style>
  <w:style w:type="paragraph" w:styleId="TOC3">
    <w:name w:val="toc 3"/>
    <w:basedOn w:val="TOC2"/>
    <w:semiHidden/>
    <w:rsid w:val="0036634D"/>
    <w:pPr>
      <w:ind w:left="1134" w:hanging="1134"/>
    </w:pPr>
  </w:style>
  <w:style w:type="paragraph" w:styleId="TOC2">
    <w:name w:val="toc 2"/>
    <w:basedOn w:val="TOC1"/>
    <w:semiHidden/>
    <w:rsid w:val="0036634D"/>
    <w:pPr>
      <w:keepNext w:val="0"/>
      <w:spacing w:before="0"/>
      <w:ind w:left="851" w:hanging="851"/>
    </w:pPr>
    <w:rPr>
      <w:szCs w:val="20"/>
    </w:rPr>
  </w:style>
  <w:style w:type="paragraph" w:styleId="Index2">
    <w:name w:val="index 2"/>
    <w:basedOn w:val="Index1"/>
    <w:semiHidden/>
    <w:rsid w:val="0036634D"/>
    <w:pPr>
      <w:ind w:left="284"/>
    </w:pPr>
  </w:style>
  <w:style w:type="paragraph" w:styleId="Index1">
    <w:name w:val="index 1"/>
    <w:basedOn w:val="Normal"/>
    <w:semiHidden/>
    <w:rsid w:val="0036634D"/>
    <w:pPr>
      <w:keepLines/>
      <w:spacing w:after="0"/>
    </w:pPr>
  </w:style>
  <w:style w:type="paragraph" w:styleId="DocumentMap">
    <w:name w:val="Document Map"/>
    <w:basedOn w:val="Normal"/>
    <w:semiHidden/>
    <w:rsid w:val="0036634D"/>
    <w:pPr>
      <w:shd w:val="clear" w:color="auto" w:fill="000080"/>
    </w:pPr>
    <w:rPr>
      <w:rFonts w:ascii="Tahoma" w:hAnsi="Tahoma" w:cs="Tahoma"/>
    </w:rPr>
  </w:style>
  <w:style w:type="paragraph" w:styleId="ListNumber2">
    <w:name w:val="List Number 2"/>
    <w:basedOn w:val="ListNumber"/>
    <w:rsid w:val="0036634D"/>
    <w:pPr>
      <w:ind w:left="851"/>
    </w:pPr>
  </w:style>
  <w:style w:type="paragraph" w:styleId="ListNumber">
    <w:name w:val="List Number"/>
    <w:basedOn w:val="List"/>
    <w:rsid w:val="0036634D"/>
  </w:style>
  <w:style w:type="paragraph" w:styleId="List">
    <w:name w:val="List"/>
    <w:basedOn w:val="Normal"/>
    <w:rsid w:val="0036634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36634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6634D"/>
    <w:rPr>
      <w:b/>
      <w:bCs/>
      <w:position w:val="6"/>
      <w:sz w:val="16"/>
      <w:szCs w:val="16"/>
    </w:rPr>
  </w:style>
  <w:style w:type="paragraph" w:styleId="FootnoteText">
    <w:name w:val="footnote text"/>
    <w:basedOn w:val="Normal"/>
    <w:semiHidden/>
    <w:rsid w:val="0036634D"/>
    <w:pPr>
      <w:keepLines/>
      <w:spacing w:after="0"/>
      <w:ind w:left="454" w:hanging="454"/>
    </w:pPr>
    <w:rPr>
      <w:sz w:val="16"/>
      <w:szCs w:val="16"/>
    </w:rPr>
  </w:style>
  <w:style w:type="paragraph" w:customStyle="1" w:styleId="3GPPHeader">
    <w:name w:val="3GPP_Header"/>
    <w:basedOn w:val="Normal"/>
    <w:qFormat/>
    <w:rsid w:val="0036634D"/>
    <w:pPr>
      <w:tabs>
        <w:tab w:val="left" w:pos="1800"/>
        <w:tab w:val="right" w:pos="9360"/>
      </w:tabs>
      <w:spacing w:after="0"/>
    </w:pPr>
    <w:rPr>
      <w:rFonts w:ascii="Arial" w:hAnsi="Arial"/>
      <w:b/>
    </w:rPr>
  </w:style>
  <w:style w:type="paragraph" w:styleId="TOC9">
    <w:name w:val="toc 9"/>
    <w:basedOn w:val="TOC8"/>
    <w:semiHidden/>
    <w:rsid w:val="0036634D"/>
    <w:pPr>
      <w:ind w:left="1418" w:hanging="1418"/>
    </w:pPr>
  </w:style>
  <w:style w:type="paragraph" w:styleId="TOC6">
    <w:name w:val="toc 6"/>
    <w:basedOn w:val="TOC5"/>
    <w:next w:val="Normal"/>
    <w:semiHidden/>
    <w:rsid w:val="0036634D"/>
    <w:pPr>
      <w:ind w:left="1985" w:hanging="1985"/>
    </w:pPr>
  </w:style>
  <w:style w:type="paragraph" w:styleId="TOC7">
    <w:name w:val="toc 7"/>
    <w:basedOn w:val="TOC6"/>
    <w:next w:val="Normal"/>
    <w:semiHidden/>
    <w:rsid w:val="0036634D"/>
    <w:pPr>
      <w:ind w:left="2268" w:hanging="2268"/>
    </w:pPr>
  </w:style>
  <w:style w:type="paragraph" w:styleId="ListBullet2">
    <w:name w:val="List Bullet 2"/>
    <w:basedOn w:val="ListBullet"/>
    <w:rsid w:val="0036634D"/>
    <w:pPr>
      <w:numPr>
        <w:numId w:val="6"/>
      </w:numPr>
    </w:pPr>
  </w:style>
  <w:style w:type="paragraph" w:styleId="ListBullet">
    <w:name w:val="List Bullet"/>
    <w:basedOn w:val="BodyText"/>
    <w:rsid w:val="0036634D"/>
    <w:pPr>
      <w:numPr>
        <w:numId w:val="5"/>
      </w:numPr>
    </w:pPr>
  </w:style>
  <w:style w:type="paragraph" w:styleId="ListBullet3">
    <w:name w:val="List Bullet 3"/>
    <w:basedOn w:val="ListBullet2"/>
    <w:rsid w:val="0036634D"/>
    <w:pPr>
      <w:numPr>
        <w:numId w:val="7"/>
      </w:numPr>
    </w:pPr>
  </w:style>
  <w:style w:type="paragraph" w:customStyle="1" w:styleId="EQ">
    <w:name w:val="EQ"/>
    <w:basedOn w:val="Normal"/>
    <w:next w:val="Normal"/>
    <w:rsid w:val="0036634D"/>
    <w:pPr>
      <w:keepLines/>
      <w:tabs>
        <w:tab w:val="center" w:pos="4536"/>
        <w:tab w:val="right" w:pos="9072"/>
      </w:tabs>
      <w:spacing w:after="180"/>
      <w:jc w:val="left"/>
    </w:pPr>
    <w:rPr>
      <w:noProof/>
      <w:lang w:eastAsia="en-US"/>
    </w:rPr>
  </w:style>
  <w:style w:type="paragraph" w:styleId="List2">
    <w:name w:val="List 2"/>
    <w:basedOn w:val="List"/>
    <w:rsid w:val="0036634D"/>
    <w:pPr>
      <w:ind w:left="851"/>
    </w:pPr>
  </w:style>
  <w:style w:type="paragraph" w:styleId="List3">
    <w:name w:val="List 3"/>
    <w:basedOn w:val="List2"/>
    <w:rsid w:val="0036634D"/>
    <w:pPr>
      <w:ind w:left="1135"/>
    </w:pPr>
  </w:style>
  <w:style w:type="paragraph" w:styleId="List4">
    <w:name w:val="List 4"/>
    <w:basedOn w:val="List3"/>
    <w:rsid w:val="0036634D"/>
    <w:pPr>
      <w:ind w:left="1418"/>
    </w:pPr>
  </w:style>
  <w:style w:type="paragraph" w:styleId="List5">
    <w:name w:val="List 5"/>
    <w:basedOn w:val="List4"/>
    <w:rsid w:val="0036634D"/>
    <w:pPr>
      <w:ind w:left="1702"/>
    </w:pPr>
  </w:style>
  <w:style w:type="paragraph" w:customStyle="1" w:styleId="EditorsNote">
    <w:name w:val="Editor's Note"/>
    <w:basedOn w:val="Normal"/>
    <w:rsid w:val="0036634D"/>
    <w:pPr>
      <w:keepLines/>
      <w:spacing w:after="180"/>
      <w:ind w:left="1135" w:hanging="851"/>
      <w:jc w:val="left"/>
    </w:pPr>
    <w:rPr>
      <w:color w:val="FF0000"/>
      <w:lang w:eastAsia="en-US"/>
    </w:rPr>
  </w:style>
  <w:style w:type="paragraph" w:styleId="ListBullet4">
    <w:name w:val="List Bullet 4"/>
    <w:basedOn w:val="ListBullet3"/>
    <w:rsid w:val="0036634D"/>
    <w:pPr>
      <w:numPr>
        <w:numId w:val="8"/>
      </w:numPr>
    </w:pPr>
  </w:style>
  <w:style w:type="paragraph" w:styleId="ListBullet5">
    <w:name w:val="List Bullet 5"/>
    <w:basedOn w:val="ListBullet4"/>
    <w:rsid w:val="0036634D"/>
    <w:pPr>
      <w:numPr>
        <w:numId w:val="4"/>
      </w:numPr>
    </w:pPr>
  </w:style>
  <w:style w:type="paragraph" w:styleId="Footer">
    <w:name w:val="footer"/>
    <w:basedOn w:val="Header"/>
    <w:semiHidden/>
    <w:rsid w:val="0036634D"/>
    <w:pPr>
      <w:jc w:val="center"/>
    </w:pPr>
    <w:rPr>
      <w:i/>
      <w:iCs/>
    </w:rPr>
  </w:style>
  <w:style w:type="paragraph" w:customStyle="1" w:styleId="Reference">
    <w:name w:val="Reference"/>
    <w:basedOn w:val="Normal"/>
    <w:qFormat/>
    <w:rsid w:val="0036634D"/>
    <w:pPr>
      <w:numPr>
        <w:numId w:val="2"/>
      </w:numPr>
    </w:pPr>
  </w:style>
  <w:style w:type="paragraph" w:styleId="BalloonText">
    <w:name w:val="Balloon Text"/>
    <w:basedOn w:val="Normal"/>
    <w:semiHidden/>
    <w:rsid w:val="0036634D"/>
    <w:rPr>
      <w:rFonts w:ascii="Tahoma" w:hAnsi="Tahoma" w:cs="Tahoma"/>
      <w:sz w:val="16"/>
      <w:szCs w:val="16"/>
    </w:rPr>
  </w:style>
  <w:style w:type="character" w:styleId="PageNumber">
    <w:name w:val="page number"/>
    <w:basedOn w:val="DefaultParagraphFont"/>
    <w:semiHidden/>
    <w:rsid w:val="0036634D"/>
  </w:style>
  <w:style w:type="paragraph" w:styleId="BodyText">
    <w:name w:val="Body Text"/>
    <w:basedOn w:val="Normal"/>
    <w:link w:val="BodyTextChar"/>
    <w:qFormat/>
    <w:rsid w:val="0036634D"/>
  </w:style>
  <w:style w:type="character" w:styleId="Hyperlink">
    <w:name w:val="Hyperlink"/>
    <w:uiPriority w:val="99"/>
    <w:rsid w:val="0036634D"/>
    <w:rPr>
      <w:color w:val="0000FF"/>
      <w:u w:val="single"/>
      <w:lang w:val="en-GB"/>
    </w:rPr>
  </w:style>
  <w:style w:type="character" w:styleId="FollowedHyperlink">
    <w:name w:val="FollowedHyperlink"/>
    <w:semiHidden/>
    <w:rsid w:val="0036634D"/>
    <w:rPr>
      <w:color w:val="FF0000"/>
      <w:u w:val="single"/>
    </w:rPr>
  </w:style>
  <w:style w:type="character" w:styleId="CommentReference">
    <w:name w:val="annotation reference"/>
    <w:semiHidden/>
    <w:rsid w:val="0036634D"/>
    <w:rPr>
      <w:sz w:val="16"/>
      <w:szCs w:val="16"/>
    </w:rPr>
  </w:style>
  <w:style w:type="paragraph" w:styleId="CommentText">
    <w:name w:val="annotation text"/>
    <w:basedOn w:val="Normal"/>
    <w:semiHidden/>
    <w:rsid w:val="0036634D"/>
  </w:style>
  <w:style w:type="paragraph" w:styleId="CommentSubject">
    <w:name w:val="annotation subject"/>
    <w:basedOn w:val="CommentText"/>
    <w:next w:val="CommentText"/>
    <w:semiHidden/>
    <w:rsid w:val="0036634D"/>
    <w:rPr>
      <w:b/>
      <w:bCs/>
    </w:rPr>
  </w:style>
  <w:style w:type="character" w:customStyle="1" w:styleId="Heading1Char">
    <w:name w:val="Heading 1 Char"/>
    <w:link w:val="Heading1"/>
    <w:rsid w:val="0036634D"/>
    <w:rPr>
      <w:rFonts w:ascii="Arial" w:hAnsi="Arial" w:cs="Arial"/>
      <w:sz w:val="32"/>
      <w:szCs w:val="36"/>
      <w:lang w:val="en-GB" w:eastAsia="zh-CN"/>
    </w:rPr>
  </w:style>
  <w:style w:type="paragraph" w:customStyle="1" w:styleId="B1">
    <w:name w:val="B1"/>
    <w:basedOn w:val="List"/>
    <w:link w:val="B1Char1"/>
    <w:rsid w:val="0036634D"/>
    <w:pPr>
      <w:spacing w:after="180"/>
      <w:jc w:val="left"/>
    </w:pPr>
    <w:rPr>
      <w:lang w:eastAsia="en-US"/>
    </w:rPr>
  </w:style>
  <w:style w:type="paragraph" w:customStyle="1" w:styleId="B2">
    <w:name w:val="B2"/>
    <w:basedOn w:val="List2"/>
    <w:rsid w:val="0036634D"/>
    <w:pPr>
      <w:spacing w:after="180"/>
      <w:jc w:val="left"/>
    </w:pPr>
    <w:rPr>
      <w:lang w:eastAsia="en-US"/>
    </w:rPr>
  </w:style>
  <w:style w:type="paragraph" w:customStyle="1" w:styleId="B3">
    <w:name w:val="B3"/>
    <w:basedOn w:val="List3"/>
    <w:rsid w:val="0036634D"/>
    <w:pPr>
      <w:spacing w:after="180"/>
      <w:jc w:val="left"/>
    </w:pPr>
    <w:rPr>
      <w:lang w:eastAsia="en-US"/>
    </w:rPr>
  </w:style>
  <w:style w:type="paragraph" w:customStyle="1" w:styleId="B4">
    <w:name w:val="B4"/>
    <w:basedOn w:val="List4"/>
    <w:rsid w:val="0036634D"/>
    <w:pPr>
      <w:spacing w:after="180"/>
      <w:jc w:val="left"/>
    </w:pPr>
    <w:rPr>
      <w:lang w:eastAsia="en-US"/>
    </w:rPr>
  </w:style>
  <w:style w:type="paragraph" w:customStyle="1" w:styleId="Proposal">
    <w:name w:val="Proposal"/>
    <w:basedOn w:val="Normal"/>
    <w:qFormat/>
    <w:rsid w:val="0036634D"/>
    <w:pPr>
      <w:numPr>
        <w:numId w:val="3"/>
      </w:numPr>
      <w:tabs>
        <w:tab w:val="clear" w:pos="1304"/>
        <w:tab w:val="left" w:pos="1701"/>
      </w:tabs>
      <w:ind w:left="1701" w:hanging="1701"/>
    </w:pPr>
    <w:rPr>
      <w:b/>
      <w:bCs/>
    </w:rPr>
  </w:style>
  <w:style w:type="character" w:customStyle="1" w:styleId="BodyTextChar">
    <w:name w:val="Body Text Char"/>
    <w:link w:val="BodyText"/>
    <w:rsid w:val="0036634D"/>
    <w:rPr>
      <w:rFonts w:ascii="Times New Roman" w:hAnsi="Times New Roman"/>
      <w:lang w:val="en-GB" w:eastAsia="zh-CN"/>
    </w:rPr>
  </w:style>
  <w:style w:type="paragraph" w:customStyle="1" w:styleId="B5">
    <w:name w:val="B5"/>
    <w:basedOn w:val="List5"/>
    <w:rsid w:val="0036634D"/>
    <w:pPr>
      <w:spacing w:after="180"/>
      <w:jc w:val="left"/>
    </w:pPr>
    <w:rPr>
      <w:lang w:eastAsia="en-US"/>
    </w:rPr>
  </w:style>
  <w:style w:type="paragraph" w:customStyle="1" w:styleId="EX">
    <w:name w:val="EX"/>
    <w:basedOn w:val="Normal"/>
    <w:rsid w:val="0036634D"/>
    <w:pPr>
      <w:keepLines/>
      <w:spacing w:after="180"/>
      <w:ind w:left="1702" w:hanging="1418"/>
      <w:jc w:val="left"/>
    </w:pPr>
    <w:rPr>
      <w:lang w:eastAsia="en-US"/>
    </w:rPr>
  </w:style>
  <w:style w:type="paragraph" w:customStyle="1" w:styleId="EW">
    <w:name w:val="EW"/>
    <w:basedOn w:val="EX"/>
    <w:rsid w:val="0036634D"/>
    <w:pPr>
      <w:spacing w:after="0"/>
    </w:pPr>
  </w:style>
  <w:style w:type="paragraph" w:customStyle="1" w:styleId="TAL">
    <w:name w:val="TAL"/>
    <w:basedOn w:val="Normal"/>
    <w:rsid w:val="0036634D"/>
    <w:pPr>
      <w:keepNext/>
      <w:keepLines/>
      <w:spacing w:after="0"/>
      <w:jc w:val="left"/>
    </w:pPr>
    <w:rPr>
      <w:sz w:val="18"/>
      <w:lang w:eastAsia="en-US"/>
    </w:rPr>
  </w:style>
  <w:style w:type="paragraph" w:customStyle="1" w:styleId="TAC">
    <w:name w:val="TAC"/>
    <w:basedOn w:val="TAL"/>
    <w:rsid w:val="0036634D"/>
    <w:pPr>
      <w:jc w:val="center"/>
    </w:pPr>
  </w:style>
  <w:style w:type="paragraph" w:customStyle="1" w:styleId="TAH">
    <w:name w:val="TAH"/>
    <w:basedOn w:val="TAC"/>
    <w:rsid w:val="0036634D"/>
    <w:rPr>
      <w:b/>
    </w:rPr>
  </w:style>
  <w:style w:type="paragraph" w:customStyle="1" w:styleId="TAN">
    <w:name w:val="TAN"/>
    <w:basedOn w:val="TAL"/>
    <w:rsid w:val="0036634D"/>
    <w:pPr>
      <w:ind w:left="851" w:hanging="851"/>
    </w:pPr>
  </w:style>
  <w:style w:type="paragraph" w:customStyle="1" w:styleId="TAR">
    <w:name w:val="TAR"/>
    <w:basedOn w:val="TAL"/>
    <w:rsid w:val="0036634D"/>
    <w:pPr>
      <w:jc w:val="right"/>
    </w:pPr>
  </w:style>
  <w:style w:type="paragraph" w:customStyle="1" w:styleId="TH">
    <w:name w:val="TH"/>
    <w:basedOn w:val="Normal"/>
    <w:rsid w:val="0036634D"/>
    <w:pPr>
      <w:keepNext/>
      <w:keepLines/>
      <w:spacing w:before="60" w:after="180"/>
      <w:jc w:val="center"/>
    </w:pPr>
    <w:rPr>
      <w:b/>
      <w:lang w:eastAsia="en-US"/>
    </w:rPr>
  </w:style>
  <w:style w:type="paragraph" w:customStyle="1" w:styleId="TF">
    <w:name w:val="TF"/>
    <w:basedOn w:val="TH"/>
    <w:rsid w:val="0036634D"/>
    <w:pPr>
      <w:keepNext w:val="0"/>
      <w:spacing w:before="0" w:after="240"/>
    </w:pPr>
  </w:style>
  <w:style w:type="paragraph" w:customStyle="1" w:styleId="TT">
    <w:name w:val="TT"/>
    <w:basedOn w:val="Heading1"/>
    <w:next w:val="Normal"/>
    <w:rsid w:val="0036634D"/>
    <w:pPr>
      <w:numPr>
        <w:numId w:val="0"/>
      </w:numPr>
      <w:ind w:left="1134" w:hanging="1134"/>
      <w:outlineLvl w:val="9"/>
    </w:pPr>
    <w:rPr>
      <w:rFonts w:cs="Times New Roman"/>
      <w:szCs w:val="20"/>
      <w:lang w:eastAsia="en-US"/>
    </w:rPr>
  </w:style>
  <w:style w:type="paragraph" w:customStyle="1" w:styleId="ZA">
    <w:name w:val="ZA"/>
    <w:rsid w:val="003663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63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63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663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6634D"/>
  </w:style>
  <w:style w:type="paragraph" w:customStyle="1" w:styleId="ZH">
    <w:name w:val="ZH"/>
    <w:rsid w:val="003663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663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6634D"/>
    <w:pPr>
      <w:framePr w:hRule="auto" w:wrap="notBeside" w:y="852"/>
    </w:pPr>
    <w:rPr>
      <w:i w:val="0"/>
      <w:sz w:val="40"/>
    </w:rPr>
  </w:style>
  <w:style w:type="paragraph" w:customStyle="1" w:styleId="ZU">
    <w:name w:val="ZU"/>
    <w:rsid w:val="003663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634D"/>
    <w:pPr>
      <w:framePr w:wrap="notBeside" w:y="16161"/>
    </w:pPr>
  </w:style>
  <w:style w:type="paragraph" w:customStyle="1" w:styleId="FP">
    <w:name w:val="FP"/>
    <w:basedOn w:val="Normal"/>
    <w:rsid w:val="0036634D"/>
    <w:pPr>
      <w:spacing w:after="0"/>
      <w:jc w:val="left"/>
    </w:pPr>
    <w:rPr>
      <w:lang w:eastAsia="en-US"/>
    </w:rPr>
  </w:style>
  <w:style w:type="paragraph" w:customStyle="1" w:styleId="Observation">
    <w:name w:val="Observation"/>
    <w:basedOn w:val="Proposal"/>
    <w:qFormat/>
    <w:rsid w:val="0036634D"/>
    <w:pPr>
      <w:numPr>
        <w:numId w:val="13"/>
      </w:numPr>
      <w:ind w:left="1701" w:hanging="1701"/>
    </w:pPr>
  </w:style>
  <w:style w:type="paragraph" w:styleId="TableofFigures">
    <w:name w:val="table of figures"/>
    <w:basedOn w:val="Normal"/>
    <w:next w:val="Normal"/>
    <w:uiPriority w:val="99"/>
    <w:rsid w:val="0036634D"/>
    <w:pPr>
      <w:ind w:left="1418" w:hanging="1418"/>
      <w:jc w:val="left"/>
    </w:pPr>
    <w:rPr>
      <w:b/>
    </w:rPr>
  </w:style>
  <w:style w:type="paragraph" w:styleId="Index4">
    <w:name w:val="index 4"/>
    <w:basedOn w:val="Normal"/>
    <w:next w:val="Normal"/>
    <w:autoRedefine/>
    <w:rsid w:val="0036634D"/>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B1Char1">
    <w:name w:val="B1 Char1"/>
    <w:link w:val="B1"/>
    <w:rsid w:val="00E414B2"/>
    <w:rPr>
      <w:rFonts w:ascii="Times New Roman" w:hAnsi="Times New Roman"/>
      <w:lang w:val="en-GB"/>
    </w:rPr>
  </w:style>
  <w:style w:type="paragraph" w:customStyle="1" w:styleId="textintend1">
    <w:name w:val="text intend 1"/>
    <w:basedOn w:val="Normal"/>
    <w:rsid w:val="00E414B2"/>
    <w:pPr>
      <w:numPr>
        <w:numId w:val="18"/>
      </w:numPr>
    </w:pPr>
    <w:rPr>
      <w:rFonts w:eastAsia="MS Mincho"/>
      <w:sz w:val="24"/>
      <w:lang w:val="en-US" w:eastAsia="en-GB"/>
    </w:rPr>
  </w:style>
  <w:style w:type="character" w:styleId="PlaceholderText">
    <w:name w:val="Placeholder Text"/>
    <w:basedOn w:val="DefaultParagraphFont"/>
    <w:uiPriority w:val="99"/>
    <w:semiHidden/>
    <w:rsid w:val="00F96541"/>
    <w:rPr>
      <w:color w:val="808080"/>
    </w:rPr>
  </w:style>
  <w:style w:type="paragraph" w:customStyle="1" w:styleId="IvDbodytext">
    <w:name w:val="IvD bodytext"/>
    <w:basedOn w:val="BodyText"/>
    <w:link w:val="IvDbodytextChar"/>
    <w:qFormat/>
    <w:rsid w:val="001C235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C2355"/>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1C235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C2355"/>
    <w:rPr>
      <w:rFonts w:ascii="Arial" w:hAnsi="Arial"/>
      <w:i/>
      <w:color w:val="7F7F7F" w:themeColor="text1" w:themeTint="80"/>
      <w:spacing w:val="2"/>
      <w:sz w:val="18"/>
      <w:szCs w:val="18"/>
    </w:rPr>
  </w:style>
  <w:style w:type="paragraph" w:styleId="Revision">
    <w:name w:val="Revision"/>
    <w:hidden/>
    <w:uiPriority w:val="99"/>
    <w:semiHidden/>
    <w:rsid w:val="00E032A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5NUHHDQN7SK2-1-114476</_dlc_DocId>
    <_dlc_DocIdUrl xmlns="08b2df90-05d3-4030-90d4-c9feeb4a1cd9">
      <Url>https://ericoll.internal.ericsson.com/sites/STAR/_layouts/DocIdRedir.aspx?ID=5NUHHDQN7SK2-1-114476</Url>
      <Description>5NUHHDQN7SK2-1-114476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7E23A-1196-4821-862E-21D8FEB249D0}"/>
</file>

<file path=customXml/itemProps2.xml><?xml version="1.0" encoding="utf-8"?>
<ds:datastoreItem xmlns:ds="http://schemas.openxmlformats.org/officeDocument/2006/customXml" ds:itemID="{7133970A-8A77-4EAF-8810-D180AE08FF75}"/>
</file>

<file path=customXml/itemProps3.xml><?xml version="1.0" encoding="utf-8"?>
<ds:datastoreItem xmlns:ds="http://schemas.openxmlformats.org/officeDocument/2006/customXml" ds:itemID="{5CE3D8A7-A1A7-48A7-ABD8-953BBC29B5AB}"/>
</file>

<file path=customXml/itemProps4.xml><?xml version="1.0" encoding="utf-8"?>
<ds:datastoreItem xmlns:ds="http://schemas.openxmlformats.org/officeDocument/2006/customXml" ds:itemID="{8B3C1450-D861-45E9-9459-02326554E97F}"/>
</file>

<file path=customXml/itemProps5.xml><?xml version="1.0" encoding="utf-8"?>
<ds:datastoreItem xmlns:ds="http://schemas.openxmlformats.org/officeDocument/2006/customXml" ds:itemID="{3024DD89-7991-4423-8098-EF63B91186E1}"/>
</file>

<file path=customXml/itemProps6.xml><?xml version="1.0" encoding="utf-8"?>
<ds:datastoreItem xmlns:ds="http://schemas.openxmlformats.org/officeDocument/2006/customXml" ds:itemID="{0FE2F5BB-9539-4B04-8908-F60FE243DB8C}"/>
</file>

<file path=docProps/app.xml><?xml version="1.0" encoding="utf-8"?>
<Properties xmlns="http://schemas.openxmlformats.org/officeDocument/2006/extended-properties" xmlns:vt="http://schemas.openxmlformats.org/officeDocument/2006/docPropsVTypes">
  <Template>R1-xxxxxx Contribution Template</Template>
  <TotalTime>429</TotalTime>
  <Pages>3</Pages>
  <Words>955</Words>
  <Characters>5064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Niklas Wernersson</cp:lastModifiedBy>
  <cp:revision>45</cp:revision>
  <cp:lastPrinted>2008-01-31T15:09:00Z</cp:lastPrinted>
  <dcterms:created xsi:type="dcterms:W3CDTF">2017-03-21T14:40:00Z</dcterms:created>
  <dcterms:modified xsi:type="dcterms:W3CDTF">2017-03-24T14:32:00Z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_dlc_DocIdItemGuid">
    <vt:lpwstr>763d0c06-b718-423f-8d19-2ef3164fc1a7</vt:lpwstr>
  </property>
</Properties>
</file>