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7E3AC538" w:rsidR="00C07E87" w:rsidRPr="00BB71CB" w:rsidRDefault="00812072" w:rsidP="00C07E87">
      <w:pPr>
        <w:pStyle w:val="3GPPHeader"/>
        <w:spacing w:after="60"/>
        <w:rPr>
          <w:sz w:val="32"/>
          <w:szCs w:val="32"/>
        </w:rPr>
      </w:pPr>
      <w:r w:rsidRPr="00D22346">
        <w:t xml:space="preserve">3GPP TSG-RAN WG1 </w:t>
      </w:r>
      <w:r w:rsidR="001C2C68" w:rsidRPr="00D22346">
        <w:t>#88</w:t>
      </w:r>
      <w:r w:rsidR="00C07E87" w:rsidRPr="00D22346">
        <w:tab/>
      </w:r>
      <w:r w:rsidR="003B365D" w:rsidRPr="00D22346">
        <w:t xml:space="preserve"> </w:t>
      </w:r>
      <w:r w:rsidR="00240B51" w:rsidRPr="00BB71CB">
        <w:rPr>
          <w:sz w:val="32"/>
          <w:szCs w:val="32"/>
        </w:rPr>
        <w:t>R1-</w:t>
      </w:r>
      <w:r w:rsidR="00AE553B" w:rsidRPr="00BB71CB">
        <w:rPr>
          <w:sz w:val="32"/>
          <w:szCs w:val="32"/>
        </w:rPr>
        <w:t>1</w:t>
      </w:r>
      <w:r w:rsidR="00BB71CB" w:rsidRPr="00BB71CB">
        <w:rPr>
          <w:sz w:val="32"/>
          <w:szCs w:val="32"/>
        </w:rPr>
        <w:t>703283</w:t>
      </w:r>
    </w:p>
    <w:p w14:paraId="0AE713F2" w14:textId="77777777" w:rsidR="00CE227E" w:rsidRDefault="00CE227E" w:rsidP="00CE227E">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14:paraId="189863E3" w14:textId="77777777" w:rsidR="00C07E87" w:rsidRPr="00CE0424" w:rsidRDefault="00C07E87" w:rsidP="00C07E87">
      <w:pPr>
        <w:pStyle w:val="3GPPHeader"/>
      </w:pPr>
    </w:p>
    <w:p w14:paraId="293CC8DE" w14:textId="123BC2FE"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D22346">
        <w:rPr>
          <w:sz w:val="22"/>
          <w:szCs w:val="22"/>
        </w:rPr>
        <w:t>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9B43D27"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On ‘Group Common PDCCH’</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6AE3F4F5" w14:textId="7D6AE6BC" w:rsidR="00F4764A" w:rsidRPr="002B5943" w:rsidRDefault="00EA38BD" w:rsidP="00BE3726">
      <w:pPr>
        <w:pStyle w:val="BodyText"/>
        <w:rPr>
          <w:rFonts w:eastAsia="MS Mincho"/>
          <w:lang w:eastAsia="ja-JP"/>
        </w:rPr>
      </w:pPr>
      <w:r w:rsidRPr="002B5943">
        <w:rPr>
          <w:rFonts w:eastAsia="MS Mincho"/>
          <w:lang w:eastAsia="ja-JP"/>
        </w:rPr>
        <w:t>In previous meeting</w:t>
      </w:r>
      <w:r w:rsidR="00F11E74">
        <w:rPr>
          <w:rFonts w:eastAsia="MS Mincho"/>
          <w:lang w:eastAsia="ja-JP"/>
        </w:rPr>
        <w:t>s</w:t>
      </w:r>
      <w:bookmarkStart w:id="0" w:name="_GoBack"/>
      <w:bookmarkEnd w:id="0"/>
      <w:r w:rsidR="00FB705D" w:rsidRPr="002B5943">
        <w:rPr>
          <w:rFonts w:eastAsia="MS Mincho"/>
          <w:lang w:eastAsia="ja-JP"/>
        </w:rPr>
        <w:t xml:space="preserve">, the need </w:t>
      </w:r>
      <w:r w:rsidR="00FB705D">
        <w:rPr>
          <w:rFonts w:eastAsia="MS Mincho"/>
          <w:lang w:eastAsia="ja-JP"/>
        </w:rPr>
        <w:t xml:space="preserve">and </w:t>
      </w:r>
      <w:r w:rsidR="00924D26">
        <w:rPr>
          <w:rFonts w:eastAsia="MS Mincho"/>
          <w:lang w:eastAsia="ja-JP"/>
        </w:rPr>
        <w:t xml:space="preserve">corresponding </w:t>
      </w:r>
      <w:r w:rsidR="00FB705D">
        <w:rPr>
          <w:rFonts w:eastAsia="MS Mincho"/>
          <w:lang w:eastAsia="ja-JP"/>
        </w:rPr>
        <w:t>issues for</w:t>
      </w:r>
      <w:r w:rsidR="00FB705D" w:rsidRPr="002B5943">
        <w:rPr>
          <w:rFonts w:eastAsia="MS Mincho"/>
          <w:lang w:eastAsia="ja-JP"/>
        </w:rPr>
        <w:t xml:space="preserve"> </w:t>
      </w:r>
      <w:r w:rsidR="00924D26">
        <w:rPr>
          <w:rFonts w:eastAsia="MS Mincho"/>
          <w:lang w:eastAsia="ja-JP"/>
        </w:rPr>
        <w:t xml:space="preserve">supporting a </w:t>
      </w:r>
      <w:r w:rsidR="00FB705D">
        <w:rPr>
          <w:rFonts w:eastAsia="MS Mincho"/>
          <w:lang w:eastAsia="ja-JP"/>
        </w:rPr>
        <w:t xml:space="preserve">physical L1/L2 </w:t>
      </w:r>
      <w:r w:rsidR="00FB705D" w:rsidRPr="00FB705D">
        <w:rPr>
          <w:rFonts w:eastAsia="MS Mincho"/>
          <w:lang w:eastAsia="ja-JP"/>
        </w:rPr>
        <w:t>br</w:t>
      </w:r>
      <w:r w:rsidR="00FB705D" w:rsidRPr="002B5943">
        <w:rPr>
          <w:rFonts w:eastAsia="MS Mincho"/>
          <w:lang w:eastAsia="ja-JP"/>
        </w:rPr>
        <w:t>o</w:t>
      </w:r>
      <w:r w:rsidR="00FB705D">
        <w:rPr>
          <w:rFonts w:eastAsia="MS Mincho"/>
          <w:lang w:eastAsia="ja-JP"/>
        </w:rPr>
        <w:t>a</w:t>
      </w:r>
      <w:r w:rsidR="00FB705D" w:rsidRPr="002B5943">
        <w:rPr>
          <w:rFonts w:eastAsia="MS Mincho"/>
          <w:lang w:eastAsia="ja-JP"/>
        </w:rPr>
        <w:t>dcast channel were</w:t>
      </w:r>
      <w:r w:rsidR="00FB705D">
        <w:rPr>
          <w:rFonts w:eastAsia="MS Mincho"/>
          <w:lang w:eastAsia="ja-JP"/>
        </w:rPr>
        <w:t xml:space="preserve"> discussed</w:t>
      </w:r>
      <w:r w:rsidR="0029606A">
        <w:rPr>
          <w:rFonts w:eastAsia="MS Mincho"/>
          <w:lang w:eastAsia="ja-JP"/>
        </w:rPr>
        <w:t xml:space="preserve"> </w:t>
      </w:r>
      <w:r w:rsidR="008F7E54">
        <w:rPr>
          <w:rFonts w:eastAsia="MS Mincho"/>
          <w:lang w:eastAsia="ja-JP"/>
        </w:rPr>
        <w:fldChar w:fldCharType="begin"/>
      </w:r>
      <w:r w:rsidR="008F7E54">
        <w:rPr>
          <w:rFonts w:eastAsia="MS Mincho"/>
          <w:lang w:eastAsia="ja-JP"/>
        </w:rPr>
        <w:instrText xml:space="preserve"> REF _Ref473637085 \n \h </w:instrText>
      </w:r>
      <w:r w:rsidR="008F7E54">
        <w:rPr>
          <w:rFonts w:eastAsia="MS Mincho"/>
          <w:lang w:eastAsia="ja-JP"/>
        </w:rPr>
      </w:r>
      <w:r w:rsidR="008F7E54">
        <w:rPr>
          <w:rFonts w:eastAsia="MS Mincho"/>
          <w:lang w:eastAsia="ja-JP"/>
        </w:rPr>
        <w:fldChar w:fldCharType="separate"/>
      </w:r>
      <w:r w:rsidR="008F7E54">
        <w:rPr>
          <w:rFonts w:eastAsia="MS Mincho"/>
          <w:lang w:eastAsia="ja-JP"/>
        </w:rPr>
        <w:t>[1]</w:t>
      </w:r>
      <w:r w:rsidR="008F7E54">
        <w:rPr>
          <w:rFonts w:eastAsia="MS Mincho"/>
          <w:lang w:eastAsia="ja-JP"/>
        </w:rPr>
        <w:fldChar w:fldCharType="end"/>
      </w:r>
      <w:r w:rsidR="00FB705D">
        <w:rPr>
          <w:rFonts w:eastAsia="MS Mincho"/>
          <w:lang w:eastAsia="ja-JP"/>
        </w:rPr>
        <w:t>. I</w:t>
      </w:r>
      <w:r w:rsidR="00924D26">
        <w:rPr>
          <w:rFonts w:eastAsia="MS Mincho"/>
          <w:lang w:eastAsia="ja-JP"/>
        </w:rPr>
        <w:t>t was concluded</w:t>
      </w:r>
      <w:r w:rsidR="002B5943">
        <w:rPr>
          <w:rFonts w:eastAsia="MS Mincho"/>
          <w:lang w:eastAsia="ja-JP"/>
        </w:rPr>
        <w:t xml:space="preserve"> that</w:t>
      </w:r>
      <w:r w:rsidR="0029606A" w:rsidRPr="0029606A">
        <w:rPr>
          <w:rFonts w:eastAsia="MS Mincho"/>
          <w:lang w:eastAsia="ja-JP"/>
        </w:rPr>
        <w:t xml:space="preserve"> </w:t>
      </w:r>
      <w:r w:rsidR="0029606A">
        <w:rPr>
          <w:rFonts w:eastAsia="MS Mincho"/>
          <w:lang w:eastAsia="ja-JP"/>
        </w:rPr>
        <w:t>such a signal for</w:t>
      </w:r>
      <w:r w:rsidR="0029606A" w:rsidRPr="002B5943">
        <w:rPr>
          <w:rFonts w:eastAsia="MS Mincho"/>
          <w:lang w:eastAsia="ja-JP"/>
        </w:rPr>
        <w:t xml:space="preserve"> a group of UEs</w:t>
      </w:r>
      <w:r w:rsidR="0029606A">
        <w:rPr>
          <w:rFonts w:eastAsia="MS Mincho"/>
          <w:lang w:eastAsia="ja-JP"/>
        </w:rPr>
        <w:t xml:space="preserve"> (referred to as a ‘group common PDCCH’) </w:t>
      </w:r>
      <w:r w:rsidR="002B5943">
        <w:rPr>
          <w:rFonts w:eastAsia="MS Mincho"/>
          <w:lang w:eastAsia="ja-JP"/>
        </w:rPr>
        <w:t xml:space="preserve">can be supported in NR but reception of such signal is not necessary for detection of PDCCH for data reception. </w:t>
      </w:r>
      <w:r w:rsidR="00924D26">
        <w:rPr>
          <w:rFonts w:eastAsia="MS Mincho"/>
          <w:lang w:eastAsia="ja-JP"/>
        </w:rPr>
        <w:t>However, this signal if detected can provide additional information to the UE which can potentially improve the UE performance. Based on the discussion the following agreements related to the ‘group common PDCCH’ were made</w:t>
      </w:r>
      <w:r w:rsidR="0029606A">
        <w:rPr>
          <w:rFonts w:eastAsia="MS Mincho"/>
          <w:lang w:eastAsia="ja-JP"/>
        </w:rPr>
        <w:t xml:space="preserve"> </w:t>
      </w:r>
      <w:r w:rsidR="008F7E54">
        <w:rPr>
          <w:rFonts w:eastAsia="MS Mincho"/>
          <w:lang w:eastAsia="ja-JP"/>
        </w:rPr>
        <w:fldChar w:fldCharType="begin"/>
      </w:r>
      <w:r w:rsidR="008F7E54">
        <w:rPr>
          <w:rFonts w:eastAsia="MS Mincho"/>
          <w:lang w:eastAsia="ja-JP"/>
        </w:rPr>
        <w:instrText xml:space="preserve"> REF _Ref473637092 \n \h </w:instrText>
      </w:r>
      <w:r w:rsidR="008F7E54">
        <w:rPr>
          <w:rFonts w:eastAsia="MS Mincho"/>
          <w:lang w:eastAsia="ja-JP"/>
        </w:rPr>
      </w:r>
      <w:r w:rsidR="008F7E54">
        <w:rPr>
          <w:rFonts w:eastAsia="MS Mincho"/>
          <w:lang w:eastAsia="ja-JP"/>
        </w:rPr>
        <w:fldChar w:fldCharType="separate"/>
      </w:r>
      <w:r w:rsidR="008F7E54">
        <w:rPr>
          <w:rFonts w:eastAsia="MS Mincho"/>
          <w:lang w:eastAsia="ja-JP"/>
        </w:rPr>
        <w:t>[2]</w:t>
      </w:r>
      <w:r w:rsidR="008F7E54">
        <w:rPr>
          <w:rFonts w:eastAsia="MS Mincho"/>
          <w:lang w:eastAsia="ja-JP"/>
        </w:rPr>
        <w:fldChar w:fldCharType="end"/>
      </w:r>
      <w:r w:rsidR="00924D26">
        <w:rPr>
          <w:rFonts w:eastAsia="MS Mincho"/>
          <w:lang w:eastAsia="ja-JP"/>
        </w:rPr>
        <w:t>:</w:t>
      </w:r>
    </w:p>
    <w:p w14:paraId="1A7FC2ED" w14:textId="77777777" w:rsidR="00F4764A" w:rsidRPr="00BE3726" w:rsidRDefault="00F4764A" w:rsidP="004C691A">
      <w:pPr>
        <w:pStyle w:val="ListParagraph"/>
        <w:ind w:leftChars="12" w:left="864" w:hanging="840"/>
        <w:rPr>
          <w:rFonts w:eastAsia="MS Mincho"/>
          <w:lang w:val="en-US" w:eastAsia="ja-JP"/>
        </w:rPr>
      </w:pPr>
    </w:p>
    <w:p w14:paraId="659D0C41" w14:textId="4EB40300" w:rsidR="004C691A" w:rsidRPr="00BE3726" w:rsidRDefault="004C691A" w:rsidP="004C691A">
      <w:pPr>
        <w:pStyle w:val="ListParagraph"/>
        <w:ind w:leftChars="12" w:left="864" w:hanging="840"/>
        <w:rPr>
          <w:rFonts w:eastAsia="MS Mincho"/>
          <w:szCs w:val="20"/>
          <w:lang w:val="en-US" w:eastAsia="ja-JP"/>
        </w:rPr>
      </w:pPr>
      <w:r w:rsidRPr="00BE3726">
        <w:rPr>
          <w:rFonts w:eastAsia="MS Mincho" w:hint="eastAsia"/>
          <w:b/>
          <w:highlight w:val="green"/>
          <w:u w:val="single"/>
          <w:lang w:val="en-US" w:eastAsia="ja-JP"/>
        </w:rPr>
        <w:t>Agreements:</w:t>
      </w:r>
    </w:p>
    <w:p w14:paraId="54EC0D00" w14:textId="77777777" w:rsidR="004C691A" w:rsidRPr="00F24B1D" w:rsidRDefault="004C691A" w:rsidP="004C691A">
      <w:pPr>
        <w:numPr>
          <w:ilvl w:val="0"/>
          <w:numId w:val="42"/>
        </w:numPr>
        <w:overflowPunct/>
        <w:autoSpaceDE/>
        <w:autoSpaceDN/>
        <w:adjustRightInd/>
        <w:spacing w:after="0"/>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7EBBAEB5"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012A63AC"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23E7228"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Common does not necessarily imply common per cell.</w:t>
      </w:r>
    </w:p>
    <w:p w14:paraId="40AE5CF9"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t>Continue the discussion on the detailed content of the ‘group common PDCCH’ including usage for TDD and FDD</w:t>
      </w:r>
    </w:p>
    <w:p w14:paraId="7C3185BC" w14:textId="77777777" w:rsidR="004C691A" w:rsidRPr="00174E40" w:rsidRDefault="004C691A" w:rsidP="004C691A">
      <w:pPr>
        <w:numPr>
          <w:ilvl w:val="1"/>
          <w:numId w:val="42"/>
        </w:numPr>
        <w:overflowPunct/>
        <w:autoSpaceDE/>
        <w:autoSpaceDN/>
        <w:adjustRightInd/>
        <w:spacing w:after="0"/>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2E46FDE" w14:textId="77777777" w:rsidR="004C691A" w:rsidRPr="005F5317" w:rsidRDefault="004C691A" w:rsidP="004C691A">
      <w:pPr>
        <w:ind w:leftChars="7" w:left="14"/>
        <w:rPr>
          <w:rFonts w:eastAsia="MS Mincho"/>
          <w:b/>
          <w:i/>
          <w:iCs/>
          <w:color w:val="4472C4" w:themeColor="accent5"/>
          <w:lang w:eastAsia="ja-JP"/>
        </w:rPr>
      </w:pPr>
    </w:p>
    <w:p w14:paraId="60A440C8" w14:textId="77777777" w:rsidR="004C691A" w:rsidRPr="00D810AA" w:rsidRDefault="004C691A" w:rsidP="004C691A">
      <w:pPr>
        <w:rPr>
          <w:rFonts w:eastAsia="MS Mincho"/>
          <w:b/>
          <w:u w:val="single"/>
          <w:lang w:eastAsia="ja-JP"/>
        </w:rPr>
      </w:pPr>
      <w:r w:rsidRPr="00D810AA">
        <w:rPr>
          <w:rFonts w:eastAsia="MS Mincho" w:hint="eastAsia"/>
          <w:b/>
          <w:highlight w:val="green"/>
          <w:u w:val="single"/>
          <w:lang w:eastAsia="ja-JP"/>
        </w:rPr>
        <w:t>Agreements:</w:t>
      </w:r>
    </w:p>
    <w:p w14:paraId="18562E26" w14:textId="77777777" w:rsidR="004C691A" w:rsidRPr="00BE3726" w:rsidRDefault="004C691A" w:rsidP="004C691A">
      <w:pPr>
        <w:pStyle w:val="ListParagraph"/>
        <w:numPr>
          <w:ilvl w:val="0"/>
          <w:numId w:val="43"/>
        </w:numPr>
        <w:contextualSpacing/>
        <w:rPr>
          <w:rFonts w:eastAsia="MS Mincho"/>
          <w:szCs w:val="20"/>
          <w:lang w:val="en-US" w:eastAsia="ja-JP"/>
        </w:rPr>
      </w:pPr>
      <w:r w:rsidRPr="00BE3726">
        <w:rPr>
          <w:rFonts w:eastAsia="MS Mincho"/>
          <w:szCs w:val="20"/>
          <w:lang w:val="en-US" w:eastAsia="ja-JP"/>
        </w:rPr>
        <w:t>The staring position of downlink data in a slot can be explicitly and dynamically indicated to the UE.</w:t>
      </w:r>
    </w:p>
    <w:p w14:paraId="3D351416" w14:textId="77777777" w:rsidR="004C691A" w:rsidRPr="00BE3726" w:rsidRDefault="004C691A" w:rsidP="004C691A">
      <w:pPr>
        <w:pStyle w:val="ListParagraph"/>
        <w:numPr>
          <w:ilvl w:val="1"/>
          <w:numId w:val="43"/>
        </w:numPr>
        <w:contextualSpacing/>
        <w:rPr>
          <w:rFonts w:eastAsia="MS Mincho"/>
          <w:szCs w:val="20"/>
          <w:lang w:val="en-US" w:eastAsia="ja-JP"/>
        </w:rPr>
      </w:pPr>
      <w:r w:rsidRPr="00BE3726">
        <w:rPr>
          <w:rFonts w:eastAsia="MS Mincho"/>
          <w:szCs w:val="20"/>
          <w:lang w:val="en-US" w:eastAsia="ja-JP"/>
        </w:rPr>
        <w:t>FFS: signaled in the UE-specific DCI and/or a ‘group-common PDCCH’</w:t>
      </w:r>
    </w:p>
    <w:p w14:paraId="3850773F" w14:textId="77777777" w:rsidR="004C691A" w:rsidRPr="00BE3726" w:rsidRDefault="004C691A" w:rsidP="004C691A">
      <w:pPr>
        <w:pStyle w:val="ListParagraph"/>
        <w:numPr>
          <w:ilvl w:val="1"/>
          <w:numId w:val="43"/>
        </w:numPr>
        <w:contextualSpacing/>
        <w:rPr>
          <w:rFonts w:eastAsia="MS Mincho"/>
          <w:szCs w:val="20"/>
          <w:lang w:val="en-US" w:eastAsia="ja-JP"/>
        </w:rPr>
      </w:pPr>
      <w:r w:rsidRPr="00BE3726">
        <w:rPr>
          <w:rFonts w:eastAsia="MS Mincho"/>
          <w:szCs w:val="20"/>
          <w:lang w:val="en-US" w:eastAsia="ja-JP"/>
        </w:rPr>
        <w:t>FFS: how and with what granularity the unused control resource set(s) can be used for data</w:t>
      </w:r>
    </w:p>
    <w:p w14:paraId="01FB6AE8" w14:textId="77777777" w:rsidR="004C691A" w:rsidRPr="007F7517" w:rsidRDefault="004C691A" w:rsidP="004C691A">
      <w:pPr>
        <w:rPr>
          <w:rFonts w:eastAsia="MS Mincho"/>
          <w:b/>
          <w:u w:val="single"/>
          <w:lang w:eastAsia="ja-JP"/>
        </w:rPr>
      </w:pPr>
      <w:r w:rsidRPr="00633195">
        <w:rPr>
          <w:rFonts w:eastAsia="MS Mincho" w:hint="eastAsia"/>
          <w:b/>
          <w:highlight w:val="green"/>
          <w:u w:val="single"/>
          <w:lang w:eastAsia="ja-JP"/>
        </w:rPr>
        <w:t>Agreements:</w:t>
      </w:r>
    </w:p>
    <w:p w14:paraId="2540F08B"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The UE will have the possibility to determine whether some blind decodings can be skipped based on information on a ‘group common PDCCH’ (if present).</w:t>
      </w:r>
    </w:p>
    <w:p w14:paraId="4758C90F"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FFS: if the data starting position is signaled on the group common PDCCH, the UE may exploit this information to skip some blind decodings</w:t>
      </w:r>
    </w:p>
    <w:p w14:paraId="342616A6"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FFS: if the end of the control resource set is signaled on the ‘group common PDCCH’, the UE may exploit this information to skip some blind decodings</w:t>
      </w:r>
    </w:p>
    <w:p w14:paraId="343F9BBF"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FFS: how to handle the case when there is no ‘group common PDCCH’ in a slot</w:t>
      </w:r>
    </w:p>
    <w:p w14:paraId="0746C622"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When monitoring for a PDCCH, the UE should be able to process a detected PDCCH irrespective of whether the ‘group common PDCCH’ is received or not</w:t>
      </w:r>
    </w:p>
    <w:p w14:paraId="412BAE5D" w14:textId="77777777" w:rsidR="004C691A" w:rsidRPr="00476354" w:rsidRDefault="004C691A" w:rsidP="004C691A">
      <w:pPr>
        <w:pStyle w:val="BodyText"/>
        <w:spacing w:after="0"/>
        <w:rPr>
          <w:b/>
          <w:u w:val="single"/>
          <w:lang w:eastAsia="ja-JP"/>
        </w:rPr>
      </w:pPr>
      <w:r w:rsidRPr="00BA7C2D">
        <w:rPr>
          <w:rFonts w:eastAsia="MS Mincho" w:hint="eastAsia"/>
          <w:b/>
          <w:highlight w:val="green"/>
          <w:u w:val="single"/>
          <w:lang w:eastAsia="ja-JP"/>
        </w:rPr>
        <w:t>Agreements:</w:t>
      </w:r>
    </w:p>
    <w:p w14:paraId="43CCFF79"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476354">
        <w:rPr>
          <w:lang w:eastAsia="ja-JP"/>
        </w:rPr>
        <w:t>‘Slot format related information’</w:t>
      </w:r>
    </w:p>
    <w:p w14:paraId="2A71AF0F"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Information from which the UE can derive at least which symbols in a slot that are ‘DL’, ‘UL’ (for Rel-15), and ‘other’, respectively</w:t>
      </w:r>
    </w:p>
    <w:p w14:paraId="66558DB7"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FFS: if ‘other’ can be subdivided into ‘blank’, ‘sidelink’, etc</w:t>
      </w:r>
    </w:p>
    <w:p w14:paraId="7B2A9951"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BA7C2D">
        <w:rPr>
          <w:rFonts w:eastAsia="MS Mincho" w:hint="eastAsia"/>
          <w:lang w:eastAsia="ja-JP"/>
        </w:rPr>
        <w:lastRenderedPageBreak/>
        <w:t xml:space="preserve">FFS: </w:t>
      </w:r>
      <w:r w:rsidRPr="00476354">
        <w:rPr>
          <w:lang w:eastAsia="ja-JP"/>
        </w:rPr>
        <w:t>‘Control resource set duration’</w:t>
      </w:r>
    </w:p>
    <w:p w14:paraId="2C48B196"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7BD19663" w14:textId="77777777" w:rsidR="004C691A" w:rsidRPr="005F5317" w:rsidRDefault="004C691A" w:rsidP="004C691A">
      <w:pPr>
        <w:pStyle w:val="ListParagraph"/>
        <w:numPr>
          <w:ilvl w:val="0"/>
          <w:numId w:val="46"/>
        </w:numPr>
        <w:rPr>
          <w:rFonts w:eastAsia="MS Mincho"/>
          <w:b/>
          <w:i/>
          <w:iCs/>
          <w:color w:val="4472C4" w:themeColor="accent5"/>
          <w:lang w:eastAsia="ja-JP"/>
        </w:rPr>
      </w:pPr>
      <w:r w:rsidRPr="00BA7C2D">
        <w:rPr>
          <w:rFonts w:eastAsia="MS Mincho" w:hint="eastAsia"/>
          <w:szCs w:val="20"/>
          <w:lang w:val="en-US" w:eastAsia="ja-JP"/>
        </w:rPr>
        <w:t xml:space="preserve">FFS: </w:t>
      </w:r>
      <w:r w:rsidRPr="00476354">
        <w:rPr>
          <w:szCs w:val="20"/>
          <w:lang w:val="en-US" w:eastAsia="ja-JP"/>
        </w:rPr>
        <w:t>Can help the UE skip some of the semi-statically configured blind decodings. If not received, the UE performs all blind decodings</w:t>
      </w:r>
    </w:p>
    <w:p w14:paraId="2A23CB4B" w14:textId="6F01509C" w:rsidR="005261FA" w:rsidRDefault="005261FA" w:rsidP="005261FA"/>
    <w:p w14:paraId="207E7440" w14:textId="74B2DCC6" w:rsidR="00856434" w:rsidRDefault="00C43FE1" w:rsidP="005261FA">
      <w:r>
        <w:t>In this contribution we discuss our view on the structure of the ‘group common PDCCH</w:t>
      </w:r>
      <w:r w:rsidR="002A7A8C">
        <w:t xml:space="preserve">’ </w:t>
      </w:r>
      <w:r w:rsidR="00924D26">
        <w:t>as well as some remaining issues.</w:t>
      </w:r>
    </w:p>
    <w:p w14:paraId="623B3C48" w14:textId="36483FFA" w:rsidR="005261FA" w:rsidRPr="005261FA" w:rsidRDefault="005261FA" w:rsidP="005261FA">
      <w:pPr>
        <w:pStyle w:val="Heading1"/>
      </w:pPr>
      <w:r>
        <w:t>Discussion</w:t>
      </w:r>
    </w:p>
    <w:p w14:paraId="355A8CA2" w14:textId="15A2D926" w:rsidR="00BE3726" w:rsidRPr="00BE3726" w:rsidRDefault="00286C66" w:rsidP="00AE553B">
      <w:r w:rsidRPr="00BE3726">
        <w:t>In this section we discuss our view on the structure of the ‘group common PDCCH’ and its corresponding fields.</w:t>
      </w:r>
    </w:p>
    <w:p w14:paraId="1E77749C" w14:textId="26221D0C" w:rsidR="00283372" w:rsidRDefault="00283372" w:rsidP="00AE553B">
      <w:r w:rsidRPr="003B598D">
        <w:rPr>
          <w:b/>
          <w:u w:val="single"/>
        </w:rPr>
        <w:t>Structure of ‘group common PDCCH’</w:t>
      </w:r>
      <w:r>
        <w:t>:</w:t>
      </w:r>
    </w:p>
    <w:p w14:paraId="71F1B6C2" w14:textId="7EBEDA1B" w:rsidR="0009457B" w:rsidRDefault="004C6FA5" w:rsidP="003B598D">
      <w:r>
        <w:t>As agreed, t</w:t>
      </w:r>
      <w:r w:rsidR="0009457B" w:rsidRPr="004C6FA5">
        <w:t>h</w:t>
      </w:r>
      <w:r w:rsidR="00554E73" w:rsidRPr="004C6FA5">
        <w:t>is</w:t>
      </w:r>
      <w:r w:rsidR="0009457B" w:rsidRPr="004C6FA5">
        <w:t xml:space="preserve"> signal is an ad</w:t>
      </w:r>
      <w:r w:rsidR="00554E73" w:rsidRPr="004C6FA5">
        <w:t>d-on signal such that its</w:t>
      </w:r>
      <w:r w:rsidR="0009457B" w:rsidRPr="004C6FA5">
        <w:t xml:space="preserve"> corresponding functionalities enabled by detection of this signal shall not be crucial for proper operation, while can be </w:t>
      </w:r>
      <w:r w:rsidR="00554E73" w:rsidRPr="004C6FA5">
        <w:t xml:space="preserve">considered </w:t>
      </w:r>
      <w:r w:rsidR="0009457B" w:rsidRPr="004C6FA5">
        <w:t xml:space="preserve">beneficial for some deployment scenarios. Hence </w:t>
      </w:r>
      <w:r w:rsidR="00554E73" w:rsidRPr="004C6FA5">
        <w:t xml:space="preserve">with respect to design, </w:t>
      </w:r>
      <w:r>
        <w:t xml:space="preserve">a low complexity design should be targeted </w:t>
      </w:r>
      <w:r w:rsidR="00EF52D0">
        <w:t>since any</w:t>
      </w:r>
      <w:r w:rsidR="0009457B" w:rsidRPr="004C6FA5">
        <w:t xml:space="preserve"> additional complexity </w:t>
      </w:r>
      <w:r w:rsidR="00EF52D0">
        <w:t xml:space="preserve">should be well measured </w:t>
      </w:r>
      <w:r w:rsidR="00554E73" w:rsidRPr="004C6FA5">
        <w:t>based on the need for such signal</w:t>
      </w:r>
      <w:r w:rsidR="0009457B" w:rsidRPr="004C6FA5">
        <w:t>.</w:t>
      </w:r>
    </w:p>
    <w:p w14:paraId="255C2C64" w14:textId="697D646C" w:rsidR="004C6FA5" w:rsidRDefault="004C6FA5" w:rsidP="003B598D">
      <w:r w:rsidRPr="003B598D">
        <w:rPr>
          <w:b/>
        </w:rPr>
        <w:t>Observation</w:t>
      </w:r>
      <w:r>
        <w:t>:</w:t>
      </w:r>
    </w:p>
    <w:p w14:paraId="769DC4A6" w14:textId="129C8BD2" w:rsidR="004C6FA5" w:rsidRPr="003B598D" w:rsidRDefault="004C6FA5" w:rsidP="003B598D">
      <w:pPr>
        <w:pStyle w:val="ListParagraph"/>
        <w:numPr>
          <w:ilvl w:val="0"/>
          <w:numId w:val="49"/>
        </w:numPr>
        <w:rPr>
          <w:lang w:val="en-US"/>
        </w:rPr>
      </w:pPr>
      <w:r w:rsidRPr="003B598D">
        <w:rPr>
          <w:lang w:val="en-US"/>
        </w:rPr>
        <w:t xml:space="preserve">From our point of view it is preferable to reuse the design </w:t>
      </w:r>
      <w:r w:rsidR="00EF52D0" w:rsidRPr="003B598D">
        <w:rPr>
          <w:lang w:val="en-US"/>
        </w:rPr>
        <w:t>principles of already supported</w:t>
      </w:r>
      <w:r w:rsidRPr="003B598D">
        <w:rPr>
          <w:lang w:val="en-US"/>
        </w:rPr>
        <w:t xml:space="preserve"> signal</w:t>
      </w:r>
      <w:r w:rsidR="00EF52D0" w:rsidRPr="003B598D">
        <w:rPr>
          <w:lang w:val="en-US"/>
        </w:rPr>
        <w:t>s</w:t>
      </w:r>
      <w:r w:rsidRPr="003B598D">
        <w:rPr>
          <w:lang w:val="en-US"/>
        </w:rPr>
        <w:t xml:space="preserve"> as much as possible for generation of the ‘group common PDCCH’ and avoid introducing any new signal for this purpose.</w:t>
      </w:r>
    </w:p>
    <w:p w14:paraId="0A8285B0" w14:textId="77777777" w:rsidR="004C6FA5" w:rsidRPr="004C6FA5" w:rsidRDefault="004C6FA5" w:rsidP="003B598D"/>
    <w:p w14:paraId="0F1DEE37" w14:textId="6F587EBA" w:rsidR="004C6FA5" w:rsidRDefault="00EF52D0" w:rsidP="003B598D">
      <w:pPr>
        <w:pStyle w:val="BodyText"/>
      </w:pPr>
      <w:r>
        <w:t>Consequently, r</w:t>
      </w:r>
      <w:r w:rsidR="0009457B">
        <w:t>eusing the PDCCH design and making it transparent to all or a grou</w:t>
      </w:r>
      <w:r>
        <w:t xml:space="preserve">p of UEs by using a common RNTI </w:t>
      </w:r>
      <w:r w:rsidR="0009457B">
        <w:t>as in LAA, can</w:t>
      </w:r>
      <w:r w:rsidR="00554E73">
        <w:t xml:space="preserve"> be considered as a viable</w:t>
      </w:r>
      <w:r w:rsidR="0009457B">
        <w:t xml:space="preserve"> approach to</w:t>
      </w:r>
      <w:r w:rsidR="00554E73">
        <w:t xml:space="preserve"> minimize the complexity</w:t>
      </w:r>
      <w:r w:rsidR="0009457B">
        <w:t>.</w:t>
      </w:r>
      <w:r>
        <w:t xml:space="preserve"> Furthermore</w:t>
      </w:r>
      <w:r w:rsidR="00CC5215">
        <w:t>,</w:t>
      </w:r>
      <w:r>
        <w:t xml:space="preserve"> </w:t>
      </w:r>
      <w:r w:rsidR="00554E73">
        <w:t>Moreover</w:t>
      </w:r>
      <w:r w:rsidR="004C6FA5">
        <w:t>,</w:t>
      </w:r>
      <w:r w:rsidR="00554E73">
        <w:t xml:space="preserve"> this signal is expected to be a light-weight signal with reasonable payload size. Therefore</w:t>
      </w:r>
      <w:r w:rsidR="004C6FA5">
        <w:t>,</w:t>
      </w:r>
      <w:r w:rsidR="00554E73">
        <w:t xml:space="preserve"> in order</w:t>
      </w:r>
      <w:r w:rsidR="004C6FA5">
        <w:t xml:space="preserve"> reduce the UE complexity a fixed or a configured value for the corresponding number of blind decodes </w:t>
      </w:r>
      <w:r w:rsidR="00040DF6">
        <w:t xml:space="preserve">as well as the location of the PDCCH </w:t>
      </w:r>
      <w:r w:rsidR="004C6FA5">
        <w:t>can be provided to the UE.</w:t>
      </w:r>
      <w:r w:rsidR="003B598D" w:rsidRPr="003B598D">
        <w:t xml:space="preserve"> </w:t>
      </w:r>
      <w:r w:rsidR="003B598D">
        <w:t xml:space="preserve">As we discussed in </w:t>
      </w:r>
      <w:r w:rsidR="008F7E54">
        <w:fldChar w:fldCharType="begin"/>
      </w:r>
      <w:r w:rsidR="008F7E54">
        <w:instrText xml:space="preserve"> REF _Ref473637107 \n \h </w:instrText>
      </w:r>
      <w:r w:rsidR="008F7E54">
        <w:fldChar w:fldCharType="separate"/>
      </w:r>
      <w:r w:rsidR="008F7E54">
        <w:t>[3]</w:t>
      </w:r>
      <w:r w:rsidR="008F7E54">
        <w:fldChar w:fldCharType="end"/>
      </w:r>
      <w:r w:rsidR="003B598D">
        <w:t xml:space="preserve"> in order to benefit beamforming, </w:t>
      </w:r>
      <w:r w:rsidR="003B598D">
        <w:rPr>
          <w:lang w:eastAsia="ja-JP"/>
        </w:rPr>
        <w:t xml:space="preserve">the intended group of UEs should be addressed in the same beam. However, this group may be a quite small subset of the UEs being served. </w:t>
      </w:r>
    </w:p>
    <w:p w14:paraId="0640641F" w14:textId="6BD5D5A2" w:rsidR="00283372" w:rsidRPr="003B598D" w:rsidRDefault="00EF52D0" w:rsidP="00EF52D0">
      <w:pPr>
        <w:rPr>
          <w:b/>
        </w:rPr>
      </w:pPr>
      <w:r w:rsidRPr="003B598D">
        <w:rPr>
          <w:b/>
        </w:rPr>
        <w:t>Proposals:</w:t>
      </w:r>
    </w:p>
    <w:p w14:paraId="0571A7FC" w14:textId="2AAE8A93" w:rsidR="00EF52D0" w:rsidRPr="003B598D" w:rsidRDefault="00EF52D0" w:rsidP="003B598D">
      <w:pPr>
        <w:pStyle w:val="ListParagraph"/>
        <w:numPr>
          <w:ilvl w:val="0"/>
          <w:numId w:val="49"/>
        </w:numPr>
        <w:rPr>
          <w:lang w:val="en-US"/>
        </w:rPr>
      </w:pPr>
      <w:r w:rsidRPr="003B598D">
        <w:rPr>
          <w:lang w:val="en-US"/>
        </w:rPr>
        <w:t>’Group common PDCCH’ is based on the PDCCH design with a common RNTI for a group of UEs.</w:t>
      </w:r>
    </w:p>
    <w:p w14:paraId="050701BF" w14:textId="29862E1F" w:rsidR="00EF52D0" w:rsidRDefault="00EF52D0" w:rsidP="003B598D">
      <w:pPr>
        <w:pStyle w:val="ListParagraph"/>
        <w:numPr>
          <w:ilvl w:val="0"/>
          <w:numId w:val="49"/>
        </w:numPr>
        <w:rPr>
          <w:lang w:val="en-US"/>
        </w:rPr>
      </w:pPr>
      <w:r>
        <w:rPr>
          <w:lang w:val="en-US"/>
        </w:rPr>
        <w:t xml:space="preserve">UE assumes a fixed or a configured value for the number of blind decodes for detection of the </w:t>
      </w:r>
      <w:r w:rsidRPr="00A465B5">
        <w:rPr>
          <w:lang w:val="en-US"/>
        </w:rPr>
        <w:t>’</w:t>
      </w:r>
      <w:r>
        <w:rPr>
          <w:lang w:val="en-US"/>
        </w:rPr>
        <w:t>g</w:t>
      </w:r>
      <w:r w:rsidRPr="00A465B5">
        <w:rPr>
          <w:lang w:val="en-US"/>
        </w:rPr>
        <w:t>roup common PDCCH’</w:t>
      </w:r>
      <w:r>
        <w:rPr>
          <w:lang w:val="en-US"/>
        </w:rPr>
        <w:t xml:space="preserve"> when configured.</w:t>
      </w:r>
    </w:p>
    <w:p w14:paraId="1BA42538" w14:textId="1C4D37CF" w:rsidR="00040DF6" w:rsidRPr="003B598D" w:rsidRDefault="00040DF6" w:rsidP="003B598D">
      <w:pPr>
        <w:pStyle w:val="ListParagraph"/>
        <w:numPr>
          <w:ilvl w:val="0"/>
          <w:numId w:val="49"/>
        </w:numPr>
        <w:rPr>
          <w:lang w:val="en-US"/>
        </w:rPr>
      </w:pPr>
      <w:r>
        <w:rPr>
          <w:lang w:val="en-US"/>
        </w:rPr>
        <w:t>UE is informed of the location of the PDCCH candidate for the ‘group common PDCCH’.</w:t>
      </w:r>
    </w:p>
    <w:p w14:paraId="317462BE" w14:textId="77777777" w:rsidR="00EF52D0" w:rsidRDefault="00EF52D0" w:rsidP="00EF52D0"/>
    <w:p w14:paraId="3F1739EC" w14:textId="3C4E5D01" w:rsidR="00283372" w:rsidRPr="003B598D" w:rsidRDefault="00EF52D0" w:rsidP="00A0362C">
      <w:pPr>
        <w:rPr>
          <w:b/>
          <w:u w:val="single"/>
        </w:rPr>
      </w:pPr>
      <w:r w:rsidRPr="003B598D">
        <w:rPr>
          <w:b/>
          <w:u w:val="single"/>
        </w:rPr>
        <w:t>Fields in ‘group common PDCCH’:</w:t>
      </w:r>
    </w:p>
    <w:p w14:paraId="64CB85E3" w14:textId="652E81C1" w:rsidR="008149C9" w:rsidRDefault="000F79D3" w:rsidP="000F79D3">
      <w:r>
        <w:t xml:space="preserve">Different functionalities such as UE’s processing time improvement, cross-link interference mitigations, reduction of number of blind decodes and UE’s power saving </w:t>
      </w:r>
      <w:r w:rsidR="0029606A">
        <w:t xml:space="preserve">are claimed to be beneficial to be enabled by means of a ‘group common PDCCH’ </w:t>
      </w:r>
      <w:r w:rsidR="008F7E54">
        <w:fldChar w:fldCharType="begin"/>
      </w:r>
      <w:r w:rsidR="008F7E54">
        <w:instrText xml:space="preserve"> REF _Ref473637085 \n \h </w:instrText>
      </w:r>
      <w:r w:rsidR="008F7E54">
        <w:fldChar w:fldCharType="separate"/>
      </w:r>
      <w:r w:rsidR="008F7E54">
        <w:t>[1]</w:t>
      </w:r>
      <w:r w:rsidR="008F7E54">
        <w:fldChar w:fldCharType="end"/>
      </w:r>
      <w:r w:rsidR="0029606A">
        <w:t xml:space="preserve"> which </w:t>
      </w:r>
      <w:r>
        <w:t xml:space="preserve">were </w:t>
      </w:r>
      <w:r w:rsidR="0029606A">
        <w:t xml:space="preserve">as well </w:t>
      </w:r>
      <w:r>
        <w:t>intensively discussed in the previous meeting</w:t>
      </w:r>
      <w:r w:rsidR="008149C9">
        <w:t>. D</w:t>
      </w:r>
      <w:r>
        <w:t>epending on the functionality</w:t>
      </w:r>
      <w:r w:rsidR="008149C9">
        <w:t>,</w:t>
      </w:r>
      <w:r>
        <w:t xml:space="preserve"> diverse views were expressed </w:t>
      </w:r>
      <w:r w:rsidR="008149C9">
        <w:t xml:space="preserve">on </w:t>
      </w:r>
      <w:r>
        <w:t>whether</w:t>
      </w:r>
      <w:r w:rsidR="008149C9">
        <w:t xml:space="preserve"> the ‘group common PDCCH’ should be considered as enablers if such functionalities.</w:t>
      </w:r>
    </w:p>
    <w:p w14:paraId="522D76CE" w14:textId="09922A73" w:rsidR="00283372" w:rsidRDefault="008149C9" w:rsidP="000F79D3">
      <w:r>
        <w:t>It was agreed to support a field in the ‘group common PDCCH’ to provide the ‘</w:t>
      </w:r>
      <w:r w:rsidRPr="003B598D">
        <w:rPr>
          <w:i/>
        </w:rPr>
        <w:t>slot format related information’</w:t>
      </w:r>
      <w:r>
        <w:t xml:space="preserve"> such as being intended for UL or DL transmissions. It is expected that this field is beneficial for faster UE processing as well as reduction of cross-link interference when present.</w:t>
      </w:r>
    </w:p>
    <w:p w14:paraId="7BEF5508" w14:textId="01B87FF0" w:rsidR="008149C9" w:rsidRDefault="00F618C5" w:rsidP="000F79D3">
      <w:r>
        <w:t>However, no consensus was</w:t>
      </w:r>
      <w:r w:rsidR="008149C9">
        <w:t xml:space="preserve"> reached on introducing other fields such as </w:t>
      </w:r>
      <w:r w:rsidR="008149C9" w:rsidRPr="00BE3726">
        <w:rPr>
          <w:i/>
        </w:rPr>
        <w:t>‘data</w:t>
      </w:r>
      <w:r w:rsidRPr="00BE3726">
        <w:rPr>
          <w:i/>
        </w:rPr>
        <w:t xml:space="preserve"> starting position</w:t>
      </w:r>
      <w:r w:rsidR="008149C9" w:rsidRPr="00BE3726">
        <w:rPr>
          <w:i/>
        </w:rPr>
        <w:t>’</w:t>
      </w:r>
      <w:r w:rsidR="008149C9">
        <w:t xml:space="preserve">, </w:t>
      </w:r>
      <w:r w:rsidR="008149C9" w:rsidRPr="00BE3726">
        <w:rPr>
          <w:i/>
        </w:rPr>
        <w:t>‘</w:t>
      </w:r>
      <w:r w:rsidRPr="00BE3726">
        <w:rPr>
          <w:i/>
        </w:rPr>
        <w:t>control resource set duration’</w:t>
      </w:r>
      <w:r w:rsidR="008149C9">
        <w:t xml:space="preserve"> </w:t>
      </w:r>
      <w:r>
        <w:t>and further discussions seemed to be necessary.</w:t>
      </w:r>
    </w:p>
    <w:p w14:paraId="01117F7E" w14:textId="6C936687" w:rsidR="00BE3726" w:rsidRDefault="00F618C5" w:rsidP="000F79D3">
      <w:pPr>
        <w:rPr>
          <w:b/>
        </w:rPr>
      </w:pPr>
      <w:r>
        <w:t xml:space="preserve">In our view </w:t>
      </w:r>
      <w:r w:rsidR="00D43F10">
        <w:t>the information on the data starting position should be conveyed in the UE-specific DCI</w:t>
      </w:r>
      <w:r w:rsidR="0080344F">
        <w:t xml:space="preserve"> since the UE should be able to receive data</w:t>
      </w:r>
      <w:r w:rsidR="00D43F10">
        <w:t xml:space="preserve"> irrespective </w:t>
      </w:r>
      <w:r w:rsidR="0080344F">
        <w:t>of the presence or</w:t>
      </w:r>
      <w:r w:rsidR="00D43F10">
        <w:t xml:space="preserve"> detection of the ‘group common PDDCH’</w:t>
      </w:r>
      <w:r w:rsidR="00286C66">
        <w:t xml:space="preserve"> </w:t>
      </w:r>
      <w:r w:rsidR="008F7E54">
        <w:fldChar w:fldCharType="begin"/>
      </w:r>
      <w:r w:rsidR="008F7E54">
        <w:instrText xml:space="preserve"> REF _Ref473637123 \n \h </w:instrText>
      </w:r>
      <w:r w:rsidR="008F7E54">
        <w:fldChar w:fldCharType="separate"/>
      </w:r>
      <w:r w:rsidR="008F7E54">
        <w:t>[4]</w:t>
      </w:r>
      <w:r w:rsidR="008F7E54">
        <w:fldChar w:fldCharType="end"/>
      </w:r>
      <w:r w:rsidR="0080344F">
        <w:t>.</w:t>
      </w:r>
    </w:p>
    <w:p w14:paraId="7107D95F" w14:textId="43DC9A1F" w:rsidR="0080344F" w:rsidRDefault="0080344F" w:rsidP="000F79D3">
      <w:pPr>
        <w:rPr>
          <w:b/>
        </w:rPr>
      </w:pPr>
      <w:r w:rsidRPr="003B598D">
        <w:rPr>
          <w:b/>
        </w:rPr>
        <w:t>Proposal:</w:t>
      </w:r>
    </w:p>
    <w:p w14:paraId="2F0024FF" w14:textId="0325A892" w:rsidR="0080344F" w:rsidRPr="003B598D" w:rsidRDefault="00B57F52" w:rsidP="003B598D">
      <w:pPr>
        <w:pStyle w:val="ListParagraph"/>
        <w:numPr>
          <w:ilvl w:val="0"/>
          <w:numId w:val="50"/>
        </w:numPr>
        <w:contextualSpacing/>
        <w:rPr>
          <w:rFonts w:eastAsia="MS Mincho"/>
          <w:szCs w:val="20"/>
          <w:lang w:val="en-US" w:eastAsia="ja-JP"/>
        </w:rPr>
      </w:pPr>
      <w:r w:rsidRPr="00A465B5">
        <w:rPr>
          <w:rFonts w:eastAsia="MS Mincho"/>
          <w:szCs w:val="20"/>
          <w:lang w:val="en-US" w:eastAsia="ja-JP"/>
        </w:rPr>
        <w:lastRenderedPageBreak/>
        <w:t>The staring position of downlink data in a slot can be explicitly and dynamically indicated to the UE</w:t>
      </w:r>
      <w:r w:rsidRPr="003B598D">
        <w:rPr>
          <w:rFonts w:eastAsia="MS Mincho"/>
          <w:szCs w:val="20"/>
          <w:lang w:val="en-US" w:eastAsia="ja-JP"/>
        </w:rPr>
        <w:t xml:space="preserve"> in the UE-specific DCI.</w:t>
      </w:r>
    </w:p>
    <w:p w14:paraId="0D385365" w14:textId="77777777" w:rsidR="0029606A" w:rsidRPr="00D64982" w:rsidRDefault="0029606A" w:rsidP="00BE3726">
      <w:pPr>
        <w:jc w:val="left"/>
        <w:rPr>
          <w:rFonts w:ascii="Times" w:eastAsia="MS Mincho" w:hAnsi="Times"/>
          <w:i/>
          <w:iCs/>
          <w:lang w:eastAsia="ja-JP"/>
        </w:rPr>
      </w:pPr>
    </w:p>
    <w:p w14:paraId="1834C7BF" w14:textId="6D58097D" w:rsidR="0029606A" w:rsidRDefault="00CB4C7D" w:rsidP="00B66D9B">
      <w:pPr>
        <w:pStyle w:val="BodyText"/>
      </w:pPr>
      <w:r>
        <w:rPr>
          <w:rFonts w:eastAsia="MS Mincho"/>
          <w:lang w:eastAsia="ja-JP"/>
        </w:rPr>
        <w:t>Moreover, t</w:t>
      </w:r>
      <w:r w:rsidR="001723CF">
        <w:rPr>
          <w:rFonts w:eastAsia="MS Mincho"/>
          <w:lang w:eastAsia="ja-JP"/>
        </w:rPr>
        <w:t>he main claimed benefit</w:t>
      </w:r>
      <w:r w:rsidR="00B207CF">
        <w:rPr>
          <w:rFonts w:eastAsia="MS Mincho"/>
          <w:lang w:eastAsia="ja-JP"/>
        </w:rPr>
        <w:t xml:space="preserve"> for introducing a </w:t>
      </w:r>
      <w:r w:rsidR="001723CF">
        <w:rPr>
          <w:rFonts w:eastAsia="MS Mincho"/>
          <w:lang w:eastAsia="ja-JP"/>
        </w:rPr>
        <w:t xml:space="preserve">field indicating the </w:t>
      </w:r>
      <w:r w:rsidR="001723CF" w:rsidRPr="00BE3726">
        <w:rPr>
          <w:rFonts w:eastAsia="MS Mincho"/>
          <w:i/>
          <w:lang w:eastAsia="ja-JP"/>
        </w:rPr>
        <w:t>‘control resource set duration’</w:t>
      </w:r>
      <w:r w:rsidR="001723CF">
        <w:rPr>
          <w:rFonts w:eastAsia="MS Mincho"/>
          <w:lang w:eastAsia="ja-JP"/>
        </w:rPr>
        <w:t xml:space="preserve"> seems to be assist the UE to possibly reduce the number of blind decodes in order </w:t>
      </w:r>
      <w:r w:rsidR="001723CF" w:rsidRPr="00BE3726">
        <w:rPr>
          <w:rFonts w:eastAsia="MS Mincho"/>
          <w:lang w:eastAsia="ja-JP"/>
        </w:rPr>
        <w:t xml:space="preserve">to save power. From our point of view, </w:t>
      </w:r>
      <w:r w:rsidR="001723CF" w:rsidRPr="00BE3726">
        <w:rPr>
          <w:rFonts w:eastAsia="MS Mincho"/>
          <w:iCs/>
          <w:lang w:eastAsia="ja-JP"/>
        </w:rPr>
        <w:t>the UE power saving should be non-trivial before adding this overhead to the group signaling</w:t>
      </w:r>
      <w:r w:rsidR="001723CF" w:rsidRPr="00BE3726">
        <w:rPr>
          <w:rFonts w:eastAsia="MS Mincho"/>
          <w:lang w:eastAsia="ja-JP"/>
        </w:rPr>
        <w:t>.</w:t>
      </w:r>
      <w:r w:rsidR="00AB0D49" w:rsidRPr="00BE3726">
        <w:t xml:space="preserve"> And whether this requires less power depends on the design of the blind decode candidates within the control resource set and how/whether the number of blind decodes depends on the control </w:t>
      </w:r>
      <w:r w:rsidR="00AB0D49">
        <w:t>resource set size</w:t>
      </w:r>
      <w:r w:rsidR="00286C66">
        <w:t xml:space="preserve"> </w:t>
      </w:r>
      <w:r w:rsidR="008F7E54">
        <w:fldChar w:fldCharType="begin"/>
      </w:r>
      <w:r w:rsidR="008F7E54">
        <w:instrText xml:space="preserve"> REF _Ref473637136 \n \h </w:instrText>
      </w:r>
      <w:r w:rsidR="008F7E54">
        <w:fldChar w:fldCharType="separate"/>
      </w:r>
      <w:r w:rsidR="008F7E54">
        <w:t>[5]</w:t>
      </w:r>
      <w:r w:rsidR="008F7E54">
        <w:fldChar w:fldCharType="end"/>
      </w:r>
      <w:r w:rsidR="008F7E54">
        <w:fldChar w:fldCharType="begin"/>
      </w:r>
      <w:r w:rsidR="008F7E54">
        <w:instrText xml:space="preserve"> REF _Ref473637139 \n \h </w:instrText>
      </w:r>
      <w:r w:rsidR="008F7E54">
        <w:fldChar w:fldCharType="separate"/>
      </w:r>
      <w:r w:rsidR="008F7E54">
        <w:t>[6]</w:t>
      </w:r>
      <w:r w:rsidR="008F7E54">
        <w:fldChar w:fldCharType="end"/>
      </w:r>
      <w:r w:rsidR="00AB0D49">
        <w:t>.</w:t>
      </w:r>
    </w:p>
    <w:p w14:paraId="679EDEF6" w14:textId="72ABC532" w:rsidR="00B66D9B" w:rsidRPr="00877096" w:rsidRDefault="001723CF" w:rsidP="00B66D9B">
      <w:pPr>
        <w:pStyle w:val="BodyText"/>
      </w:pPr>
      <w:r>
        <w:t>In general, i</w:t>
      </w:r>
      <w:r w:rsidR="00B66D9B" w:rsidRPr="00877096">
        <w:t xml:space="preserve">mproving UE’s power saving is another </w:t>
      </w:r>
      <w:r w:rsidR="00B66D9B">
        <w:t xml:space="preserve">cited </w:t>
      </w:r>
      <w:r w:rsidR="00B66D9B" w:rsidRPr="00877096">
        <w:t>objective for supporting common control signaling</w:t>
      </w:r>
      <w:r w:rsidR="00B66D9B">
        <w:t xml:space="preserve"> </w:t>
      </w:r>
      <w:r w:rsidR="008F7E54">
        <w:fldChar w:fldCharType="begin"/>
      </w:r>
      <w:r w:rsidR="008F7E54">
        <w:instrText xml:space="preserve"> REF _Ref473637085 \n \h </w:instrText>
      </w:r>
      <w:r w:rsidR="008F7E54">
        <w:fldChar w:fldCharType="separate"/>
      </w:r>
      <w:r w:rsidR="008F7E54">
        <w:t>[1]</w:t>
      </w:r>
      <w:r w:rsidR="008F7E54">
        <w:fldChar w:fldCharType="end"/>
      </w:r>
      <w:r w:rsidR="008F7E54">
        <w:t>.</w:t>
      </w:r>
      <w:r w:rsidR="00B66D9B" w:rsidRPr="00877096">
        <w:t xml:space="preserve"> It is discussed that providing information such that a UE can determine if </w:t>
      </w:r>
      <w:r w:rsidR="00B66D9B">
        <w:t xml:space="preserve">it </w:t>
      </w:r>
      <w:r w:rsidR="00B66D9B" w:rsidRPr="00877096">
        <w:t>will not be scheduled for coming slot(s) improves UE power saving as it is done in LAA with help of common PDCCH. However, it is important to</w:t>
      </w:r>
      <w:r w:rsidR="00AB0D49">
        <w:t xml:space="preserve"> understand </w:t>
      </w:r>
      <w:r w:rsidR="00B66D9B" w:rsidRPr="00877096">
        <w:t>if the intention is to enable non-scheduled UEs to save power</w:t>
      </w:r>
      <w:r w:rsidR="00AB0D49">
        <w:t xml:space="preserve">. In this case, possibly </w:t>
      </w:r>
      <w:r w:rsidR="00B66D9B" w:rsidRPr="00877096">
        <w:t xml:space="preserve">the combined information in both </w:t>
      </w:r>
      <w:r w:rsidR="00AB0D49">
        <w:t>‘group common PDCCH’</w:t>
      </w:r>
      <w:r w:rsidR="00B66D9B" w:rsidRPr="00877096">
        <w:t xml:space="preserve"> and UE-specific PDDCH are needed</w:t>
      </w:r>
      <w:r w:rsidR="00286C66">
        <w:t>. Or alternatively the ‘group common PDCCH’ targets only the non-scheduled UEs.</w:t>
      </w:r>
    </w:p>
    <w:p w14:paraId="6B32B0C9" w14:textId="20ACF906" w:rsidR="00CB4C7D" w:rsidRDefault="00B66D9B" w:rsidP="00B66D9B">
      <w:pPr>
        <w:pStyle w:val="BodyText"/>
      </w:pPr>
      <w:r w:rsidRPr="00877096">
        <w:t xml:space="preserve">Other </w:t>
      </w:r>
      <w:r>
        <w:t>claimed benefits</w:t>
      </w:r>
      <w:r w:rsidRPr="00877096">
        <w:t xml:space="preserve"> </w:t>
      </w:r>
      <w:r>
        <w:t>include</w:t>
      </w:r>
      <w:r w:rsidRPr="00877096">
        <w:t xml:space="preserve"> dynamically signaling the presence of resources for reference signals or SR transmission </w:t>
      </w:r>
      <w:r>
        <w:t xml:space="preserve">which </w:t>
      </w:r>
      <w:r w:rsidRPr="00877096">
        <w:t xml:space="preserve">can be used </w:t>
      </w:r>
      <w:r>
        <w:t>by</w:t>
      </w:r>
      <w:r w:rsidRPr="00877096">
        <w:t xml:space="preserve"> non-scheduled users for different p</w:t>
      </w:r>
      <w:r>
        <w:t>ur</w:t>
      </w:r>
      <w:r w:rsidRPr="00877096">
        <w:t>poses such as interference measurements</w:t>
      </w:r>
      <w:r w:rsidR="00D42E30">
        <w:t xml:space="preserve"> </w:t>
      </w:r>
      <w:r w:rsidR="008F7E54">
        <w:fldChar w:fldCharType="begin"/>
      </w:r>
      <w:r w:rsidR="008F7E54">
        <w:instrText xml:space="preserve"> REF _Ref473637085 \n \h </w:instrText>
      </w:r>
      <w:r w:rsidR="008F7E54">
        <w:fldChar w:fldCharType="separate"/>
      </w:r>
      <w:r w:rsidR="008F7E54">
        <w:t>[1]</w:t>
      </w:r>
      <w:r w:rsidR="008F7E54">
        <w:fldChar w:fldCharType="end"/>
      </w:r>
      <w:r w:rsidRPr="00877096">
        <w:t>. Similarly, dynamically signaling to UEs that some resources are reserved for other purposes enables the UE to adapt the corresponding procedures and the schedulers</w:t>
      </w:r>
      <w:r>
        <w:t xml:space="preserve"> at gNBs</w:t>
      </w:r>
      <w:r w:rsidRPr="00877096">
        <w:t xml:space="preserve"> to adapt the resource utilization based on the</w:t>
      </w:r>
      <w:r w:rsidR="00D42E30">
        <w:t xml:space="preserve"> need for time-critical service </w:t>
      </w:r>
      <w:r w:rsidR="008F7E54">
        <w:fldChar w:fldCharType="begin"/>
      </w:r>
      <w:r w:rsidR="008F7E54">
        <w:instrText xml:space="preserve"> REF _Ref473637085 \n \h </w:instrText>
      </w:r>
      <w:r w:rsidR="008F7E54">
        <w:fldChar w:fldCharType="separate"/>
      </w:r>
      <w:r w:rsidR="008F7E54">
        <w:t>[1]</w:t>
      </w:r>
      <w:r w:rsidR="008F7E54">
        <w:fldChar w:fldCharType="end"/>
      </w:r>
      <w:r w:rsidRPr="00877096">
        <w:t>.</w:t>
      </w:r>
      <w:r>
        <w:t xml:space="preserve"> Then the important question is how it can then really be used to enable time critical information transfer for others.</w:t>
      </w:r>
    </w:p>
    <w:p w14:paraId="28E17E89" w14:textId="781AD9E0" w:rsidR="00B66D9B" w:rsidRPr="007C4B51" w:rsidRDefault="00B66D9B" w:rsidP="00B66D9B">
      <w:pPr>
        <w:pStyle w:val="BodyText"/>
      </w:pPr>
      <w:r>
        <w:t>Therefore, based on the above discussion we mak</w:t>
      </w:r>
      <w:r w:rsidR="00AB0D49">
        <w:t xml:space="preserve">e the following </w:t>
      </w:r>
      <w:r>
        <w:t>proposal:</w:t>
      </w:r>
    </w:p>
    <w:p w14:paraId="550FC72D" w14:textId="77777777" w:rsidR="00B66D9B" w:rsidRPr="003631C4" w:rsidRDefault="00B66D9B" w:rsidP="00B66D9B">
      <w:pPr>
        <w:pStyle w:val="BodyText"/>
        <w:rPr>
          <w:b/>
        </w:rPr>
      </w:pPr>
      <w:r w:rsidRPr="003631C4">
        <w:rPr>
          <w:b/>
        </w:rPr>
        <w:t>Proposal:</w:t>
      </w:r>
    </w:p>
    <w:p w14:paraId="0D4156C9" w14:textId="04D947D3" w:rsidR="00C1414B" w:rsidRPr="00AE553B" w:rsidRDefault="004959FC" w:rsidP="00BE3726">
      <w:pPr>
        <w:pStyle w:val="BodyText"/>
        <w:numPr>
          <w:ilvl w:val="0"/>
          <w:numId w:val="47"/>
        </w:numPr>
        <w:overflowPunct/>
        <w:autoSpaceDE/>
        <w:autoSpaceDN/>
        <w:adjustRightInd/>
        <w:textAlignment w:val="auto"/>
      </w:pPr>
      <w:r>
        <w:t xml:space="preserve">Before introducing </w:t>
      </w:r>
      <w:r w:rsidR="00B66D9B">
        <w:t xml:space="preserve">new </w:t>
      </w:r>
      <w:r>
        <w:t xml:space="preserve">fields in </w:t>
      </w:r>
      <w:r w:rsidR="00286C66">
        <w:t>the ‘group common PDCCH’</w:t>
      </w:r>
      <w:r w:rsidR="00B66D9B">
        <w:t xml:space="preserve">, studies should be carried out to </w:t>
      </w:r>
      <w:r>
        <w:t xml:space="preserve">show the </w:t>
      </w:r>
      <w:r w:rsidR="00286C66">
        <w:t xml:space="preserve">claimed </w:t>
      </w:r>
      <w:r>
        <w:t>benefits.</w:t>
      </w:r>
    </w:p>
    <w:p w14:paraId="52194F8F" w14:textId="0EAB3294" w:rsidR="00AE553B" w:rsidRDefault="00AE553B" w:rsidP="00AE553B">
      <w:pPr>
        <w:pStyle w:val="Heading1"/>
      </w:pPr>
      <w:r>
        <w:t>Conclusion</w:t>
      </w:r>
    </w:p>
    <w:p w14:paraId="0F884490" w14:textId="58FE065F" w:rsidR="00A635A6" w:rsidRDefault="00A635A6" w:rsidP="00A635A6">
      <w:r>
        <w:t>In this contribution we discussed our view on the structure of the ‘group common PDCCH’ as well as some remaining issues related to the corresponding fields. Based on the discussion we proposed the followings:</w:t>
      </w:r>
    </w:p>
    <w:p w14:paraId="4E956CB7" w14:textId="77777777" w:rsidR="00A635A6" w:rsidRPr="003B598D" w:rsidRDefault="00A635A6" w:rsidP="00A635A6">
      <w:pPr>
        <w:rPr>
          <w:b/>
        </w:rPr>
      </w:pPr>
      <w:r w:rsidRPr="003B598D">
        <w:rPr>
          <w:b/>
        </w:rPr>
        <w:t>Proposals:</w:t>
      </w:r>
    </w:p>
    <w:p w14:paraId="55789AE5" w14:textId="77777777" w:rsidR="00A635A6" w:rsidRPr="003B598D" w:rsidRDefault="00A635A6" w:rsidP="00A635A6">
      <w:pPr>
        <w:pStyle w:val="ListParagraph"/>
        <w:numPr>
          <w:ilvl w:val="0"/>
          <w:numId w:val="49"/>
        </w:numPr>
        <w:rPr>
          <w:lang w:val="en-US"/>
        </w:rPr>
      </w:pPr>
      <w:r w:rsidRPr="003B598D">
        <w:rPr>
          <w:lang w:val="en-US"/>
        </w:rPr>
        <w:t>’Group common PDCCH’ is based on the PDCCH design with a common RNTI for a group of UEs.</w:t>
      </w:r>
    </w:p>
    <w:p w14:paraId="0EDB2B0C" w14:textId="71394547" w:rsidR="00A635A6" w:rsidRDefault="00A635A6" w:rsidP="00A635A6">
      <w:pPr>
        <w:pStyle w:val="ListParagraph"/>
        <w:numPr>
          <w:ilvl w:val="0"/>
          <w:numId w:val="49"/>
        </w:numPr>
        <w:rPr>
          <w:lang w:val="en-US"/>
        </w:rPr>
      </w:pPr>
      <w:r>
        <w:rPr>
          <w:lang w:val="en-US"/>
        </w:rPr>
        <w:t xml:space="preserve">UE assumes a fixed or a configured value for the number of blind decodes for detection of the </w:t>
      </w:r>
      <w:r w:rsidRPr="00A465B5">
        <w:rPr>
          <w:lang w:val="en-US"/>
        </w:rPr>
        <w:t>’</w:t>
      </w:r>
      <w:r>
        <w:rPr>
          <w:lang w:val="en-US"/>
        </w:rPr>
        <w:t>g</w:t>
      </w:r>
      <w:r w:rsidRPr="00A465B5">
        <w:rPr>
          <w:lang w:val="en-US"/>
        </w:rPr>
        <w:t>roup common PDCCH’</w:t>
      </w:r>
      <w:r>
        <w:rPr>
          <w:lang w:val="en-US"/>
        </w:rPr>
        <w:t xml:space="preserve"> when configured.</w:t>
      </w:r>
    </w:p>
    <w:p w14:paraId="3D23B392" w14:textId="0922B482" w:rsidR="00A635A6" w:rsidRPr="00367094" w:rsidRDefault="00040DF6" w:rsidP="006C34F7">
      <w:pPr>
        <w:pStyle w:val="ListParagraph"/>
        <w:numPr>
          <w:ilvl w:val="0"/>
          <w:numId w:val="49"/>
        </w:numPr>
        <w:rPr>
          <w:lang w:val="en-US"/>
        </w:rPr>
      </w:pPr>
      <w:r>
        <w:rPr>
          <w:lang w:val="en-US"/>
        </w:rPr>
        <w:t>UE is informed of the location of the PDCCH candidate for the ‘group common PDCCH’.</w:t>
      </w:r>
    </w:p>
    <w:p w14:paraId="2979351D" w14:textId="52ABBA5B" w:rsidR="00A635A6" w:rsidRDefault="00A635A6" w:rsidP="00A635A6">
      <w:pPr>
        <w:pStyle w:val="ListParagraph"/>
        <w:numPr>
          <w:ilvl w:val="0"/>
          <w:numId w:val="49"/>
        </w:numPr>
        <w:contextualSpacing/>
        <w:rPr>
          <w:rFonts w:eastAsia="MS Mincho"/>
          <w:szCs w:val="20"/>
          <w:lang w:val="en-US" w:eastAsia="ja-JP"/>
        </w:rPr>
      </w:pPr>
      <w:r w:rsidRPr="00A465B5">
        <w:rPr>
          <w:rFonts w:eastAsia="MS Mincho"/>
          <w:szCs w:val="20"/>
          <w:lang w:val="en-US" w:eastAsia="ja-JP"/>
        </w:rPr>
        <w:t>The staring position of downlink data in a slot can be explicitly and dynamically indicated to the UE</w:t>
      </w:r>
      <w:r w:rsidRPr="003B598D">
        <w:rPr>
          <w:rFonts w:eastAsia="MS Mincho"/>
          <w:szCs w:val="20"/>
          <w:lang w:val="en-US" w:eastAsia="ja-JP"/>
        </w:rPr>
        <w:t xml:space="preserve"> in the UE-specific DCI.</w:t>
      </w:r>
    </w:p>
    <w:p w14:paraId="58C004DF" w14:textId="17C25C82" w:rsidR="005261FA" w:rsidRPr="005261FA" w:rsidRDefault="00A635A6" w:rsidP="00BB71CB">
      <w:pPr>
        <w:pStyle w:val="BodyText"/>
        <w:numPr>
          <w:ilvl w:val="0"/>
          <w:numId w:val="49"/>
        </w:numPr>
        <w:overflowPunct/>
        <w:autoSpaceDE/>
        <w:autoSpaceDN/>
        <w:adjustRightInd/>
        <w:textAlignment w:val="auto"/>
      </w:pPr>
      <w:r>
        <w:t>Before introducing new fields in the ‘group common PDCCH’, studies should be carried out to show the claimed benefits.</w:t>
      </w:r>
    </w:p>
    <w:p w14:paraId="3CA25FCB" w14:textId="67E15E7F" w:rsidR="00F507D1" w:rsidRPr="00CE0424" w:rsidRDefault="00F507D1" w:rsidP="0009033B">
      <w:pPr>
        <w:pStyle w:val="Heading1"/>
      </w:pPr>
      <w:bookmarkStart w:id="1" w:name="_In-sequence_SDU_delivery"/>
      <w:bookmarkEnd w:id="1"/>
      <w:r w:rsidRPr="00CE0424">
        <w:t>References</w:t>
      </w:r>
    </w:p>
    <w:p w14:paraId="5A33C065" w14:textId="4160CCFB" w:rsidR="00286C66" w:rsidRDefault="00286C66" w:rsidP="003B365D">
      <w:pPr>
        <w:pStyle w:val="Reference"/>
      </w:pPr>
      <w:bookmarkStart w:id="2" w:name="_Ref473637085"/>
      <w:bookmarkStart w:id="3" w:name="_Ref470613638"/>
      <w:bookmarkStart w:id="4" w:name="_Ref465931227"/>
      <w:bookmarkStart w:id="5" w:name="_Ref458515583"/>
      <w:bookmarkStart w:id="6" w:name="_Ref174151459"/>
      <w:bookmarkStart w:id="7" w:name="_Ref189809556"/>
      <w:bookmarkStart w:id="8" w:name="_Ref458165837"/>
      <w:r>
        <w:t>R1-1612908</w:t>
      </w:r>
      <w:r>
        <w:tab/>
      </w:r>
      <w:r>
        <w:tab/>
        <w:t>Summary of e-mail discussions in downlink control signaling; Ericsson</w:t>
      </w:r>
      <w:bookmarkEnd w:id="2"/>
    </w:p>
    <w:p w14:paraId="39A48CBB" w14:textId="7393E4EE" w:rsidR="00286C66" w:rsidRDefault="0059685C" w:rsidP="003B365D">
      <w:pPr>
        <w:pStyle w:val="Reference"/>
      </w:pPr>
      <w:bookmarkStart w:id="9" w:name="_Ref473637092"/>
      <w:r>
        <w:t>C</w:t>
      </w:r>
      <w:r w:rsidR="004C5E10">
        <w:t>hairman</w:t>
      </w:r>
      <w:r w:rsidR="007F26F5">
        <w:t>’s</w:t>
      </w:r>
      <w:r w:rsidR="004C5E10">
        <w:t xml:space="preserve"> </w:t>
      </w:r>
      <w:r w:rsidR="007F26F5">
        <w:t>N</w:t>
      </w:r>
      <w:r w:rsidR="004C5E10">
        <w:t>otes, 3GPP TSG RAN WG1 Meeting NR Ad-Hoc 16</w:t>
      </w:r>
      <w:r w:rsidR="004C5E10" w:rsidRPr="004C5E10">
        <w:rPr>
          <w:vertAlign w:val="superscript"/>
        </w:rPr>
        <w:t>th</w:t>
      </w:r>
      <w:r w:rsidR="004C5E10">
        <w:t>-20</w:t>
      </w:r>
      <w:r w:rsidR="004C5E10" w:rsidRPr="004C5E10">
        <w:rPr>
          <w:vertAlign w:val="superscript"/>
        </w:rPr>
        <w:t>th</w:t>
      </w:r>
      <w:r w:rsidR="004C5E10">
        <w:t xml:space="preserve"> January 2017</w:t>
      </w:r>
      <w:bookmarkEnd w:id="9"/>
    </w:p>
    <w:p w14:paraId="3AB6B4B3" w14:textId="6F0F7C42" w:rsidR="00286C66" w:rsidRPr="00BE3726" w:rsidRDefault="00286C66" w:rsidP="003B365D">
      <w:pPr>
        <w:pStyle w:val="Reference"/>
      </w:pPr>
      <w:bookmarkStart w:id="10" w:name="_Ref473637107"/>
      <w:r>
        <w:t>R1-</w:t>
      </w:r>
      <w:r w:rsidRPr="00BE3726">
        <w:t>1701121</w:t>
      </w:r>
      <w:r w:rsidRPr="00BE3726">
        <w:tab/>
      </w:r>
      <w:r w:rsidRPr="00BE3726">
        <w:tab/>
        <w:t>On ‘PCFICH-like’ Channels; Ericsson</w:t>
      </w:r>
      <w:bookmarkEnd w:id="10"/>
    </w:p>
    <w:p w14:paraId="631642D0" w14:textId="4338607C" w:rsidR="00286C66" w:rsidRPr="00BB71CB" w:rsidRDefault="00286C66" w:rsidP="00286C66">
      <w:pPr>
        <w:pStyle w:val="Reference"/>
        <w:rPr>
          <w:rFonts w:eastAsia="MS Mincho"/>
          <w:lang w:eastAsia="ja-JP"/>
        </w:rPr>
      </w:pPr>
      <w:bookmarkStart w:id="11" w:name="_Ref473637123"/>
      <w:r w:rsidRPr="00BB71CB">
        <w:t>R1-17</w:t>
      </w:r>
      <w:r w:rsidR="00BB71CB" w:rsidRPr="00BB71CB">
        <w:t>03289</w:t>
      </w:r>
      <w:r w:rsidRPr="00BB71CB">
        <w:tab/>
      </w:r>
      <w:r w:rsidRPr="00BB71CB">
        <w:tab/>
        <w:t>On Data Transmission in Control Resource Set; Ericsson</w:t>
      </w:r>
      <w:bookmarkEnd w:id="11"/>
    </w:p>
    <w:p w14:paraId="5FE76223" w14:textId="13739C99" w:rsidR="00D42E30" w:rsidRPr="00BB71CB" w:rsidRDefault="00D42E30" w:rsidP="00D42E30">
      <w:pPr>
        <w:pStyle w:val="Reference"/>
        <w:rPr>
          <w:rFonts w:eastAsia="MS Mincho"/>
          <w:lang w:eastAsia="ja-JP"/>
        </w:rPr>
      </w:pPr>
      <w:bookmarkStart w:id="12" w:name="_Ref473637136"/>
      <w:r w:rsidRPr="00BB71CB">
        <w:t>R1-17</w:t>
      </w:r>
      <w:r w:rsidR="00BB71CB" w:rsidRPr="00BB71CB">
        <w:t>03286</w:t>
      </w:r>
      <w:r w:rsidRPr="00BB71CB">
        <w:t xml:space="preserve"> </w:t>
      </w:r>
      <w:r w:rsidRPr="00BB71CB">
        <w:tab/>
      </w:r>
      <w:r w:rsidR="00BB71CB" w:rsidRPr="00BB71CB">
        <w:t>On Aggregation Levels and DCI Formats</w:t>
      </w:r>
      <w:r w:rsidRPr="00BB71CB">
        <w:t>; Ericsson</w:t>
      </w:r>
      <w:bookmarkEnd w:id="12"/>
    </w:p>
    <w:p w14:paraId="7BD1958E" w14:textId="089860C4" w:rsidR="002F43C5" w:rsidRPr="00BE3726" w:rsidRDefault="00D42E30" w:rsidP="00BB71CB">
      <w:pPr>
        <w:pStyle w:val="Reference"/>
      </w:pPr>
      <w:bookmarkStart w:id="13" w:name="_Ref473637139"/>
      <w:r w:rsidRPr="00BB71CB">
        <w:t>R1-17</w:t>
      </w:r>
      <w:r w:rsidR="00BB71CB" w:rsidRPr="00BB71CB">
        <w:t>03287</w:t>
      </w:r>
      <w:r w:rsidRPr="00BB71CB">
        <w:tab/>
      </w:r>
      <w:r w:rsidRPr="00BB71CB">
        <w:tab/>
      </w:r>
      <w:r w:rsidR="00A635A6" w:rsidRPr="00BB71CB">
        <w:t xml:space="preserve">On </w:t>
      </w:r>
      <w:r w:rsidR="00BB71CB" w:rsidRPr="00BB71CB">
        <w:t>control Resource Sets and Search Spaces</w:t>
      </w:r>
      <w:r w:rsidR="00A635A6" w:rsidRPr="00BB71CB">
        <w:t>; Ericsson</w:t>
      </w:r>
      <w:bookmarkEnd w:id="3"/>
      <w:bookmarkEnd w:id="4"/>
      <w:bookmarkEnd w:id="5"/>
      <w:bookmarkEnd w:id="6"/>
      <w:bookmarkEnd w:id="7"/>
      <w:bookmarkEnd w:id="8"/>
      <w:bookmarkEnd w:id="13"/>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5EFED" w14:textId="77777777" w:rsidR="00C06F67" w:rsidRDefault="00C06F67">
      <w:r>
        <w:separator/>
      </w:r>
    </w:p>
  </w:endnote>
  <w:endnote w:type="continuationSeparator" w:id="0">
    <w:p w14:paraId="718BC8C8" w14:textId="77777777" w:rsidR="00C06F67" w:rsidRDefault="00C06F67">
      <w:r>
        <w:continuationSeparator/>
      </w:r>
    </w:p>
  </w:endnote>
  <w:endnote w:type="continuationNotice" w:id="1">
    <w:p w14:paraId="6A21DF30" w14:textId="77777777" w:rsidR="00C06F67" w:rsidRDefault="00C06F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130275D"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56D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56D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85721" w14:textId="77777777" w:rsidR="00C06F67" w:rsidRDefault="00C06F67">
      <w:r>
        <w:separator/>
      </w:r>
    </w:p>
  </w:footnote>
  <w:footnote w:type="continuationSeparator" w:id="0">
    <w:p w14:paraId="2DA5E7F0" w14:textId="77777777" w:rsidR="00C06F67" w:rsidRDefault="00C06F67">
      <w:r>
        <w:continuationSeparator/>
      </w:r>
    </w:p>
  </w:footnote>
  <w:footnote w:type="continuationNotice" w:id="1">
    <w:p w14:paraId="65BCF44D" w14:textId="77777777" w:rsidR="00C06F67" w:rsidRDefault="00C06F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1423C"/>
    <w:multiLevelType w:val="hybridMultilevel"/>
    <w:tmpl w:val="57E6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5355AA"/>
    <w:multiLevelType w:val="hybridMultilevel"/>
    <w:tmpl w:val="3F68C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8"/>
  </w:num>
  <w:num w:numId="3">
    <w:abstractNumId w:val="30"/>
  </w:num>
  <w:num w:numId="4">
    <w:abstractNumId w:val="32"/>
  </w:num>
  <w:num w:numId="5">
    <w:abstractNumId w:val="24"/>
  </w:num>
  <w:num w:numId="6">
    <w:abstractNumId w:val="35"/>
  </w:num>
  <w:num w:numId="7">
    <w:abstractNumId w:val="41"/>
  </w:num>
  <w:num w:numId="8">
    <w:abstractNumId w:val="25"/>
  </w:num>
  <w:num w:numId="9">
    <w:abstractNumId w:val="19"/>
  </w:num>
  <w:num w:numId="10">
    <w:abstractNumId w:val="3"/>
  </w:num>
  <w:num w:numId="11">
    <w:abstractNumId w:val="2"/>
  </w:num>
  <w:num w:numId="12">
    <w:abstractNumId w:val="1"/>
  </w:num>
  <w:num w:numId="13">
    <w:abstractNumId w:val="40"/>
  </w:num>
  <w:num w:numId="14">
    <w:abstractNumId w:val="0"/>
  </w:num>
  <w:num w:numId="15">
    <w:abstractNumId w:val="21"/>
  </w:num>
  <w:num w:numId="16">
    <w:abstractNumId w:val="42"/>
  </w:num>
  <w:num w:numId="17">
    <w:abstractNumId w:val="33"/>
  </w:num>
  <w:num w:numId="18">
    <w:abstractNumId w:val="37"/>
  </w:num>
  <w:num w:numId="19">
    <w:abstractNumId w:val="10"/>
  </w:num>
  <w:num w:numId="20">
    <w:abstractNumId w:val="29"/>
  </w:num>
  <w:num w:numId="21">
    <w:abstractNumId w:val="14"/>
  </w:num>
  <w:num w:numId="22">
    <w:abstractNumId w:val="6"/>
  </w:num>
  <w:num w:numId="23">
    <w:abstractNumId w:val="36"/>
  </w:num>
  <w:num w:numId="24">
    <w:abstractNumId w:val="34"/>
  </w:num>
  <w:num w:numId="25">
    <w:abstractNumId w:val="22"/>
  </w:num>
  <w:num w:numId="26">
    <w:abstractNumId w:val="11"/>
  </w:num>
  <w:num w:numId="27">
    <w:abstractNumId w:val="17"/>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7"/>
  </w:num>
  <w:num w:numId="30">
    <w:abstractNumId w:val="23"/>
  </w:num>
  <w:num w:numId="31">
    <w:abstractNumId w:val="45"/>
  </w:num>
  <w:num w:numId="32">
    <w:abstractNumId w:val="30"/>
    <w:lvlOverride w:ilvl="0">
      <w:startOverride w:val="5"/>
    </w:lvlOverride>
  </w:num>
  <w:num w:numId="33">
    <w:abstractNumId w:val="39"/>
  </w:num>
  <w:num w:numId="34">
    <w:abstractNumId w:val="4"/>
  </w:num>
  <w:num w:numId="35">
    <w:abstractNumId w:val="46"/>
  </w:num>
  <w:num w:numId="36">
    <w:abstractNumId w:val="9"/>
  </w:num>
  <w:num w:numId="37">
    <w:abstractNumId w:val="44"/>
  </w:num>
  <w:num w:numId="38">
    <w:abstractNumId w:val="28"/>
  </w:num>
  <w:num w:numId="39">
    <w:abstractNumId w:val="27"/>
  </w:num>
  <w:num w:numId="40">
    <w:abstractNumId w:val="13"/>
  </w:num>
  <w:num w:numId="41">
    <w:abstractNumId w:val="43"/>
  </w:num>
  <w:num w:numId="42">
    <w:abstractNumId w:val="20"/>
  </w:num>
  <w:num w:numId="43">
    <w:abstractNumId w:val="16"/>
  </w:num>
  <w:num w:numId="44">
    <w:abstractNumId w:val="26"/>
  </w:num>
  <w:num w:numId="45">
    <w:abstractNumId w:val="8"/>
  </w:num>
  <w:num w:numId="46">
    <w:abstractNumId w:val="31"/>
  </w:num>
  <w:num w:numId="47">
    <w:abstractNumId w:val="12"/>
  </w:num>
  <w:num w:numId="48">
    <w:abstractNumId w:val="7"/>
  </w:num>
  <w:num w:numId="49">
    <w:abstractNumId w:val="15"/>
  </w:num>
  <w:num w:numId="5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2"/>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39EA"/>
    <w:rsid w:val="00365F79"/>
    <w:rsid w:val="00367094"/>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46AFF"/>
    <w:rsid w:val="00447DDB"/>
    <w:rsid w:val="004517AA"/>
    <w:rsid w:val="00452B53"/>
    <w:rsid w:val="00452CAC"/>
    <w:rsid w:val="00457565"/>
    <w:rsid w:val="00457B71"/>
    <w:rsid w:val="004669E2"/>
    <w:rsid w:val="00470C31"/>
    <w:rsid w:val="00472C00"/>
    <w:rsid w:val="004734D0"/>
    <w:rsid w:val="0047447B"/>
    <w:rsid w:val="00474CE8"/>
    <w:rsid w:val="0047556B"/>
    <w:rsid w:val="00477768"/>
    <w:rsid w:val="00484FD1"/>
    <w:rsid w:val="004903E5"/>
    <w:rsid w:val="00492BC5"/>
    <w:rsid w:val="004959FC"/>
    <w:rsid w:val="004964F1"/>
    <w:rsid w:val="004A163A"/>
    <w:rsid w:val="004A16BC"/>
    <w:rsid w:val="004A2B94"/>
    <w:rsid w:val="004B6991"/>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685C"/>
    <w:rsid w:val="0059779B"/>
    <w:rsid w:val="005A0A5B"/>
    <w:rsid w:val="005A209A"/>
    <w:rsid w:val="005A2E25"/>
    <w:rsid w:val="005A61E5"/>
    <w:rsid w:val="005A662D"/>
    <w:rsid w:val="005B35D7"/>
    <w:rsid w:val="005B392A"/>
    <w:rsid w:val="005B3AA3"/>
    <w:rsid w:val="005B3F59"/>
    <w:rsid w:val="005B6F83"/>
    <w:rsid w:val="005C0B51"/>
    <w:rsid w:val="005C0C58"/>
    <w:rsid w:val="005C74FB"/>
    <w:rsid w:val="005D1602"/>
    <w:rsid w:val="005D22E6"/>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26F5"/>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72AA"/>
    <w:rsid w:val="00B403B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51E"/>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1FD3E37F-8278-4241-BEEA-9FD6EC447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1</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 1</cp:lastModifiedBy>
  <cp:revision>5</cp:revision>
  <cp:lastPrinted>2008-01-31T07:09:00Z</cp:lastPrinted>
  <dcterms:created xsi:type="dcterms:W3CDTF">2017-02-07T04:10:00Z</dcterms:created>
  <dcterms:modified xsi:type="dcterms:W3CDTF">2017-02-07T04:11:00Z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