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286" w:rsidRPr="000E0920" w:rsidRDefault="009C0286" w:rsidP="009C0286">
      <w:pPr>
        <w:pStyle w:val="Header"/>
        <w:tabs>
          <w:tab w:val="right" w:pos="10206"/>
        </w:tabs>
        <w:spacing w:after="0" w:afterAutospacing="0"/>
        <w:rPr>
          <w:rFonts w:cs="Arial"/>
          <w:noProof w:val="0"/>
          <w:sz w:val="28"/>
          <w:szCs w:val="28"/>
          <w:lang w:val="en-US"/>
        </w:rPr>
      </w:pPr>
      <w:bookmarkStart w:id="0" w:name="OLE_LINK3"/>
      <w:r w:rsidRPr="000E0920">
        <w:rPr>
          <w:rFonts w:cs="Arial"/>
          <w:noProof w:val="0"/>
          <w:sz w:val="28"/>
          <w:szCs w:val="28"/>
          <w:lang w:val="en-US"/>
        </w:rPr>
        <w:t>3GPP TSG RAN WG1 Meeting #8</w:t>
      </w:r>
      <w:r w:rsidR="00120973">
        <w:rPr>
          <w:rFonts w:cs="Arial"/>
          <w:noProof w:val="0"/>
          <w:sz w:val="28"/>
          <w:szCs w:val="28"/>
          <w:lang w:val="en-US"/>
        </w:rPr>
        <w:t>8</w:t>
      </w:r>
      <w:r w:rsidRPr="000E0920">
        <w:rPr>
          <w:rFonts w:cs="Arial"/>
          <w:noProof w:val="0"/>
          <w:sz w:val="28"/>
          <w:szCs w:val="28"/>
          <w:lang w:val="en-US"/>
        </w:rPr>
        <w:tab/>
        <w:t>R1-</w:t>
      </w:r>
      <w:r w:rsidR="00833B2F" w:rsidRPr="00833B2F">
        <w:rPr>
          <w:rFonts w:cs="Arial"/>
          <w:noProof w:val="0"/>
          <w:sz w:val="28"/>
          <w:szCs w:val="28"/>
          <w:lang w:val="en-US"/>
        </w:rPr>
        <w:t>1</w:t>
      </w:r>
      <w:r w:rsidR="00D262EE">
        <w:rPr>
          <w:rFonts w:cs="Arial"/>
          <w:noProof w:val="0"/>
          <w:sz w:val="28"/>
          <w:szCs w:val="28"/>
          <w:lang w:val="en-US"/>
        </w:rPr>
        <w:t>7</w:t>
      </w:r>
      <w:r w:rsidR="00F63A3F">
        <w:rPr>
          <w:rFonts w:cs="Arial"/>
          <w:noProof w:val="0"/>
          <w:sz w:val="28"/>
          <w:szCs w:val="28"/>
          <w:lang w:val="en-US"/>
        </w:rPr>
        <w:t>03233</w:t>
      </w:r>
    </w:p>
    <w:p w:rsidR="00D262EE" w:rsidRPr="009513AC" w:rsidRDefault="00D262EE" w:rsidP="00D262EE">
      <w:pPr>
        <w:tabs>
          <w:tab w:val="center" w:pos="4536"/>
          <w:tab w:val="right" w:pos="9072"/>
        </w:tabs>
        <w:rPr>
          <w:rFonts w:ascii="Arial" w:eastAsia="MS Mincho" w:hAnsi="Arial" w:cs="Arial"/>
          <w:b/>
          <w:bCs/>
          <w:sz w:val="28"/>
        </w:rPr>
      </w:pPr>
      <w:bookmarkStart w:id="1" w:name="_Ref133120545"/>
      <w:bookmarkEnd w:id="0"/>
      <w:r w:rsidRPr="009513AC">
        <w:rPr>
          <w:rFonts w:ascii="Arial" w:eastAsia="MS Mincho" w:hAnsi="Arial" w:cs="Arial" w:hint="eastAsia"/>
          <w:b/>
          <w:bCs/>
          <w:sz w:val="28"/>
        </w:rPr>
        <w:t>Athens</w:t>
      </w:r>
      <w:r>
        <w:rPr>
          <w:rFonts w:ascii="Arial" w:hAnsi="Arial" w:cs="Arial"/>
          <w:b/>
          <w:bCs/>
          <w:sz w:val="28"/>
        </w:rPr>
        <w:t xml:space="preserve">, </w:t>
      </w:r>
      <w:r w:rsidRPr="009513AC">
        <w:rPr>
          <w:rFonts w:ascii="Arial" w:eastAsia="MS Mincho" w:hAnsi="Arial" w:cs="Arial" w:hint="eastAsia"/>
          <w:b/>
          <w:bCs/>
          <w:sz w:val="28"/>
        </w:rPr>
        <w:t>Greece</w:t>
      </w:r>
      <w:r>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eastAsia="MS Mincho" w:hAnsi="Arial" w:cs="Arial" w:hint="eastAsia"/>
          <w:b/>
          <w:bCs/>
          <w:sz w:val="28"/>
        </w:rPr>
        <w:t>February</w:t>
      </w:r>
      <w:r>
        <w:rPr>
          <w:rFonts w:ascii="Arial" w:hAnsi="Arial" w:cs="Arial"/>
          <w:b/>
          <w:bCs/>
          <w:sz w:val="28"/>
        </w:rPr>
        <w:t xml:space="preserve"> 201</w:t>
      </w:r>
      <w:r w:rsidRPr="009513AC">
        <w:rPr>
          <w:rFonts w:ascii="Arial" w:eastAsia="MS Mincho" w:hAnsi="Arial" w:cs="Arial" w:hint="eastAsia"/>
          <w:b/>
          <w:bCs/>
          <w:sz w:val="28"/>
        </w:rPr>
        <w:t>7</w:t>
      </w:r>
    </w:p>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5544D4">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2" w:name="OLE_LINK1"/>
      <w:r w:rsidR="00143B28">
        <w:rPr>
          <w:rFonts w:ascii="Arial" w:hAnsi="Arial" w:cs="Arial"/>
          <w:b/>
          <w:sz w:val="28"/>
          <w:szCs w:val="28"/>
          <w:lang w:val="en-US"/>
        </w:rPr>
        <w:t xml:space="preserve">HARQ-ACK feedback collision handling </w:t>
      </w:r>
      <w:r w:rsidR="00764425">
        <w:rPr>
          <w:rFonts w:ascii="Arial" w:hAnsi="Arial" w:cs="Arial"/>
          <w:b/>
          <w:sz w:val="28"/>
          <w:szCs w:val="28"/>
          <w:lang w:val="en-US"/>
        </w:rPr>
        <w:t xml:space="preserve">for 1ms TTI </w:t>
      </w:r>
      <w:bookmarkEnd w:id="2"/>
      <w:r w:rsidR="00C9011A">
        <w:rPr>
          <w:rFonts w:ascii="Arial" w:hAnsi="Arial" w:cs="Arial"/>
          <w:b/>
          <w:sz w:val="28"/>
          <w:szCs w:val="28"/>
          <w:lang w:val="en-US"/>
        </w:rPr>
        <w:t xml:space="preserve">with </w:t>
      </w:r>
      <w:r w:rsidR="00F63A3F">
        <w:rPr>
          <w:rFonts w:ascii="Arial" w:hAnsi="Arial" w:cs="Arial"/>
          <w:b/>
          <w:sz w:val="28"/>
          <w:szCs w:val="28"/>
          <w:lang w:val="en-US"/>
        </w:rPr>
        <w:t>shortened</w:t>
      </w:r>
      <w:r w:rsidR="008D23BB">
        <w:rPr>
          <w:rFonts w:ascii="Arial" w:hAnsi="Arial" w:cs="Arial"/>
          <w:b/>
          <w:sz w:val="28"/>
          <w:szCs w:val="28"/>
          <w:lang w:val="en-US"/>
        </w:rPr>
        <w:t xml:space="preserve"> </w:t>
      </w:r>
      <w:r w:rsidR="00C9011A">
        <w:rPr>
          <w:rFonts w:ascii="Arial" w:hAnsi="Arial" w:cs="Arial"/>
          <w:b/>
          <w:sz w:val="28"/>
          <w:szCs w:val="28"/>
          <w:lang w:val="en-US"/>
        </w:rPr>
        <w:t>processing time</w:t>
      </w:r>
    </w:p>
    <w:p w:rsidR="00004B52" w:rsidRPr="00EF0653" w:rsidRDefault="00004B52" w:rsidP="005544D4">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143B28">
        <w:rPr>
          <w:rFonts w:ascii="Arial" w:hAnsi="Arial" w:cs="Arial"/>
          <w:b/>
          <w:sz w:val="28"/>
          <w:szCs w:val="28"/>
          <w:lang w:val="pt-BR"/>
        </w:rPr>
        <w:t>7.2.5.1.1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502525" w:rsidRDefault="007B4675" w:rsidP="007B4675">
      <w:pPr>
        <w:autoSpaceDE w:val="0"/>
        <w:autoSpaceDN w:val="0"/>
        <w:adjustRightInd w:val="0"/>
        <w:spacing w:before="100" w:beforeAutospacing="1"/>
        <w:rPr>
          <w:rFonts w:cs="Arial"/>
          <w:szCs w:val="24"/>
          <w:lang w:eastAsia="zh-CN"/>
        </w:rPr>
      </w:pPr>
      <w:r>
        <w:rPr>
          <w:rFonts w:cs="Arial"/>
          <w:szCs w:val="24"/>
          <w:lang w:eastAsia="zh-CN"/>
        </w:rPr>
        <w:t>In RAN1 #8</w:t>
      </w:r>
      <w:r w:rsidR="00502525">
        <w:rPr>
          <w:rFonts w:cs="Arial"/>
          <w:szCs w:val="24"/>
          <w:lang w:eastAsia="zh-CN"/>
        </w:rPr>
        <w:t>7</w:t>
      </w:r>
      <w:r>
        <w:rPr>
          <w:rFonts w:cs="Arial"/>
          <w:szCs w:val="24"/>
          <w:lang w:eastAsia="zh-CN"/>
        </w:rPr>
        <w:t xml:space="preserve">, </w:t>
      </w:r>
      <w:r w:rsidR="00BB753F">
        <w:rPr>
          <w:rFonts w:cs="Arial"/>
          <w:szCs w:val="24"/>
          <w:lang w:eastAsia="zh-CN"/>
        </w:rPr>
        <w:t xml:space="preserve">the following agreement was made to support </w:t>
      </w:r>
      <w:proofErr w:type="spellStart"/>
      <w:r w:rsidR="00502525">
        <w:rPr>
          <w:rFonts w:cs="Arial"/>
          <w:szCs w:val="24"/>
          <w:lang w:eastAsia="zh-CN"/>
        </w:rPr>
        <w:t>fallback</w:t>
      </w:r>
      <w:proofErr w:type="spellEnd"/>
      <w:r w:rsidR="00502525">
        <w:rPr>
          <w:rFonts w:cs="Arial"/>
          <w:szCs w:val="24"/>
          <w:lang w:eastAsia="zh-CN"/>
        </w:rPr>
        <w:t xml:space="preserve"> </w:t>
      </w:r>
      <w:r w:rsidR="00BB753F">
        <w:rPr>
          <w:rFonts w:cs="Arial"/>
          <w:szCs w:val="24"/>
          <w:lang w:eastAsia="zh-CN"/>
        </w:rPr>
        <w:t>operation</w:t>
      </w:r>
      <w:r w:rsidR="00502525">
        <w:rPr>
          <w:rFonts w:cs="Arial"/>
          <w:szCs w:val="24"/>
          <w:lang w:eastAsia="zh-CN"/>
        </w:rPr>
        <w:t xml:space="preserve"> for 1ms TTI shorten processing time. </w:t>
      </w:r>
    </w:p>
    <w:p w:rsidR="00502525" w:rsidRPr="00AC259C" w:rsidRDefault="00502525" w:rsidP="00502525">
      <w:pPr>
        <w:numPr>
          <w:ilvl w:val="0"/>
          <w:numId w:val="21"/>
        </w:numPr>
        <w:snapToGrid/>
        <w:spacing w:after="0" w:afterAutospacing="0"/>
        <w:jc w:val="left"/>
        <w:rPr>
          <w:rFonts w:eastAsia="MS Mincho"/>
          <w:u w:val="single"/>
          <w:lang w:val="en-US"/>
        </w:rPr>
      </w:pPr>
      <w:r>
        <w:rPr>
          <w:kern w:val="2"/>
          <w:lang w:eastAsia="zh-CN"/>
        </w:rPr>
        <w:t xml:space="preserve">For 1 </w:t>
      </w:r>
      <w:proofErr w:type="spellStart"/>
      <w:r>
        <w:rPr>
          <w:kern w:val="2"/>
          <w:lang w:eastAsia="zh-CN"/>
        </w:rPr>
        <w:t>ms</w:t>
      </w:r>
      <w:proofErr w:type="spellEnd"/>
      <w:r>
        <w:rPr>
          <w:kern w:val="2"/>
          <w:lang w:eastAsia="zh-CN"/>
        </w:rPr>
        <w:t xml:space="preserve"> TTI shortened processing, s</w:t>
      </w:r>
      <w:r w:rsidRPr="00AC259C">
        <w:rPr>
          <w:kern w:val="2"/>
          <w:lang w:eastAsia="zh-CN"/>
        </w:rPr>
        <w:t xml:space="preserve">upport </w:t>
      </w:r>
      <w:proofErr w:type="spellStart"/>
      <w:r w:rsidRPr="00AC259C">
        <w:rPr>
          <w:kern w:val="2"/>
          <w:lang w:eastAsia="zh-CN"/>
        </w:rPr>
        <w:t>fallback</w:t>
      </w:r>
      <w:proofErr w:type="spellEnd"/>
      <w:r w:rsidRPr="00AC259C">
        <w:rPr>
          <w:kern w:val="2"/>
          <w:lang w:eastAsia="zh-CN"/>
        </w:rPr>
        <w:t xml:space="preserve"> </w:t>
      </w:r>
      <w:r w:rsidRPr="00AC259C">
        <w:rPr>
          <w:rFonts w:hint="eastAsia"/>
          <w:kern w:val="2"/>
          <w:lang w:eastAsia="zh-CN"/>
        </w:rPr>
        <w:t xml:space="preserve">to </w:t>
      </w:r>
      <w:r w:rsidRPr="00AC259C">
        <w:rPr>
          <w:kern w:val="2"/>
          <w:lang w:eastAsia="zh-CN"/>
        </w:rPr>
        <w:t>legacy processing timing n+4 by the search space, i.e</w:t>
      </w:r>
      <w:r>
        <w:rPr>
          <w:kern w:val="2"/>
          <w:lang w:eastAsia="zh-CN"/>
        </w:rPr>
        <w:t>.</w:t>
      </w:r>
      <w:r w:rsidRPr="00AC259C">
        <w:rPr>
          <w:kern w:val="2"/>
          <w:lang w:eastAsia="zh-CN"/>
        </w:rPr>
        <w:t xml:space="preserve"> D</w:t>
      </w:r>
      <w:r>
        <w:rPr>
          <w:kern w:val="2"/>
          <w:lang w:eastAsia="zh-CN"/>
        </w:rPr>
        <w:t>CI for processing time n+3</w:t>
      </w:r>
      <w:r w:rsidRPr="00AC259C">
        <w:rPr>
          <w:kern w:val="2"/>
          <w:lang w:eastAsia="zh-CN"/>
        </w:rPr>
        <w:t xml:space="preserve"> are carried in USS of PDCCH and DCI for processing time n+4 are carried in CSS of PDCCH.</w:t>
      </w:r>
    </w:p>
    <w:p w:rsidR="00502525" w:rsidRPr="00AC259C" w:rsidRDefault="00502525" w:rsidP="00502525">
      <w:pPr>
        <w:numPr>
          <w:ilvl w:val="1"/>
          <w:numId w:val="21"/>
        </w:numPr>
        <w:snapToGrid/>
        <w:spacing w:after="0" w:afterAutospacing="0"/>
        <w:jc w:val="left"/>
        <w:rPr>
          <w:rFonts w:eastAsia="MS Mincho"/>
          <w:u w:val="single"/>
          <w:lang w:val="en-US"/>
        </w:rPr>
      </w:pPr>
      <w:r>
        <w:rPr>
          <w:kern w:val="2"/>
          <w:lang w:eastAsia="zh-CN"/>
        </w:rPr>
        <w:t>For PDSCH t</w:t>
      </w:r>
      <w:r w:rsidRPr="00AC259C">
        <w:rPr>
          <w:kern w:val="2"/>
          <w:lang w:eastAsia="zh-CN"/>
        </w:rPr>
        <w:t xml:space="preserve">he HARQ processes of n+3 1ms TTI and n+4 1ms TTI </w:t>
      </w:r>
      <w:r>
        <w:rPr>
          <w:kern w:val="2"/>
          <w:lang w:eastAsia="zh-CN"/>
        </w:rPr>
        <w:t>are</w:t>
      </w:r>
      <w:r w:rsidRPr="00AC259C">
        <w:rPr>
          <w:kern w:val="2"/>
          <w:lang w:eastAsia="zh-CN"/>
        </w:rPr>
        <w:t xml:space="preserve"> shared</w:t>
      </w:r>
    </w:p>
    <w:p w:rsidR="00502525" w:rsidRPr="009E3F6D" w:rsidRDefault="00502525" w:rsidP="00502525">
      <w:pPr>
        <w:numPr>
          <w:ilvl w:val="1"/>
          <w:numId w:val="21"/>
        </w:numPr>
        <w:snapToGrid/>
        <w:spacing w:after="0" w:afterAutospacing="0"/>
        <w:jc w:val="left"/>
        <w:rPr>
          <w:rFonts w:eastAsia="MS Mincho"/>
          <w:u w:val="single"/>
          <w:lang w:val="en-US"/>
        </w:rPr>
      </w:pPr>
      <w:r>
        <w:rPr>
          <w:kern w:val="2"/>
          <w:lang w:eastAsia="zh-CN"/>
        </w:rPr>
        <w:t xml:space="preserve">FFS: Possible PUSCH </w:t>
      </w:r>
      <w:r w:rsidRPr="00AC259C">
        <w:rPr>
          <w:kern w:val="2"/>
          <w:lang w:eastAsia="zh-CN"/>
        </w:rPr>
        <w:t>HARQ processes</w:t>
      </w:r>
      <w:r>
        <w:rPr>
          <w:kern w:val="2"/>
          <w:lang w:eastAsia="zh-CN"/>
        </w:rPr>
        <w:t xml:space="preserve"> sharing between</w:t>
      </w:r>
      <w:r w:rsidRPr="00AC259C">
        <w:rPr>
          <w:kern w:val="2"/>
          <w:lang w:eastAsia="zh-CN"/>
        </w:rPr>
        <w:t xml:space="preserve"> n+3 1ms TTI and n+4 1ms TTI</w:t>
      </w:r>
    </w:p>
    <w:p w:rsidR="00502525" w:rsidRPr="00AC259C" w:rsidRDefault="00502525" w:rsidP="00502525">
      <w:pPr>
        <w:numPr>
          <w:ilvl w:val="1"/>
          <w:numId w:val="21"/>
        </w:numPr>
        <w:snapToGrid/>
        <w:spacing w:after="0" w:afterAutospacing="0"/>
        <w:jc w:val="left"/>
        <w:rPr>
          <w:rFonts w:eastAsia="MS Mincho"/>
          <w:u w:val="single"/>
          <w:lang w:val="en-US"/>
        </w:rPr>
      </w:pPr>
      <w:r>
        <w:rPr>
          <w:kern w:val="2"/>
          <w:lang w:eastAsia="zh-CN"/>
        </w:rPr>
        <w:t>FFS: UE behaviour in case of n+3 and n+4 collision</w:t>
      </w:r>
    </w:p>
    <w:p w:rsidR="00502525" w:rsidRPr="00AC259C" w:rsidRDefault="00502525" w:rsidP="00502525">
      <w:pPr>
        <w:numPr>
          <w:ilvl w:val="1"/>
          <w:numId w:val="21"/>
        </w:numPr>
        <w:snapToGrid/>
        <w:spacing w:after="0" w:afterAutospacing="0"/>
        <w:jc w:val="left"/>
        <w:rPr>
          <w:rFonts w:eastAsia="MS Mincho"/>
          <w:u w:val="single"/>
          <w:lang w:val="en-US"/>
        </w:rPr>
      </w:pPr>
      <w:r>
        <w:rPr>
          <w:kern w:val="2"/>
          <w:lang w:eastAsia="zh-CN"/>
        </w:rPr>
        <w:t xml:space="preserve">Note: It is not expected that the </w:t>
      </w:r>
      <w:proofErr w:type="spellStart"/>
      <w:r>
        <w:rPr>
          <w:kern w:val="2"/>
          <w:lang w:eastAsia="zh-CN"/>
        </w:rPr>
        <w:t>eNB</w:t>
      </w:r>
      <w:proofErr w:type="spellEnd"/>
      <w:r>
        <w:rPr>
          <w:kern w:val="2"/>
          <w:lang w:eastAsia="zh-CN"/>
        </w:rPr>
        <w:t xml:space="preserve"> will often change between n+3 and n+4 scheduling timing</w:t>
      </w:r>
    </w:p>
    <w:p w:rsidR="00DD5C1C" w:rsidRPr="00DD5C1C" w:rsidRDefault="006B5D10" w:rsidP="007B4675">
      <w:pPr>
        <w:autoSpaceDE w:val="0"/>
        <w:autoSpaceDN w:val="0"/>
        <w:adjustRightInd w:val="0"/>
        <w:spacing w:before="100" w:beforeAutospacing="1"/>
        <w:rPr>
          <w:rFonts w:cs="Arial"/>
          <w:szCs w:val="24"/>
          <w:lang w:val="en-US" w:eastAsia="zh-CN"/>
        </w:rPr>
      </w:pPr>
      <w:r>
        <w:t xml:space="preserve">If a serving cell supports both legacy and </w:t>
      </w:r>
      <w:r w:rsidR="00F63A3F">
        <w:t>shortened</w:t>
      </w:r>
      <w:r>
        <w:t xml:space="preserve"> processing times, there are some coexistence issues. </w:t>
      </w:r>
      <w:r>
        <w:rPr>
          <w:rFonts w:cs="Arial"/>
          <w:szCs w:val="24"/>
          <w:lang w:eastAsia="zh-CN"/>
        </w:rPr>
        <w:t>I</w:t>
      </w:r>
      <w:r w:rsidR="007B4675" w:rsidRPr="00E513A5">
        <w:rPr>
          <w:rFonts w:cs="Arial"/>
          <w:szCs w:val="24"/>
          <w:lang w:eastAsia="zh-CN"/>
        </w:rPr>
        <w:t xml:space="preserve">n this </w:t>
      </w:r>
      <w:r w:rsidR="007B4675">
        <w:rPr>
          <w:rFonts w:cs="Arial"/>
          <w:szCs w:val="24"/>
          <w:lang w:eastAsia="zh-CN"/>
        </w:rPr>
        <w:t xml:space="preserve">contribution, we analyse potential impacts of </w:t>
      </w:r>
      <w:r w:rsidR="007B4675" w:rsidRPr="00E513A5">
        <w:rPr>
          <w:rFonts w:cs="Arial"/>
          <w:szCs w:val="24"/>
          <w:lang w:eastAsia="zh-CN"/>
        </w:rPr>
        <w:t>proc</w:t>
      </w:r>
      <w:bookmarkStart w:id="4" w:name="_GoBack"/>
      <w:bookmarkEnd w:id="4"/>
      <w:r w:rsidR="007B4675" w:rsidRPr="00E513A5">
        <w:rPr>
          <w:rFonts w:cs="Arial"/>
          <w:szCs w:val="24"/>
          <w:lang w:eastAsia="zh-CN"/>
        </w:rPr>
        <w:t>essing</w:t>
      </w:r>
      <w:r w:rsidR="007B4675">
        <w:rPr>
          <w:rFonts w:cs="Arial"/>
          <w:szCs w:val="24"/>
          <w:lang w:eastAsia="zh-CN"/>
        </w:rPr>
        <w:t xml:space="preserve"> time reduction on PDSCH </w:t>
      </w:r>
      <w:r w:rsidR="00C94A03">
        <w:rPr>
          <w:rFonts w:cs="Arial"/>
          <w:szCs w:val="24"/>
          <w:lang w:eastAsia="zh-CN"/>
        </w:rPr>
        <w:t>HARQ-ACK reporting from the UE’s perspective</w:t>
      </w:r>
      <w:r w:rsidR="007B4675">
        <w:rPr>
          <w:rFonts w:cs="Arial"/>
          <w:szCs w:val="24"/>
          <w:lang w:eastAsia="zh-CN"/>
        </w:rPr>
        <w:t>.</w:t>
      </w:r>
      <w:r w:rsidR="007B4675" w:rsidRPr="00E513A5">
        <w:rPr>
          <w:rFonts w:cs="Arial"/>
          <w:szCs w:val="24"/>
          <w:lang w:eastAsia="zh-CN"/>
        </w:rPr>
        <w:t xml:space="preserve"> </w:t>
      </w:r>
    </w:p>
    <w:p w:rsidR="00071C41" w:rsidRDefault="006B5D10" w:rsidP="006B5D10">
      <w:pPr>
        <w:pStyle w:val="Heading1"/>
        <w:spacing w:after="180"/>
      </w:pPr>
      <w:r>
        <w:t xml:space="preserve">HARQ-ACK collision between different </w:t>
      </w:r>
      <w:r w:rsidR="00071C41">
        <w:t xml:space="preserve">UEs </w:t>
      </w:r>
    </w:p>
    <w:p w:rsidR="008B1559" w:rsidRDefault="00C82B71" w:rsidP="00C82B71">
      <w:pPr>
        <w:autoSpaceDE w:val="0"/>
        <w:autoSpaceDN w:val="0"/>
        <w:adjustRightInd w:val="0"/>
        <w:spacing w:before="100" w:beforeAutospacing="1"/>
      </w:pPr>
      <w:r>
        <w:t xml:space="preserve">In LTE, the PUCCH format 1a/1b resource for HARQ-ACK feedback is implicitly determined based on the </w:t>
      </w:r>
      <w:r w:rsidRPr="00C82B71">
        <w:t>lowest CCE ind</w:t>
      </w:r>
      <w:r>
        <w:t xml:space="preserve">ex used to construct the PDCCH for a given PDSCH. If the </w:t>
      </w:r>
      <w:r w:rsidR="00BB753F">
        <w:t>same</w:t>
      </w:r>
      <w:r>
        <w:t xml:space="preserve"> implicit PUCCH resource mapping is applied</w:t>
      </w:r>
      <w:r w:rsidR="00BB753F">
        <w:t xml:space="preserve"> for 1ms TTI with shorten processing time</w:t>
      </w:r>
      <w:r>
        <w:t xml:space="preserve">, </w:t>
      </w:r>
      <w:r w:rsidR="00F00380">
        <w:t xml:space="preserve">a UE with legacy processing time and a UE with </w:t>
      </w:r>
      <w:r w:rsidR="00365618">
        <w:t>shorten</w:t>
      </w:r>
      <w:r w:rsidR="00F00380">
        <w:t xml:space="preserve"> processing time may report HARQ-ACK in the same PUCCH resource </w:t>
      </w:r>
      <w:r>
        <w:t xml:space="preserve">of the same subframe, </w:t>
      </w:r>
      <w:r w:rsidR="00E4667D">
        <w:t>as shown in Figure 1.</w:t>
      </w:r>
      <w:r w:rsidR="00071C41">
        <w:t xml:space="preserve"> </w:t>
      </w:r>
      <w:r w:rsidR="00BB753F">
        <w:t>S</w:t>
      </w:r>
      <w:r w:rsidR="007A42BC">
        <w:t xml:space="preserve">ome methods should be defined to avoid </w:t>
      </w:r>
      <w:r w:rsidR="00071C41">
        <w:t xml:space="preserve">PUCCH resource collision. </w:t>
      </w:r>
    </w:p>
    <w:p w:rsidR="00BB753F" w:rsidRDefault="00C4129A" w:rsidP="00F00380">
      <w:pPr>
        <w:autoSpaceDE w:val="0"/>
        <w:autoSpaceDN w:val="0"/>
        <w:adjustRightInd w:val="0"/>
        <w:spacing w:before="100" w:beforeAutospacing="1"/>
      </w:pPr>
      <w:r>
        <w:t>As a straightforward method</w:t>
      </w:r>
      <w:r w:rsidR="00C82B71">
        <w:t>, allocating s</w:t>
      </w:r>
      <w:r w:rsidR="00071C41">
        <w:t>eparate PUCCH resources for legacy tim</w:t>
      </w:r>
      <w:r w:rsidR="00C82B71">
        <w:t>ing</w:t>
      </w:r>
      <w:r w:rsidR="00071C41">
        <w:t xml:space="preserve"> and reduced processing tim</w:t>
      </w:r>
      <w:r w:rsidR="00C82B71">
        <w:t>ing can solve the issue. B</w:t>
      </w:r>
      <w:r w:rsidR="009C4CA1">
        <w:t>ut</w:t>
      </w:r>
      <w:r w:rsidR="00C82B71">
        <w:t>,</w:t>
      </w:r>
      <w:r w:rsidR="009C4CA1">
        <w:t xml:space="preserve"> it introduces more </w:t>
      </w:r>
      <w:r w:rsidR="00071C41">
        <w:t xml:space="preserve">PUCCH resource overhead. </w:t>
      </w:r>
    </w:p>
    <w:p w:rsidR="00071C41" w:rsidRDefault="00071C41" w:rsidP="00F00380">
      <w:pPr>
        <w:autoSpaceDE w:val="0"/>
        <w:autoSpaceDN w:val="0"/>
        <w:adjustRightInd w:val="0"/>
        <w:spacing w:before="100" w:beforeAutospacing="1"/>
      </w:pPr>
      <w:r>
        <w:t xml:space="preserve">Alternatively, </w:t>
      </w:r>
      <w:r w:rsidR="00C82B71">
        <w:t xml:space="preserve">reusing methods for similar issues can be considered. For example, adding ARO bits in the DCI format to indicate the PUCCH resource </w:t>
      </w:r>
      <w:r w:rsidR="007A42BC">
        <w:t xml:space="preserve">similar </w:t>
      </w:r>
      <w:r w:rsidR="00C82B71">
        <w:t>to E</w:t>
      </w:r>
      <w:r>
        <w:t xml:space="preserve">PDCCH scheduling. </w:t>
      </w:r>
    </w:p>
    <w:p w:rsidR="00BB753F" w:rsidRDefault="00BB753F" w:rsidP="00BB753F">
      <w:pPr>
        <w:autoSpaceDE w:val="0"/>
        <w:autoSpaceDN w:val="0"/>
        <w:adjustRightInd w:val="0"/>
        <w:spacing w:before="100" w:beforeAutospacing="1"/>
      </w:pPr>
      <w:r>
        <w:object w:dxaOrig="9379" w:dyaOrig="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129pt" o:ole="">
            <v:imagedata r:id="rId9" o:title=""/>
          </v:shape>
          <o:OLEObject Type="Embed" ProgID="Visio.Drawing.11" ShapeID="_x0000_i1025" DrawAspect="Content" ObjectID="_1547626271" r:id="rId10"/>
        </w:object>
      </w:r>
    </w:p>
    <w:p w:rsidR="00BB753F" w:rsidRDefault="00BB753F" w:rsidP="00BB753F">
      <w:pPr>
        <w:autoSpaceDE w:val="0"/>
        <w:autoSpaceDN w:val="0"/>
        <w:adjustRightInd w:val="0"/>
        <w:spacing w:before="100" w:beforeAutospacing="1"/>
      </w:pPr>
      <w:proofErr w:type="gramStart"/>
      <w:r>
        <w:t>Figure 1.</w:t>
      </w:r>
      <w:proofErr w:type="gramEnd"/>
      <w:r>
        <w:t xml:space="preserve"> Potential PUCCH collision issue between UEs with different processing times</w:t>
      </w:r>
    </w:p>
    <w:p w:rsidR="00A35B58" w:rsidRDefault="00A35B58" w:rsidP="00F00380">
      <w:pPr>
        <w:autoSpaceDE w:val="0"/>
        <w:autoSpaceDN w:val="0"/>
        <w:adjustRightInd w:val="0"/>
        <w:spacing w:before="100" w:beforeAutospacing="1"/>
      </w:pPr>
      <w:r w:rsidRPr="005575D0">
        <w:rPr>
          <w:b/>
        </w:rPr>
        <w:t xml:space="preserve">Proposal </w:t>
      </w:r>
      <w:r w:rsidR="006B5D10">
        <w:rPr>
          <w:b/>
        </w:rPr>
        <w:t>1</w:t>
      </w:r>
      <w:r w:rsidRPr="005575D0">
        <w:rPr>
          <w:b/>
        </w:rPr>
        <w:t xml:space="preserve">: </w:t>
      </w:r>
      <w:r>
        <w:rPr>
          <w:b/>
        </w:rPr>
        <w:t>Reuse ARO as in EPDCCH scheduling for PDSCH with shorten processing time to avoid PUCCH resource collision</w:t>
      </w:r>
      <w:r w:rsidR="00BF1975">
        <w:rPr>
          <w:b/>
        </w:rPr>
        <w:t xml:space="preserve"> </w:t>
      </w:r>
      <w:r w:rsidR="00F50071">
        <w:rPr>
          <w:b/>
        </w:rPr>
        <w:t>of</w:t>
      </w:r>
      <w:r w:rsidR="00BF1975">
        <w:rPr>
          <w:b/>
        </w:rPr>
        <w:t xml:space="preserve"> different UEs</w:t>
      </w:r>
      <w:r w:rsidR="00BB753F">
        <w:rPr>
          <w:b/>
        </w:rPr>
        <w:t xml:space="preserve"> with different processing timings</w:t>
      </w:r>
      <w:r>
        <w:rPr>
          <w:b/>
        </w:rPr>
        <w:t>.</w:t>
      </w:r>
    </w:p>
    <w:p w:rsidR="00071C41" w:rsidRDefault="006B5D10" w:rsidP="006B5D10">
      <w:pPr>
        <w:pStyle w:val="Heading1"/>
        <w:spacing w:after="180"/>
      </w:pPr>
      <w:r>
        <w:t xml:space="preserve">HARQ-ACK </w:t>
      </w:r>
      <w:r w:rsidR="00930393">
        <w:t>collision</w:t>
      </w:r>
      <w:r>
        <w:t xml:space="preserve"> </w:t>
      </w:r>
      <w:r w:rsidR="001B76C8">
        <w:t>within</w:t>
      </w:r>
      <w:r w:rsidR="00930393">
        <w:t xml:space="preserve"> a </w:t>
      </w:r>
      <w:r>
        <w:t>UE</w:t>
      </w:r>
    </w:p>
    <w:p w:rsidR="00FF6EE1" w:rsidRDefault="00F00380" w:rsidP="00F00380">
      <w:pPr>
        <w:autoSpaceDE w:val="0"/>
        <w:autoSpaceDN w:val="0"/>
        <w:adjustRightInd w:val="0"/>
        <w:spacing w:before="100" w:beforeAutospacing="1"/>
      </w:pPr>
      <w:r>
        <w:t xml:space="preserve">Secondly, </w:t>
      </w:r>
      <w:r w:rsidR="001B76C8">
        <w:t xml:space="preserve">since </w:t>
      </w:r>
      <w:r w:rsidR="008B1559">
        <w:t xml:space="preserve">dynamic </w:t>
      </w:r>
      <w:r w:rsidR="00666E9D" w:rsidRPr="00B4290A">
        <w:rPr>
          <w:rFonts w:cs="Arial"/>
          <w:szCs w:val="24"/>
          <w:lang w:val="en-US" w:eastAsia="zh-CN"/>
        </w:rPr>
        <w:t xml:space="preserve">fallback </w:t>
      </w:r>
      <w:r w:rsidR="008B1559">
        <w:rPr>
          <w:rFonts w:cs="Arial"/>
          <w:szCs w:val="24"/>
          <w:lang w:val="en-US" w:eastAsia="zh-CN"/>
        </w:rPr>
        <w:t>to legacy timing</w:t>
      </w:r>
      <w:r w:rsidR="00A35B58">
        <w:t xml:space="preserve"> is supported</w:t>
      </w:r>
      <w:r w:rsidR="000065C4">
        <w:t xml:space="preserve">, e.g. </w:t>
      </w:r>
      <w:r w:rsidR="00930393">
        <w:t>through</w:t>
      </w:r>
      <w:r w:rsidR="000065C4">
        <w:t xml:space="preserve"> CSS scheduling</w:t>
      </w:r>
      <w:r w:rsidR="001B76C8">
        <w:t>,</w:t>
      </w:r>
      <w:r w:rsidR="00930393">
        <w:t xml:space="preserve"> </w:t>
      </w:r>
      <w:r>
        <w:t xml:space="preserve">a UE </w:t>
      </w:r>
      <w:r w:rsidR="00A35B58">
        <w:t xml:space="preserve">may </w:t>
      </w:r>
      <w:r>
        <w:t xml:space="preserve">perform legacy and </w:t>
      </w:r>
      <w:r w:rsidR="001B76C8">
        <w:t>shorten</w:t>
      </w:r>
      <w:r>
        <w:t xml:space="preserve"> processing times concurrently</w:t>
      </w:r>
      <w:r w:rsidR="00930393">
        <w:t xml:space="preserve">. </w:t>
      </w:r>
    </w:p>
    <w:p w:rsidR="006D02AA" w:rsidRDefault="00930393" w:rsidP="00F00380">
      <w:pPr>
        <w:autoSpaceDE w:val="0"/>
        <w:autoSpaceDN w:val="0"/>
        <w:adjustRightInd w:val="0"/>
        <w:spacing w:before="100" w:beforeAutospacing="1"/>
      </w:pPr>
      <w:r>
        <w:t>Thus</w:t>
      </w:r>
      <w:r w:rsidR="00F00380">
        <w:t xml:space="preserve">, a HARQ-ACK feedback of a PDSCH with legacy timing may </w:t>
      </w:r>
      <w:r w:rsidR="001B76C8">
        <w:t xml:space="preserve">occur in the same UL subframe as </w:t>
      </w:r>
      <w:r w:rsidR="00F00380">
        <w:t xml:space="preserve">a HARQ-ACK </w:t>
      </w:r>
      <w:r w:rsidR="001B76C8">
        <w:t xml:space="preserve">feedback </w:t>
      </w:r>
      <w:r w:rsidR="00F00380">
        <w:t xml:space="preserve">of a PDSCH transmission with reduced processing timing. </w:t>
      </w:r>
      <w:r w:rsidR="004F42F2">
        <w:t>This applies to HARQ-ACK reporting on both PUCCH and PUSCH.</w:t>
      </w:r>
    </w:p>
    <w:p w:rsidR="00FF6EE1" w:rsidRDefault="00071C41" w:rsidP="00F00380">
      <w:pPr>
        <w:autoSpaceDE w:val="0"/>
        <w:autoSpaceDN w:val="0"/>
        <w:adjustRightInd w:val="0"/>
        <w:spacing w:before="100" w:beforeAutospacing="1"/>
      </w:pPr>
      <w:r>
        <w:t>For example</w:t>
      </w:r>
      <w:r w:rsidR="00DE3DF8">
        <w:t xml:space="preserve"> in Figure 2</w:t>
      </w:r>
      <w:r>
        <w:t xml:space="preserve">, </w:t>
      </w:r>
      <w:r w:rsidR="0076768C">
        <w:t xml:space="preserve">if </w:t>
      </w:r>
      <w:r w:rsidR="00E4667D">
        <w:t>a</w:t>
      </w:r>
      <w:r w:rsidR="0076768C">
        <w:t xml:space="preserve"> UE </w:t>
      </w:r>
      <w:r>
        <w:t xml:space="preserve">detects a PDSCH scheduled in CSS in subframe n-4, </w:t>
      </w:r>
      <w:r w:rsidR="00E56AE0">
        <w:t xml:space="preserve">the HARQ-ACK of this subframe should be reported in subframe n </w:t>
      </w:r>
      <w:r w:rsidR="00E4667D">
        <w:t xml:space="preserve">on an implicitly mapped PUCCH resource. If the UE is configured with shortened processing time of n-3, and it also detects </w:t>
      </w:r>
      <w:r>
        <w:t>a PDSCH s</w:t>
      </w:r>
      <w:r w:rsidR="00E56AE0">
        <w:t xml:space="preserve">cheduled in USS in subframe n-3, the HARQ-ACK of </w:t>
      </w:r>
      <w:r w:rsidR="00E4667D">
        <w:t xml:space="preserve">the given subframe should also be reported in subframe </w:t>
      </w:r>
      <w:r w:rsidR="00E4667D" w:rsidRPr="000065C4">
        <w:t>n</w:t>
      </w:r>
      <w:r w:rsidR="00E4667D">
        <w:t xml:space="preserve"> probably on a different implicitly mapped PUCCH resource. </w:t>
      </w:r>
    </w:p>
    <w:p w:rsidR="00C4129A" w:rsidRDefault="00C4129A" w:rsidP="00C4129A">
      <w:pPr>
        <w:autoSpaceDE w:val="0"/>
        <w:autoSpaceDN w:val="0"/>
        <w:adjustRightInd w:val="0"/>
        <w:spacing w:before="100" w:beforeAutospacing="1"/>
      </w:pPr>
      <w:r>
        <w:object w:dxaOrig="9784" w:dyaOrig="2575">
          <v:shape id="_x0000_i1026" type="#_x0000_t75" style="width:489pt;height:129pt" o:ole="">
            <v:imagedata r:id="rId11" o:title=""/>
          </v:shape>
          <o:OLEObject Type="Embed" ProgID="Visio.Drawing.11" ShapeID="_x0000_i1026" DrawAspect="Content" ObjectID="_1547626272" r:id="rId12"/>
        </w:object>
      </w:r>
    </w:p>
    <w:p w:rsidR="00C4129A" w:rsidRDefault="00C4129A" w:rsidP="00C4129A">
      <w:pPr>
        <w:autoSpaceDE w:val="0"/>
        <w:autoSpaceDN w:val="0"/>
        <w:adjustRightInd w:val="0"/>
        <w:spacing w:before="100" w:beforeAutospacing="1"/>
      </w:pPr>
      <w:proofErr w:type="gramStart"/>
      <w:r>
        <w:t>Figure 2.</w:t>
      </w:r>
      <w:proofErr w:type="gramEnd"/>
      <w:r>
        <w:t xml:space="preserve"> HARQ-ACK of subframes with different processing times in a UE</w:t>
      </w:r>
    </w:p>
    <w:p w:rsidR="00FF6EE1" w:rsidRDefault="00FF6EE1" w:rsidP="00A05F44">
      <w:pPr>
        <w:autoSpaceDE w:val="0"/>
        <w:autoSpaceDN w:val="0"/>
        <w:adjustRightInd w:val="0"/>
        <w:spacing w:before="100" w:beforeAutospacing="1"/>
      </w:pPr>
      <w:r>
        <w:t xml:space="preserve">In this case, two set of HARQ-ACK feedback need to be reported on two PUCCH resources. </w:t>
      </w:r>
      <w:r w:rsidR="00E4667D">
        <w:t xml:space="preserve">How to handle HARQ-ACK bits of multiple subframes in a single </w:t>
      </w:r>
      <w:r w:rsidR="00961448">
        <w:t>subframe</w:t>
      </w:r>
      <w:r w:rsidR="00E4667D">
        <w:t xml:space="preserve"> should be further studied. </w:t>
      </w:r>
    </w:p>
    <w:p w:rsidR="00930393" w:rsidRDefault="00FF6EE1" w:rsidP="00A05F44">
      <w:pPr>
        <w:autoSpaceDE w:val="0"/>
        <w:autoSpaceDN w:val="0"/>
        <w:adjustRightInd w:val="0"/>
        <w:spacing w:before="100" w:beforeAutospacing="1"/>
      </w:pPr>
      <w:r>
        <w:t xml:space="preserve">Several ways can be </w:t>
      </w:r>
      <w:r w:rsidR="00961448">
        <w:t>considered</w:t>
      </w:r>
      <w:r>
        <w:t xml:space="preserve"> to handle the HARQ-ACK collision issue within a UE.</w:t>
      </w:r>
    </w:p>
    <w:p w:rsidR="00CD681F" w:rsidRDefault="00930393" w:rsidP="00A05F44">
      <w:pPr>
        <w:autoSpaceDE w:val="0"/>
        <w:autoSpaceDN w:val="0"/>
        <w:adjustRightInd w:val="0"/>
        <w:spacing w:before="100" w:beforeAutospacing="1"/>
      </w:pPr>
      <w:r w:rsidRPr="00AF357F">
        <w:rPr>
          <w:b/>
        </w:rPr>
        <w:lastRenderedPageBreak/>
        <w:t>Method 1:</w:t>
      </w:r>
      <w:r>
        <w:t xml:space="preserve"> RAN1 may leave it as a </w:t>
      </w:r>
      <w:r w:rsidR="00F05E7B">
        <w:t xml:space="preserve">scheduling or an </w:t>
      </w:r>
      <w:r>
        <w:t>implementation issue</w:t>
      </w:r>
      <w:r w:rsidR="00F60398">
        <w:t xml:space="preserve">. </w:t>
      </w:r>
    </w:p>
    <w:p w:rsidR="00930393" w:rsidRDefault="00F60398" w:rsidP="00A05F44">
      <w:pPr>
        <w:autoSpaceDE w:val="0"/>
        <w:autoSpaceDN w:val="0"/>
        <w:adjustRightInd w:val="0"/>
        <w:spacing w:before="100" w:beforeAutospacing="1"/>
      </w:pPr>
      <w:r>
        <w:t>T</w:t>
      </w:r>
      <w:r w:rsidR="00930393">
        <w:t xml:space="preserve">he </w:t>
      </w:r>
      <w:proofErr w:type="spellStart"/>
      <w:r w:rsidR="00930393">
        <w:t>eNB</w:t>
      </w:r>
      <w:proofErr w:type="spellEnd"/>
      <w:r w:rsidR="00930393">
        <w:t xml:space="preserve"> could avoid the problem by some scheduling constraints</w:t>
      </w:r>
      <w:r>
        <w:t>.</w:t>
      </w:r>
      <w:r w:rsidR="000D4340">
        <w:t xml:space="preserve"> From the UE’s perspective, a UE should not expect to receive a scheduling DCI in certain subframes. However, the UE behaviour </w:t>
      </w:r>
      <w:r w:rsidR="00CC04B1">
        <w:t xml:space="preserve">is unclear </w:t>
      </w:r>
      <w:r w:rsidR="004F42F2">
        <w:t xml:space="preserve">in </w:t>
      </w:r>
      <w:r w:rsidR="000D4340">
        <w:t>the unexpected cases.</w:t>
      </w:r>
    </w:p>
    <w:p w:rsidR="00CD681F" w:rsidRDefault="00CD681F" w:rsidP="00A05F44">
      <w:pPr>
        <w:autoSpaceDE w:val="0"/>
        <w:autoSpaceDN w:val="0"/>
        <w:adjustRightInd w:val="0"/>
        <w:spacing w:before="100" w:beforeAutospacing="1"/>
        <w:rPr>
          <w:b/>
        </w:rPr>
      </w:pPr>
      <w:r>
        <w:rPr>
          <w:b/>
        </w:rPr>
        <w:t xml:space="preserve">Method 2: </w:t>
      </w:r>
      <w:r w:rsidRPr="00CD681F">
        <w:t>RAN1 specifies the UE behaviour in case of HARQ-ACK collision from a single cell</w:t>
      </w:r>
      <w:r>
        <w:rPr>
          <w:b/>
        </w:rPr>
        <w:t xml:space="preserve"> </w:t>
      </w:r>
    </w:p>
    <w:p w:rsidR="00CD681F" w:rsidRPr="00CD681F" w:rsidRDefault="00813C92" w:rsidP="00A05F44">
      <w:pPr>
        <w:autoSpaceDE w:val="0"/>
        <w:autoSpaceDN w:val="0"/>
        <w:adjustRightInd w:val="0"/>
        <w:spacing w:before="100" w:beforeAutospacing="1"/>
      </w:pPr>
      <w:r>
        <w:t xml:space="preserve">To avoid ambiguity, it is better to specify UE behaviour for the HARQ-ACK reporting collision case. </w:t>
      </w:r>
      <w:r w:rsidR="00CD681F">
        <w:t xml:space="preserve">RAN1 has different approaches </w:t>
      </w:r>
      <w:r w:rsidR="004F42F2">
        <w:t xml:space="preserve">to define the UE behaviour, e.g. prioritize one report, or perform HARQ-ACK bundling/multiplexing.  </w:t>
      </w:r>
    </w:p>
    <w:p w:rsidR="004F42F2" w:rsidRDefault="00CD681F" w:rsidP="00813C92">
      <w:pPr>
        <w:pStyle w:val="ListParagraph"/>
        <w:numPr>
          <w:ilvl w:val="0"/>
          <w:numId w:val="23"/>
        </w:numPr>
        <w:autoSpaceDE w:val="0"/>
        <w:autoSpaceDN w:val="0"/>
        <w:adjustRightInd w:val="0"/>
        <w:spacing w:before="100" w:beforeAutospacing="1"/>
        <w:ind w:leftChars="0"/>
      </w:pPr>
      <w:r w:rsidRPr="00813C92">
        <w:rPr>
          <w:b/>
        </w:rPr>
        <w:t>Approach 1</w:t>
      </w:r>
      <w:r w:rsidR="00930393" w:rsidRPr="00813C92">
        <w:rPr>
          <w:b/>
        </w:rPr>
        <w:t>:</w:t>
      </w:r>
      <w:r w:rsidR="00930393">
        <w:t xml:space="preserve"> </w:t>
      </w:r>
      <w:r w:rsidR="004F42F2">
        <w:t>HARQ-ACK reporting with prioritization</w:t>
      </w:r>
    </w:p>
    <w:p w:rsidR="00930393" w:rsidRDefault="00CD681F" w:rsidP="00A05F44">
      <w:pPr>
        <w:autoSpaceDE w:val="0"/>
        <w:autoSpaceDN w:val="0"/>
        <w:adjustRightInd w:val="0"/>
        <w:spacing w:before="100" w:beforeAutospacing="1"/>
      </w:pPr>
      <w:r>
        <w:t xml:space="preserve">To simplify the behaviour, </w:t>
      </w:r>
      <w:r w:rsidR="00930393">
        <w:t xml:space="preserve">UE </w:t>
      </w:r>
      <w:r w:rsidR="00AF357F">
        <w:t>only re</w:t>
      </w:r>
      <w:r w:rsidR="00930393">
        <w:t>port</w:t>
      </w:r>
      <w:r w:rsidR="00AF357F">
        <w:t>s</w:t>
      </w:r>
      <w:r w:rsidR="00930393">
        <w:t xml:space="preserve"> </w:t>
      </w:r>
      <w:r w:rsidR="00AF357F">
        <w:t xml:space="preserve">HARQ-ACK for </w:t>
      </w:r>
      <w:r w:rsidR="00930393">
        <w:t>one of the PDSCH transmissions. For example, the UE report</w:t>
      </w:r>
      <w:r w:rsidR="00AF357F">
        <w:t>s</w:t>
      </w:r>
      <w:r w:rsidR="00930393">
        <w:t xml:space="preserve"> only the </w:t>
      </w:r>
      <w:r w:rsidR="00AF357F">
        <w:t xml:space="preserve">HARQ-ACK of </w:t>
      </w:r>
      <w:r w:rsidR="00930393">
        <w:t>PDSCH with reduced processing timing and ignore the PDSCH with legacy timing.</w:t>
      </w:r>
    </w:p>
    <w:p w:rsidR="00FB121C" w:rsidRDefault="00CD681F" w:rsidP="00813C92">
      <w:pPr>
        <w:pStyle w:val="ListParagraph"/>
        <w:numPr>
          <w:ilvl w:val="0"/>
          <w:numId w:val="23"/>
        </w:numPr>
        <w:autoSpaceDE w:val="0"/>
        <w:autoSpaceDN w:val="0"/>
        <w:adjustRightInd w:val="0"/>
        <w:spacing w:before="100" w:beforeAutospacing="1"/>
        <w:ind w:leftChars="0"/>
      </w:pPr>
      <w:r w:rsidRPr="00813C92">
        <w:rPr>
          <w:b/>
        </w:rPr>
        <w:t>Approach 2</w:t>
      </w:r>
      <w:r w:rsidR="00930393" w:rsidRPr="00813C92">
        <w:rPr>
          <w:b/>
        </w:rPr>
        <w:t>:</w:t>
      </w:r>
      <w:r w:rsidR="00930393">
        <w:t xml:space="preserve"> </w:t>
      </w:r>
      <w:r w:rsidR="00FB121C">
        <w:t xml:space="preserve">HARQ-ACK multiplexing </w:t>
      </w:r>
      <w:r w:rsidR="00813C92">
        <w:t>or bundling</w:t>
      </w:r>
    </w:p>
    <w:p w:rsidR="004F42F2" w:rsidRDefault="00813C92" w:rsidP="00A05F44">
      <w:pPr>
        <w:autoSpaceDE w:val="0"/>
        <w:autoSpaceDN w:val="0"/>
        <w:adjustRightInd w:val="0"/>
        <w:spacing w:before="100" w:beforeAutospacing="1"/>
      </w:pPr>
      <w:r>
        <w:t xml:space="preserve">Although </w:t>
      </w:r>
      <w:r w:rsidRPr="00CD681F">
        <w:t>reporting HARQ-ACK of multiple TTI</w:t>
      </w:r>
      <w:r>
        <w:t>s</w:t>
      </w:r>
      <w:r w:rsidRPr="00CD681F">
        <w:t xml:space="preserve"> of a single cell is </w:t>
      </w:r>
      <w:r>
        <w:t xml:space="preserve">not currently supported for FDD LTE, it is </w:t>
      </w:r>
      <w:r w:rsidRPr="00CD681F">
        <w:t xml:space="preserve">a common </w:t>
      </w:r>
      <w:r>
        <w:t>case</w:t>
      </w:r>
      <w:r w:rsidRPr="00CD681F">
        <w:t xml:space="preserve"> in TDD LTE.</w:t>
      </w:r>
      <w:r>
        <w:t xml:space="preserve"> </w:t>
      </w:r>
      <w:r w:rsidR="00CD681F">
        <w:t xml:space="preserve">To maximize the HARQ-ACK feedback efficiency, </w:t>
      </w:r>
      <w:r w:rsidR="00AF357F">
        <w:t>UE performs H</w:t>
      </w:r>
      <w:r w:rsidR="00930393">
        <w:t xml:space="preserve">ARQ-ACK </w:t>
      </w:r>
      <w:r>
        <w:t>multiplexing o</w:t>
      </w:r>
      <w:r w:rsidR="00930393">
        <w:t>r bundling</w:t>
      </w:r>
      <w:r w:rsidR="00AF357F">
        <w:t xml:space="preserve">, and reports </w:t>
      </w:r>
      <w:r w:rsidR="00930393">
        <w:t xml:space="preserve">HARQ-ACK bits of all PDSCHs in </w:t>
      </w:r>
      <w:r w:rsidR="00AF357F">
        <w:t>a</w:t>
      </w:r>
      <w:r w:rsidR="00930393">
        <w:t xml:space="preserve"> </w:t>
      </w:r>
      <w:r w:rsidR="00AF357F">
        <w:t xml:space="preserve">single </w:t>
      </w:r>
      <w:r w:rsidR="00930393">
        <w:t>PUCCH</w:t>
      </w:r>
      <w:r w:rsidR="00AF6712">
        <w:t xml:space="preserve"> or PUSCH</w:t>
      </w:r>
      <w:r w:rsidR="00AF357F">
        <w:t xml:space="preserve"> reporting</w:t>
      </w:r>
      <w:r w:rsidR="00930393">
        <w:t xml:space="preserve">. </w:t>
      </w:r>
      <w:r w:rsidR="00AF6712">
        <w:t xml:space="preserve">For example, the HARQ-ACK of the PDSCHs </w:t>
      </w:r>
      <w:r>
        <w:t xml:space="preserve">in each subframe </w:t>
      </w:r>
      <w:r w:rsidR="00AF6712">
        <w:t xml:space="preserve">can </w:t>
      </w:r>
      <w:r w:rsidR="00AF357F">
        <w:t xml:space="preserve">be </w:t>
      </w:r>
      <w:r w:rsidR="00AF6712">
        <w:t>spatial bundl</w:t>
      </w:r>
      <w:r w:rsidR="00AF357F">
        <w:t>ed</w:t>
      </w:r>
      <w:r w:rsidR="00AF6712">
        <w:t xml:space="preserve"> </w:t>
      </w:r>
      <w:r>
        <w:t>first, then multiplexed together</w:t>
      </w:r>
      <w:r w:rsidR="00AF6712">
        <w:t xml:space="preserve">, </w:t>
      </w:r>
      <w:r>
        <w:t xml:space="preserve">and </w:t>
      </w:r>
      <w:r w:rsidR="00AF357F">
        <w:t xml:space="preserve">be </w:t>
      </w:r>
      <w:r w:rsidR="00AF6712">
        <w:t>report</w:t>
      </w:r>
      <w:r w:rsidR="00AF357F">
        <w:t>ed</w:t>
      </w:r>
      <w:r w:rsidR="00AF6712">
        <w:t xml:space="preserve"> on the PUCCH resource of the PDSCH with reduced processing time.</w:t>
      </w:r>
      <w:r w:rsidR="00CD681F">
        <w:t xml:space="preserve"> The TDD LTE methods may be used as a reference for HARQ-ACK bundling and multiplexing design.</w:t>
      </w:r>
      <w:r w:rsidR="004F42F2" w:rsidRPr="004F42F2">
        <w:t xml:space="preserve"> </w:t>
      </w:r>
    </w:p>
    <w:p w:rsidR="006D02AA" w:rsidRDefault="006D02AA" w:rsidP="006D02AA">
      <w:pPr>
        <w:autoSpaceDE w:val="0"/>
        <w:autoSpaceDN w:val="0"/>
        <w:adjustRightInd w:val="0"/>
        <w:spacing w:before="100" w:beforeAutospacing="1"/>
        <w:rPr>
          <w:b/>
        </w:rPr>
      </w:pPr>
      <w:r w:rsidRPr="00A35B58">
        <w:rPr>
          <w:b/>
        </w:rPr>
        <w:t xml:space="preserve">Proposal </w:t>
      </w:r>
      <w:r>
        <w:rPr>
          <w:b/>
        </w:rPr>
        <w:t>2</w:t>
      </w:r>
      <w:r w:rsidRPr="00A35B58">
        <w:rPr>
          <w:b/>
        </w:rPr>
        <w:t xml:space="preserve">: RAN1 should </w:t>
      </w:r>
      <w:r w:rsidR="00F60398">
        <w:rPr>
          <w:b/>
        </w:rPr>
        <w:t xml:space="preserve">specify the UE behaviour for </w:t>
      </w:r>
      <w:r w:rsidRPr="00A35B58">
        <w:rPr>
          <w:b/>
        </w:rPr>
        <w:t xml:space="preserve">HARQ-ACK reporting </w:t>
      </w:r>
      <w:r w:rsidR="00F60398">
        <w:rPr>
          <w:b/>
        </w:rPr>
        <w:t>of</w:t>
      </w:r>
      <w:r w:rsidRPr="00A35B58">
        <w:rPr>
          <w:b/>
        </w:rPr>
        <w:t xml:space="preserve"> multiple subframes </w:t>
      </w:r>
      <w:r>
        <w:rPr>
          <w:b/>
        </w:rPr>
        <w:t>with different processing times</w:t>
      </w:r>
      <w:r w:rsidR="00F60398">
        <w:rPr>
          <w:b/>
        </w:rPr>
        <w:t xml:space="preserve"> in a serving cell.</w:t>
      </w:r>
    </w:p>
    <w:p w:rsidR="00A23C2E" w:rsidRDefault="00A23C2E" w:rsidP="00A23C2E">
      <w:pPr>
        <w:pStyle w:val="Heading1"/>
        <w:spacing w:after="180"/>
        <w:rPr>
          <w:lang w:val="en-US" w:eastAsia="zh-CN"/>
        </w:rPr>
      </w:pPr>
      <w:r>
        <w:rPr>
          <w:lang w:val="en-US" w:eastAsia="zh-CN"/>
        </w:rPr>
        <w:t>Conclusion</w:t>
      </w:r>
    </w:p>
    <w:p w:rsidR="005C34F8" w:rsidRDefault="005C34F8" w:rsidP="005C34F8">
      <w:pPr>
        <w:autoSpaceDE w:val="0"/>
        <w:autoSpaceDN w:val="0"/>
        <w:adjustRightInd w:val="0"/>
        <w:spacing w:before="100" w:beforeAutospacing="1"/>
        <w:rPr>
          <w:rFonts w:cs="Arial"/>
          <w:b/>
          <w:szCs w:val="24"/>
          <w:lang w:val="en-US" w:eastAsia="zh-CN"/>
        </w:rPr>
      </w:pPr>
      <w:r w:rsidRPr="005C34F8">
        <w:rPr>
          <w:rFonts w:cs="Arial"/>
          <w:szCs w:val="24"/>
          <w:lang w:val="en-US" w:eastAsia="zh-CN"/>
        </w:rPr>
        <w:t xml:space="preserve">In this contribution, we </w:t>
      </w:r>
      <w:r w:rsidR="00C94A03">
        <w:rPr>
          <w:rFonts w:cs="Arial"/>
          <w:szCs w:val="24"/>
          <w:lang w:val="en-US" w:eastAsia="zh-CN"/>
        </w:rPr>
        <w:t xml:space="preserve">discuss </w:t>
      </w:r>
      <w:r>
        <w:rPr>
          <w:rFonts w:cs="Arial"/>
          <w:szCs w:val="24"/>
          <w:lang w:val="en-US" w:eastAsia="zh-CN"/>
        </w:rPr>
        <w:t xml:space="preserve">potential </w:t>
      </w:r>
      <w:r w:rsidR="008B1559">
        <w:rPr>
          <w:rFonts w:cs="Arial"/>
          <w:szCs w:val="24"/>
          <w:lang w:val="en-US" w:eastAsia="zh-CN"/>
        </w:rPr>
        <w:t xml:space="preserve">HARQ-ACK reporting </w:t>
      </w:r>
      <w:r>
        <w:rPr>
          <w:rFonts w:cs="Arial"/>
          <w:szCs w:val="24"/>
          <w:lang w:val="en-US" w:eastAsia="zh-CN"/>
        </w:rPr>
        <w:t xml:space="preserve">issues </w:t>
      </w:r>
      <w:r w:rsidR="00C94A03">
        <w:rPr>
          <w:rFonts w:cs="Arial"/>
          <w:szCs w:val="24"/>
          <w:lang w:val="en-US" w:eastAsia="zh-CN"/>
        </w:rPr>
        <w:t xml:space="preserve">for </w:t>
      </w:r>
      <w:r>
        <w:rPr>
          <w:rFonts w:cs="Arial"/>
          <w:szCs w:val="24"/>
          <w:lang w:val="en-US" w:eastAsia="zh-CN"/>
        </w:rPr>
        <w:t xml:space="preserve">coexistence of legacy and </w:t>
      </w:r>
      <w:r w:rsidR="00BB753F">
        <w:rPr>
          <w:rFonts w:cs="Arial"/>
          <w:szCs w:val="24"/>
          <w:lang w:val="en-US" w:eastAsia="zh-CN"/>
        </w:rPr>
        <w:t>shorten</w:t>
      </w:r>
      <w:r>
        <w:rPr>
          <w:rFonts w:cs="Arial"/>
          <w:szCs w:val="24"/>
          <w:lang w:val="en-US" w:eastAsia="zh-CN"/>
        </w:rPr>
        <w:t xml:space="preserve"> processing timings. And we propose</w:t>
      </w:r>
    </w:p>
    <w:p w:rsidR="00BB753F" w:rsidRDefault="00BB753F" w:rsidP="00BB753F">
      <w:pPr>
        <w:autoSpaceDE w:val="0"/>
        <w:autoSpaceDN w:val="0"/>
        <w:adjustRightInd w:val="0"/>
        <w:spacing w:before="100" w:beforeAutospacing="1"/>
      </w:pPr>
      <w:r w:rsidRPr="005575D0">
        <w:rPr>
          <w:b/>
        </w:rPr>
        <w:t xml:space="preserve">Proposal </w:t>
      </w:r>
      <w:r>
        <w:rPr>
          <w:b/>
        </w:rPr>
        <w:t>1</w:t>
      </w:r>
      <w:r w:rsidRPr="005575D0">
        <w:rPr>
          <w:b/>
        </w:rPr>
        <w:t xml:space="preserve">: </w:t>
      </w:r>
      <w:r>
        <w:rPr>
          <w:b/>
        </w:rPr>
        <w:t>Reuse ARO as in EPDCCH scheduling for PDSCH with shorten processing time to avoid PUCCH resource collision of different UEs with different processing timings.</w:t>
      </w:r>
    </w:p>
    <w:p w:rsidR="004F1AE8" w:rsidRPr="00A35B58" w:rsidRDefault="004F1AE8" w:rsidP="004F1AE8">
      <w:pPr>
        <w:autoSpaceDE w:val="0"/>
        <w:autoSpaceDN w:val="0"/>
        <w:adjustRightInd w:val="0"/>
        <w:spacing w:before="100" w:beforeAutospacing="1"/>
        <w:rPr>
          <w:b/>
        </w:rPr>
      </w:pPr>
      <w:r w:rsidRPr="00A35B58">
        <w:rPr>
          <w:b/>
        </w:rPr>
        <w:t xml:space="preserve">Proposal </w:t>
      </w:r>
      <w:r>
        <w:rPr>
          <w:b/>
        </w:rPr>
        <w:t>2</w:t>
      </w:r>
      <w:r w:rsidRPr="00A35B58">
        <w:rPr>
          <w:b/>
        </w:rPr>
        <w:t xml:space="preserve">: RAN1 should </w:t>
      </w:r>
      <w:r>
        <w:rPr>
          <w:b/>
        </w:rPr>
        <w:t xml:space="preserve">specify the UE behaviour for </w:t>
      </w:r>
      <w:r w:rsidRPr="00A35B58">
        <w:rPr>
          <w:b/>
        </w:rPr>
        <w:t xml:space="preserve">HARQ-ACK reporting </w:t>
      </w:r>
      <w:r>
        <w:rPr>
          <w:b/>
        </w:rPr>
        <w:t>of</w:t>
      </w:r>
      <w:r w:rsidRPr="00A35B58">
        <w:rPr>
          <w:b/>
        </w:rPr>
        <w:t xml:space="preserve"> multiple subframes </w:t>
      </w:r>
      <w:r>
        <w:rPr>
          <w:b/>
        </w:rPr>
        <w:t>with different processing times in a serving cell.</w:t>
      </w: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4F1AE8" w:rsidRPr="008D787C" w:rsidRDefault="004F1AE8" w:rsidP="004F1AE8">
      <w:pPr>
        <w:pStyle w:val="textintend2"/>
        <w:widowControl w:val="0"/>
        <w:numPr>
          <w:ilvl w:val="0"/>
          <w:numId w:val="19"/>
        </w:numPr>
        <w:snapToGrid w:val="0"/>
        <w:ind w:left="720" w:hanging="720"/>
        <w:rPr>
          <w:lang w:val="en-GB"/>
        </w:rPr>
      </w:pPr>
      <w:r w:rsidRPr="008B21EF">
        <w:t>Chairman’s note</w:t>
      </w:r>
      <w:r w:rsidRPr="008B21EF">
        <w:rPr>
          <w:rFonts w:hint="eastAsia"/>
          <w:lang w:eastAsia="ja-JP"/>
        </w:rPr>
        <w:t xml:space="preserve"> </w:t>
      </w:r>
      <w:r w:rsidRPr="008B21EF">
        <w:t>RAN1 #8</w:t>
      </w:r>
      <w:r w:rsidR="00813C92">
        <w:t>7</w:t>
      </w:r>
      <w:r>
        <w:t>,</w:t>
      </w:r>
      <w:r w:rsidRPr="008B21EF">
        <w:t xml:space="preserve"> </w:t>
      </w:r>
      <w:r w:rsidR="00813C92">
        <w:t>Nov</w:t>
      </w:r>
      <w:r>
        <w:t xml:space="preserve"> </w:t>
      </w:r>
      <w:r w:rsidRPr="008B21EF">
        <w:t>201</w:t>
      </w:r>
      <w:r>
        <w:t>6</w:t>
      </w:r>
    </w:p>
    <w:p w:rsidR="004F1AE8" w:rsidRPr="008B1559" w:rsidRDefault="004F1AE8" w:rsidP="00CD681F">
      <w:pPr>
        <w:pStyle w:val="textintend2"/>
        <w:widowControl w:val="0"/>
        <w:numPr>
          <w:ilvl w:val="0"/>
          <w:numId w:val="0"/>
        </w:numPr>
        <w:snapToGrid w:val="0"/>
        <w:ind w:left="720"/>
        <w:rPr>
          <w:lang w:val="en-GB"/>
        </w:rPr>
      </w:pPr>
    </w:p>
    <w:sectPr w:rsidR="004F1AE8" w:rsidRPr="008B1559"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361" w:rsidRDefault="00AF4361">
      <w:r>
        <w:separator/>
      </w:r>
    </w:p>
  </w:endnote>
  <w:endnote w:type="continuationSeparator" w:id="0">
    <w:p w:rsidR="00AF4361" w:rsidRDefault="00AF4361">
      <w:r>
        <w:continuationSeparator/>
      </w:r>
    </w:p>
  </w:endnote>
  <w:endnote w:type="continuationNotice" w:id="1">
    <w:p w:rsidR="00AF4361" w:rsidRDefault="00AF4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52" w:rsidRDefault="00E37D88">
    <w:pPr>
      <w:pStyle w:val="Footer"/>
      <w:jc w:val="center"/>
    </w:pPr>
    <w:r>
      <w:rPr>
        <w:b/>
        <w:szCs w:val="24"/>
      </w:rPr>
      <w:fldChar w:fldCharType="begin"/>
    </w:r>
    <w:r w:rsidR="000F1B52">
      <w:rPr>
        <w:b/>
      </w:rPr>
      <w:instrText>PAGE</w:instrText>
    </w:r>
    <w:r>
      <w:rPr>
        <w:b/>
        <w:szCs w:val="24"/>
      </w:rPr>
      <w:fldChar w:fldCharType="separate"/>
    </w:r>
    <w:r w:rsidR="00F63A3F">
      <w:rPr>
        <w:b/>
        <w:noProof/>
      </w:rPr>
      <w:t>1</w:t>
    </w:r>
    <w:r>
      <w:rPr>
        <w:b/>
        <w:szCs w:val="24"/>
      </w:rPr>
      <w:fldChar w:fldCharType="end"/>
    </w:r>
  </w:p>
  <w:p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361" w:rsidRDefault="00AF4361">
      <w:r>
        <w:separator/>
      </w:r>
    </w:p>
  </w:footnote>
  <w:footnote w:type="continuationSeparator" w:id="0">
    <w:p w:rsidR="00AF4361" w:rsidRDefault="00AF4361">
      <w:r>
        <w:continuationSeparator/>
      </w:r>
    </w:p>
  </w:footnote>
  <w:footnote w:type="continuationNotice" w:id="1">
    <w:p w:rsidR="00AF4361" w:rsidRDefault="00AF436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01546A"/>
    <w:multiLevelType w:val="hybridMultilevel"/>
    <w:tmpl w:val="93F6D98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C638B6"/>
    <w:multiLevelType w:val="hybridMultilevel"/>
    <w:tmpl w:val="15969DC2"/>
    <w:lvl w:ilvl="0" w:tplc="40C89EB6">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nsid w:val="25A723A4"/>
    <w:multiLevelType w:val="hybridMultilevel"/>
    <w:tmpl w:val="06BCBCCE"/>
    <w:lvl w:ilvl="0" w:tplc="E782F888">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8">
    <w:nsid w:val="2FB87179"/>
    <w:multiLevelType w:val="hybridMultilevel"/>
    <w:tmpl w:val="07F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6">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7">
    <w:nsid w:val="6EC55644"/>
    <w:multiLevelType w:val="hybridMultilevel"/>
    <w:tmpl w:val="209EA418"/>
    <w:lvl w:ilvl="0" w:tplc="40C89EB6">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2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2"/>
  </w:num>
  <w:num w:numId="6">
    <w:abstractNumId w:val="13"/>
  </w:num>
  <w:num w:numId="7">
    <w:abstractNumId w:val="11"/>
  </w:num>
  <w:num w:numId="8">
    <w:abstractNumId w:val="3"/>
  </w:num>
  <w:num w:numId="9">
    <w:abstractNumId w:val="21"/>
  </w:num>
  <w:num w:numId="10">
    <w:abstractNumId w:val="9"/>
  </w:num>
  <w:num w:numId="11">
    <w:abstractNumId w:val="14"/>
  </w:num>
  <w:num w:numId="12">
    <w:abstractNumId w:val="7"/>
  </w:num>
  <w:num w:numId="13">
    <w:abstractNumId w:val="15"/>
  </w:num>
  <w:num w:numId="14">
    <w:abstractNumId w:val="19"/>
  </w:num>
  <w:num w:numId="15">
    <w:abstractNumId w:val="16"/>
  </w:num>
  <w:num w:numId="16">
    <w:abstractNumId w:val="1"/>
  </w:num>
  <w:num w:numId="17">
    <w:abstractNumId w:val="6"/>
  </w:num>
  <w:num w:numId="18">
    <w:abstractNumId w:val="5"/>
  </w:num>
  <w:num w:numId="19">
    <w:abstractNumId w:val="10"/>
  </w:num>
  <w:num w:numId="20">
    <w:abstractNumId w:val="8"/>
  </w:num>
  <w:num w:numId="21">
    <w:abstractNumId w:val="0"/>
  </w:num>
  <w:num w:numId="22">
    <w:abstractNumId w:val="17"/>
  </w:num>
  <w:num w:numId="23">
    <w:abstractNumId w:val="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5632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6A7"/>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1E9D"/>
    <w:rsid w:val="000D20DC"/>
    <w:rsid w:val="000D282D"/>
    <w:rsid w:val="000D4340"/>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0973"/>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3B28"/>
    <w:rsid w:val="001446BF"/>
    <w:rsid w:val="00144E44"/>
    <w:rsid w:val="00145356"/>
    <w:rsid w:val="00145562"/>
    <w:rsid w:val="00145C3D"/>
    <w:rsid w:val="001466A9"/>
    <w:rsid w:val="001468FE"/>
    <w:rsid w:val="00147588"/>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6C8"/>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7FA"/>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92E"/>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329"/>
    <w:rsid w:val="002318F9"/>
    <w:rsid w:val="002319BD"/>
    <w:rsid w:val="00231E1A"/>
    <w:rsid w:val="00232A8A"/>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1A7"/>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5D1B"/>
    <w:rsid w:val="00326020"/>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01C7"/>
    <w:rsid w:val="00361ACE"/>
    <w:rsid w:val="003620AC"/>
    <w:rsid w:val="0036284B"/>
    <w:rsid w:val="003631D8"/>
    <w:rsid w:val="00363843"/>
    <w:rsid w:val="00363E1A"/>
    <w:rsid w:val="00364804"/>
    <w:rsid w:val="00365618"/>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1A6"/>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179C"/>
    <w:rsid w:val="004F1AE8"/>
    <w:rsid w:val="004F1BDF"/>
    <w:rsid w:val="004F2BA7"/>
    <w:rsid w:val="004F36B4"/>
    <w:rsid w:val="004F3DBA"/>
    <w:rsid w:val="004F404D"/>
    <w:rsid w:val="004F42F2"/>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2525"/>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5E87"/>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5448"/>
    <w:rsid w:val="006362DD"/>
    <w:rsid w:val="0063636C"/>
    <w:rsid w:val="0063637D"/>
    <w:rsid w:val="0063720E"/>
    <w:rsid w:val="006373F4"/>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6E9D"/>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64EA"/>
    <w:rsid w:val="006967A0"/>
    <w:rsid w:val="0069799A"/>
    <w:rsid w:val="00697BCD"/>
    <w:rsid w:val="006A017A"/>
    <w:rsid w:val="006A11D9"/>
    <w:rsid w:val="006A260F"/>
    <w:rsid w:val="006A30CC"/>
    <w:rsid w:val="006A32DE"/>
    <w:rsid w:val="006A334E"/>
    <w:rsid w:val="006A3367"/>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4F92"/>
    <w:rsid w:val="006B57F1"/>
    <w:rsid w:val="006B5C1C"/>
    <w:rsid w:val="006B5D10"/>
    <w:rsid w:val="006B64AF"/>
    <w:rsid w:val="006B64E3"/>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2AA"/>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6EA7"/>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610"/>
    <w:rsid w:val="00756761"/>
    <w:rsid w:val="00757635"/>
    <w:rsid w:val="00760EEE"/>
    <w:rsid w:val="0076189D"/>
    <w:rsid w:val="00761A46"/>
    <w:rsid w:val="0076276A"/>
    <w:rsid w:val="00762A2C"/>
    <w:rsid w:val="00763155"/>
    <w:rsid w:val="007636E6"/>
    <w:rsid w:val="0076409D"/>
    <w:rsid w:val="00764425"/>
    <w:rsid w:val="007645DC"/>
    <w:rsid w:val="00764AB4"/>
    <w:rsid w:val="00764CAF"/>
    <w:rsid w:val="00764DFF"/>
    <w:rsid w:val="00764ED1"/>
    <w:rsid w:val="00765056"/>
    <w:rsid w:val="00766488"/>
    <w:rsid w:val="00766FE2"/>
    <w:rsid w:val="00767156"/>
    <w:rsid w:val="0076768C"/>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493"/>
    <w:rsid w:val="007B2997"/>
    <w:rsid w:val="007B2B22"/>
    <w:rsid w:val="007B2D0E"/>
    <w:rsid w:val="007B4675"/>
    <w:rsid w:val="007B4F2F"/>
    <w:rsid w:val="007B5548"/>
    <w:rsid w:val="007B55BA"/>
    <w:rsid w:val="007B75FB"/>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1CCE"/>
    <w:rsid w:val="00812408"/>
    <w:rsid w:val="00812D76"/>
    <w:rsid w:val="00812F00"/>
    <w:rsid w:val="00813670"/>
    <w:rsid w:val="0081367A"/>
    <w:rsid w:val="00813C92"/>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3B2F"/>
    <w:rsid w:val="00834781"/>
    <w:rsid w:val="00834A98"/>
    <w:rsid w:val="00835188"/>
    <w:rsid w:val="0083552C"/>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1FF6"/>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55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3BB"/>
    <w:rsid w:val="008D2E08"/>
    <w:rsid w:val="008D39C6"/>
    <w:rsid w:val="008D3FDC"/>
    <w:rsid w:val="008D4110"/>
    <w:rsid w:val="008D608A"/>
    <w:rsid w:val="008D6B14"/>
    <w:rsid w:val="008D6C30"/>
    <w:rsid w:val="008D74F4"/>
    <w:rsid w:val="008D7762"/>
    <w:rsid w:val="008D787C"/>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393"/>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1448"/>
    <w:rsid w:val="00961A0F"/>
    <w:rsid w:val="00962CFA"/>
    <w:rsid w:val="009635E9"/>
    <w:rsid w:val="00963666"/>
    <w:rsid w:val="00963E12"/>
    <w:rsid w:val="0096407B"/>
    <w:rsid w:val="009647C7"/>
    <w:rsid w:val="00964DF8"/>
    <w:rsid w:val="00965576"/>
    <w:rsid w:val="00965BB3"/>
    <w:rsid w:val="00966BD9"/>
    <w:rsid w:val="00967234"/>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0286"/>
    <w:rsid w:val="009C2050"/>
    <w:rsid w:val="009C27E1"/>
    <w:rsid w:val="009C2E84"/>
    <w:rsid w:val="009C32E0"/>
    <w:rsid w:val="009C34BF"/>
    <w:rsid w:val="009C38F5"/>
    <w:rsid w:val="009C4801"/>
    <w:rsid w:val="009C499E"/>
    <w:rsid w:val="009C4CA1"/>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5CB9"/>
    <w:rsid w:val="00A05DCC"/>
    <w:rsid w:val="00A05F44"/>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3E8"/>
    <w:rsid w:val="00A50BDA"/>
    <w:rsid w:val="00A51E38"/>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97C27"/>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57F"/>
    <w:rsid w:val="00AF3A82"/>
    <w:rsid w:val="00AF4361"/>
    <w:rsid w:val="00AF47BD"/>
    <w:rsid w:val="00AF66EC"/>
    <w:rsid w:val="00AF6712"/>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90A"/>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D1C"/>
    <w:rsid w:val="00BB213F"/>
    <w:rsid w:val="00BB282D"/>
    <w:rsid w:val="00BB2946"/>
    <w:rsid w:val="00BB2DC7"/>
    <w:rsid w:val="00BB30F7"/>
    <w:rsid w:val="00BB3798"/>
    <w:rsid w:val="00BB3A1E"/>
    <w:rsid w:val="00BB660D"/>
    <w:rsid w:val="00BB69CF"/>
    <w:rsid w:val="00BB703C"/>
    <w:rsid w:val="00BB753F"/>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1975"/>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29A"/>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2B71"/>
    <w:rsid w:val="00C83019"/>
    <w:rsid w:val="00C838BF"/>
    <w:rsid w:val="00C8458B"/>
    <w:rsid w:val="00C86A92"/>
    <w:rsid w:val="00C875DD"/>
    <w:rsid w:val="00C9011A"/>
    <w:rsid w:val="00C91FFC"/>
    <w:rsid w:val="00C93182"/>
    <w:rsid w:val="00C93613"/>
    <w:rsid w:val="00C93E47"/>
    <w:rsid w:val="00C940C5"/>
    <w:rsid w:val="00C9458D"/>
    <w:rsid w:val="00C94A03"/>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04B1"/>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81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73F2"/>
    <w:rsid w:val="00CE78B0"/>
    <w:rsid w:val="00CF0C4E"/>
    <w:rsid w:val="00CF0E9E"/>
    <w:rsid w:val="00CF12F8"/>
    <w:rsid w:val="00CF1AC9"/>
    <w:rsid w:val="00CF1C75"/>
    <w:rsid w:val="00CF2BFF"/>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2EE"/>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F45"/>
    <w:rsid w:val="00D75EA1"/>
    <w:rsid w:val="00D765E3"/>
    <w:rsid w:val="00D76D74"/>
    <w:rsid w:val="00D76FEF"/>
    <w:rsid w:val="00D7717A"/>
    <w:rsid w:val="00D8004F"/>
    <w:rsid w:val="00D817BD"/>
    <w:rsid w:val="00D824A7"/>
    <w:rsid w:val="00D824DA"/>
    <w:rsid w:val="00D829A6"/>
    <w:rsid w:val="00D829B7"/>
    <w:rsid w:val="00D82B2D"/>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580"/>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5C1C"/>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36"/>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37D88"/>
    <w:rsid w:val="00E40DA9"/>
    <w:rsid w:val="00E41140"/>
    <w:rsid w:val="00E412DB"/>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39D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5E7B"/>
    <w:rsid w:val="00F0639F"/>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071"/>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398"/>
    <w:rsid w:val="00F6076E"/>
    <w:rsid w:val="00F609BE"/>
    <w:rsid w:val="00F615D5"/>
    <w:rsid w:val="00F61CFE"/>
    <w:rsid w:val="00F61E53"/>
    <w:rsid w:val="00F62019"/>
    <w:rsid w:val="00F6204E"/>
    <w:rsid w:val="00F6288D"/>
    <w:rsid w:val="00F63A3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21C"/>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6EE1"/>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D247C-3AAB-44F0-BA0F-8217C1123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923</Words>
  <Characters>4813</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2017-02-03T19:24:00Z</dcterms:created>
  <dcterms:modified xsi:type="dcterms:W3CDTF">2017-02-03T19:24:00Z</dcterms:modified>
</cp:coreProperties>
</file>