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07C5C0" w14:textId="727CD4F9" w:rsidR="007829E1" w:rsidRDefault="007829E1" w:rsidP="007829E1">
      <w:pPr>
        <w:pStyle w:val="Header"/>
        <w:rPr>
          <w:bCs/>
          <w:noProof w:val="0"/>
          <w:sz w:val="24"/>
          <w:lang w:val="en-GB"/>
        </w:rPr>
      </w:pPr>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6C20B0" w:rsidRPr="006C20B0">
        <w:rPr>
          <w:bCs/>
          <w:noProof w:val="0"/>
          <w:sz w:val="24"/>
          <w:lang w:val="en-GB"/>
        </w:rPr>
        <w:t>R1-1703161</w:t>
      </w:r>
      <w:bookmarkStart w:id="0" w:name="_GoBack"/>
      <w:bookmarkEnd w:id="0"/>
    </w:p>
    <w:p w14:paraId="22333B48" w14:textId="293A31A4" w:rsidR="000C3073" w:rsidRDefault="007829E1" w:rsidP="007829E1">
      <w:pPr>
        <w:pStyle w:val="Header"/>
        <w:rPr>
          <w:bCs/>
          <w:noProof w:val="0"/>
          <w:sz w:val="24"/>
          <w:lang w:val="en-GB"/>
        </w:rPr>
      </w:pPr>
      <w:r>
        <w:rPr>
          <w:bCs/>
          <w:sz w:val="24"/>
        </w:rPr>
        <w:t>Athens, Greece, 13th - 17th February, 2017</w:t>
      </w:r>
    </w:p>
    <w:p w14:paraId="7E19B53B" w14:textId="77777777" w:rsidR="00683A73" w:rsidRPr="007B7496" w:rsidRDefault="00683A73" w:rsidP="00683A73">
      <w:pPr>
        <w:pStyle w:val="Header"/>
        <w:rPr>
          <w:bCs/>
          <w:noProof w:val="0"/>
          <w:sz w:val="24"/>
          <w:lang w:val="en-GB" w:eastAsia="ja-JP"/>
        </w:rPr>
      </w:pPr>
    </w:p>
    <w:p w14:paraId="22760FA0" w14:textId="3C875A84"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829E1">
        <w:rPr>
          <w:rFonts w:cs="Arial"/>
          <w:b/>
          <w:bCs/>
          <w:sz w:val="24"/>
        </w:rPr>
        <w:t>8.1.2.2.1</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55701D02" w14:textId="5D7CF66D"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617D56">
        <w:rPr>
          <w:rFonts w:ascii="Arial" w:hAnsi="Arial" w:cs="Arial"/>
          <w:b/>
          <w:bCs/>
          <w:sz w:val="24"/>
        </w:rPr>
        <w:t>Beam Measurements</w:t>
      </w:r>
      <w:r w:rsidR="008038BB">
        <w:rPr>
          <w:rFonts w:ascii="Arial" w:hAnsi="Arial" w:cs="Arial"/>
          <w:b/>
          <w:bCs/>
          <w:sz w:val="24"/>
        </w:rPr>
        <w:t xml:space="preserve"> and TX/RX Beam Correspondence </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3F6C28F" w14:textId="56531159" w:rsidR="00B9601F" w:rsidRDefault="006909FE" w:rsidP="00617D56">
      <w:pPr>
        <w:spacing w:after="120"/>
        <w:rPr>
          <w:bCs/>
        </w:rPr>
      </w:pPr>
      <w:r>
        <w:rPr>
          <w:bCs/>
        </w:rPr>
        <w:t>In this contribution,</w:t>
      </w:r>
      <w:r w:rsidR="00617D56">
        <w:rPr>
          <w:bCs/>
        </w:rPr>
        <w:t xml:space="preserve"> we discuss about beam measurements and </w:t>
      </w:r>
      <w:r w:rsidR="009C5CDD">
        <w:rPr>
          <w:bCs/>
        </w:rPr>
        <w:t>whether additional procedures are needed to declare UE’s TX/RX beam correspondence situation.</w:t>
      </w:r>
    </w:p>
    <w:p w14:paraId="1C92BCEC" w14:textId="6B67D4CE" w:rsidR="00B9601F" w:rsidRDefault="00B9601F" w:rsidP="006909FE">
      <w:pPr>
        <w:spacing w:after="120"/>
        <w:rPr>
          <w:bCs/>
        </w:rPr>
      </w:pPr>
      <w:r>
        <w:rPr>
          <w:bCs/>
        </w:rPr>
        <w:t xml:space="preserve">RAN1#87 made the following </w:t>
      </w:r>
      <w:r w:rsidR="007829E1">
        <w:rPr>
          <w:bCs/>
        </w:rPr>
        <w:t xml:space="preserve">related </w:t>
      </w:r>
      <w:r>
        <w:rPr>
          <w:bCs/>
        </w:rPr>
        <w:t>agreements</w:t>
      </w:r>
      <w:r w:rsidR="0056363C">
        <w:rPr>
          <w:bCs/>
        </w:rPr>
        <w:t xml:space="preserve"> [</w:t>
      </w:r>
      <w:r w:rsidR="00867BDE">
        <w:rPr>
          <w:bCs/>
        </w:rPr>
        <w:t>3</w:t>
      </w:r>
      <w:r w:rsidR="0056363C">
        <w:rPr>
          <w:bCs/>
        </w:rPr>
        <w:t>]</w:t>
      </w:r>
      <w:r>
        <w:rPr>
          <w:bCs/>
        </w:rPr>
        <w:t xml:space="preserve">: </w:t>
      </w:r>
    </w:p>
    <w:tbl>
      <w:tblPr>
        <w:tblStyle w:val="TableGrid"/>
        <w:tblW w:w="0" w:type="auto"/>
        <w:tblLook w:val="04A0" w:firstRow="1" w:lastRow="0" w:firstColumn="1" w:lastColumn="0" w:noHBand="0" w:noVBand="1"/>
      </w:tblPr>
      <w:tblGrid>
        <w:gridCol w:w="9629"/>
      </w:tblGrid>
      <w:tr w:rsidR="00F02D22" w14:paraId="700BB02D" w14:textId="77777777" w:rsidTr="00F02D22">
        <w:tc>
          <w:tcPr>
            <w:tcW w:w="9629" w:type="dxa"/>
          </w:tcPr>
          <w:p w14:paraId="5F4A4BC1" w14:textId="77777777" w:rsidR="00867BDE" w:rsidRPr="00867BDE" w:rsidRDefault="00867BDE" w:rsidP="00867BDE">
            <w:pPr>
              <w:overflowPunct/>
              <w:autoSpaceDE/>
              <w:autoSpaceDN/>
              <w:adjustRightInd/>
              <w:spacing w:after="0"/>
              <w:textAlignment w:val="auto"/>
              <w:rPr>
                <w:rFonts w:ascii="Times" w:eastAsia="Batang" w:hAnsi="Times"/>
                <w:szCs w:val="24"/>
              </w:rPr>
            </w:pPr>
            <w:r w:rsidRPr="00867BDE">
              <w:rPr>
                <w:rFonts w:ascii="Times" w:eastAsia="Batang" w:hAnsi="Times"/>
                <w:szCs w:val="24"/>
                <w:highlight w:val="green"/>
                <w:lang w:val="en-US"/>
              </w:rPr>
              <w:t>Agreements</w:t>
            </w:r>
            <w:r w:rsidRPr="00867BDE">
              <w:rPr>
                <w:rFonts w:ascii="Times" w:eastAsia="Batang" w:hAnsi="Times"/>
                <w:b/>
                <w:szCs w:val="24"/>
                <w:lang w:val="en-US"/>
              </w:rPr>
              <w:t>:</w:t>
            </w:r>
          </w:p>
          <w:p w14:paraId="4049112A" w14:textId="77777777" w:rsidR="00867BDE" w:rsidRPr="00867BDE" w:rsidRDefault="00867BDE" w:rsidP="009A1840">
            <w:pPr>
              <w:numPr>
                <w:ilvl w:val="0"/>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 xml:space="preserve">Companies are encouraged to refine the definition of beam correspondence, if necessary </w:t>
            </w:r>
          </w:p>
          <w:p w14:paraId="4E24613B" w14:textId="77777777" w:rsidR="00867BDE" w:rsidRPr="00867BDE" w:rsidRDefault="00867BDE" w:rsidP="009A1840">
            <w:pPr>
              <w:numPr>
                <w:ilvl w:val="1"/>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Note: whether or not to introduce this definition in NR is a separate topic</w:t>
            </w:r>
          </w:p>
          <w:p w14:paraId="64B300A1" w14:textId="77777777" w:rsidR="00867BDE" w:rsidRPr="00867BDE" w:rsidRDefault="00867BDE" w:rsidP="009A1840">
            <w:pPr>
              <w:numPr>
                <w:ilvl w:val="0"/>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 xml:space="preserve">Under the refined definition of beam correspondence (if any), study whether or not mechanism(s) for determining UE’s beam correspondence is needed. </w:t>
            </w:r>
          </w:p>
          <w:p w14:paraId="422C056B" w14:textId="77777777" w:rsidR="00867BDE" w:rsidRPr="00867BDE" w:rsidRDefault="00867BDE" w:rsidP="009A1840">
            <w:pPr>
              <w:numPr>
                <w:ilvl w:val="1"/>
                <w:numId w:val="2"/>
              </w:numPr>
              <w:overflowPunct/>
              <w:autoSpaceDE/>
              <w:autoSpaceDN/>
              <w:adjustRightInd/>
              <w:spacing w:after="0"/>
              <w:contextualSpacing/>
              <w:textAlignment w:val="auto"/>
              <w:rPr>
                <w:rFonts w:eastAsia="MS Mincho"/>
                <w:lang w:val="en-US" w:eastAsia="ja-JP"/>
              </w:rPr>
            </w:pPr>
            <w:r w:rsidRPr="00867BDE">
              <w:rPr>
                <w:rFonts w:eastAsia="MS Mincho"/>
                <w:lang w:val="en-US" w:eastAsia="ja-JP"/>
              </w:rPr>
              <w:t xml:space="preserve">the study may consider the following aspects - </w:t>
            </w:r>
          </w:p>
          <w:p w14:paraId="2DD8A70C" w14:textId="7F75B084" w:rsidR="00867BDE" w:rsidRPr="00867BDE" w:rsidRDefault="00867BDE" w:rsidP="009A1840">
            <w:pPr>
              <w:numPr>
                <w:ilvl w:val="2"/>
                <w:numId w:val="2"/>
              </w:numPr>
              <w:overflowPunct/>
              <w:autoSpaceDE/>
              <w:autoSpaceDN/>
              <w:adjustRightInd/>
              <w:spacing w:after="0"/>
              <w:contextualSpacing/>
              <w:textAlignment w:val="auto"/>
              <w:rPr>
                <w:rFonts w:eastAsia="MS Mincho"/>
                <w:lang w:val="en-US" w:eastAsia="ja-JP"/>
              </w:rPr>
            </w:pPr>
            <w:r w:rsidRPr="00867BDE">
              <w:rPr>
                <w:rFonts w:eastAsia="MS Mincho"/>
                <w:lang w:eastAsia="ja-JP"/>
              </w:rPr>
              <w:t>e.g. metrics to be considered SNR/Power (beam-quality), CSI, and others</w:t>
            </w:r>
          </w:p>
          <w:p w14:paraId="6B8D54A5" w14:textId="77777777" w:rsidR="00867BDE" w:rsidRPr="00867BDE" w:rsidRDefault="00867BDE" w:rsidP="009A1840">
            <w:pPr>
              <w:numPr>
                <w:ilvl w:val="2"/>
                <w:numId w:val="2"/>
              </w:numPr>
              <w:overflowPunct/>
              <w:autoSpaceDE/>
              <w:autoSpaceDN/>
              <w:adjustRightInd/>
              <w:spacing w:after="0"/>
              <w:contextualSpacing/>
              <w:textAlignment w:val="auto"/>
              <w:rPr>
                <w:rFonts w:eastAsia="MS Mincho"/>
                <w:lang w:val="en-US" w:eastAsia="ja-JP"/>
              </w:rPr>
            </w:pPr>
            <w:r w:rsidRPr="00867BDE">
              <w:rPr>
                <w:rFonts w:eastAsia="MS Mincho"/>
                <w:lang w:eastAsia="ja-JP"/>
              </w:rPr>
              <w:t>e.g. values of the metrics at which beam correspondence is declared</w:t>
            </w:r>
          </w:p>
          <w:p w14:paraId="401F12EC" w14:textId="77777777" w:rsidR="00867BDE" w:rsidRPr="00867BDE" w:rsidRDefault="00867BDE" w:rsidP="009A1840">
            <w:pPr>
              <w:numPr>
                <w:ilvl w:val="2"/>
                <w:numId w:val="2"/>
              </w:numPr>
              <w:overflowPunct/>
              <w:autoSpaceDE/>
              <w:autoSpaceDN/>
              <w:adjustRightInd/>
              <w:spacing w:after="0"/>
              <w:contextualSpacing/>
              <w:textAlignment w:val="auto"/>
              <w:rPr>
                <w:rFonts w:eastAsia="MS Mincho"/>
                <w:lang w:val="en-US" w:eastAsia="ja-JP"/>
              </w:rPr>
            </w:pPr>
            <w:r w:rsidRPr="00867BDE">
              <w:rPr>
                <w:rFonts w:eastAsia="MS Mincho"/>
                <w:lang w:eastAsia="ja-JP"/>
              </w:rPr>
              <w:t>e.g., complexity/overhead</w:t>
            </w:r>
          </w:p>
          <w:p w14:paraId="069DD547" w14:textId="360FABBE" w:rsidR="00F02D22" w:rsidRPr="00867BDE" w:rsidRDefault="00867BDE" w:rsidP="009A1840">
            <w:pPr>
              <w:numPr>
                <w:ilvl w:val="2"/>
                <w:numId w:val="2"/>
              </w:numPr>
              <w:overflowPunct/>
              <w:autoSpaceDE/>
              <w:autoSpaceDN/>
              <w:adjustRightInd/>
              <w:spacing w:after="0"/>
              <w:contextualSpacing/>
              <w:textAlignment w:val="auto"/>
              <w:rPr>
                <w:rFonts w:eastAsia="MS Mincho"/>
                <w:bCs/>
                <w:iCs/>
              </w:rPr>
            </w:pPr>
            <w:r w:rsidRPr="00867BDE">
              <w:rPr>
                <w:rFonts w:ascii="Times" w:eastAsia="MS Mincho" w:hAnsi="Times"/>
                <w:szCs w:val="24"/>
              </w:rPr>
              <w:t>e.g., possibility of supporting reporting to the gNB about beam correspondence at the UE</w:t>
            </w:r>
          </w:p>
        </w:tc>
      </w:tr>
    </w:tbl>
    <w:p w14:paraId="7D1ABB9C" w14:textId="09C21A5A" w:rsidR="00F02D22" w:rsidRDefault="00F02D22" w:rsidP="006909FE">
      <w:pPr>
        <w:spacing w:after="120"/>
        <w:rPr>
          <w:bCs/>
        </w:rPr>
      </w:pPr>
    </w:p>
    <w:p w14:paraId="7679B6EC" w14:textId="3CBE1840" w:rsidR="007829E1" w:rsidRDefault="007829E1" w:rsidP="006909FE">
      <w:pPr>
        <w:spacing w:after="120"/>
        <w:rPr>
          <w:bCs/>
        </w:rPr>
      </w:pPr>
      <w:r>
        <w:rPr>
          <w:bCs/>
        </w:rPr>
        <w:t>RAN1#AH1_NR made the following further related agreements [4]:</w:t>
      </w:r>
    </w:p>
    <w:tbl>
      <w:tblPr>
        <w:tblStyle w:val="TableGrid"/>
        <w:tblW w:w="0" w:type="auto"/>
        <w:tblLook w:val="04A0" w:firstRow="1" w:lastRow="0" w:firstColumn="1" w:lastColumn="0" w:noHBand="0" w:noVBand="1"/>
      </w:tblPr>
      <w:tblGrid>
        <w:gridCol w:w="9629"/>
      </w:tblGrid>
      <w:tr w:rsidR="007829E1" w14:paraId="0B55B0DA" w14:textId="77777777" w:rsidTr="007829E1">
        <w:tc>
          <w:tcPr>
            <w:tcW w:w="9629" w:type="dxa"/>
          </w:tcPr>
          <w:p w14:paraId="6A893CB9" w14:textId="77777777" w:rsidR="007829E1" w:rsidRPr="007829E1" w:rsidRDefault="007829E1" w:rsidP="007829E1">
            <w:pPr>
              <w:overflowPunct/>
              <w:autoSpaceDE/>
              <w:autoSpaceDN/>
              <w:adjustRightInd/>
              <w:spacing w:after="0"/>
              <w:textAlignment w:val="auto"/>
              <w:rPr>
                <w:rFonts w:ascii="Times" w:eastAsia="MS Mincho" w:hAnsi="Times"/>
                <w:lang w:val="en-US" w:eastAsia="ja-JP"/>
              </w:rPr>
            </w:pPr>
            <w:r w:rsidRPr="007829E1">
              <w:rPr>
                <w:rFonts w:ascii="Times" w:eastAsia="MS Mincho" w:hAnsi="Times"/>
                <w:highlight w:val="green"/>
                <w:lang w:val="en-US" w:eastAsia="ja-JP"/>
              </w:rPr>
              <w:t>Agreement:</w:t>
            </w:r>
          </w:p>
          <w:p w14:paraId="2DEB74A0" w14:textId="77777777" w:rsidR="007829E1" w:rsidRPr="007829E1" w:rsidRDefault="007829E1" w:rsidP="007829E1">
            <w:pPr>
              <w:numPr>
                <w:ilvl w:val="0"/>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For the definition of beam correspondence:</w:t>
            </w:r>
          </w:p>
          <w:p w14:paraId="3CE5FBC9" w14:textId="77777777" w:rsidR="007829E1" w:rsidRPr="007829E1" w:rsidRDefault="007829E1" w:rsidP="007829E1">
            <w:pPr>
              <w:numPr>
                <w:ilvl w:val="1"/>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Confirm the previous working assumption of the definition</w:t>
            </w:r>
          </w:p>
          <w:p w14:paraId="5DF929CE" w14:textId="77777777" w:rsidR="007829E1" w:rsidRPr="007829E1" w:rsidRDefault="007829E1" w:rsidP="007829E1">
            <w:pPr>
              <w:numPr>
                <w:ilvl w:val="2"/>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Note: this definition/terminology is for convenience of discussion</w:t>
            </w:r>
          </w:p>
          <w:p w14:paraId="3AC5B13B" w14:textId="77777777" w:rsidR="007829E1" w:rsidRPr="007829E1" w:rsidRDefault="007829E1" w:rsidP="007829E1">
            <w:pPr>
              <w:numPr>
                <w:ilvl w:val="1"/>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The detailed performance conditions are up to RAN4</w:t>
            </w:r>
          </w:p>
          <w:p w14:paraId="4D2D05C4" w14:textId="77777777" w:rsidR="007829E1" w:rsidRPr="007829E1" w:rsidRDefault="007829E1" w:rsidP="007829E1">
            <w:pPr>
              <w:overflowPunct/>
              <w:autoSpaceDE/>
              <w:autoSpaceDN/>
              <w:adjustRightInd/>
              <w:spacing w:after="0"/>
              <w:textAlignment w:val="auto"/>
              <w:rPr>
                <w:rFonts w:ascii="Times" w:eastAsia="Batang" w:hAnsi="Times"/>
                <w:szCs w:val="24"/>
                <w:lang w:val="en-US"/>
              </w:rPr>
            </w:pPr>
            <w:r w:rsidRPr="007829E1">
              <w:rPr>
                <w:rFonts w:ascii="Times" w:eastAsia="Batang" w:hAnsi="Times"/>
                <w:szCs w:val="24"/>
                <w:highlight w:val="green"/>
                <w:lang w:val="en-US"/>
              </w:rPr>
              <w:t>Agreement:</w:t>
            </w:r>
          </w:p>
          <w:p w14:paraId="5343082B" w14:textId="14FD1892" w:rsidR="007829E1" w:rsidRDefault="007829E1" w:rsidP="007829E1">
            <w:pPr>
              <w:numPr>
                <w:ilvl w:val="0"/>
                <w:numId w:val="7"/>
              </w:numPr>
              <w:overflowPunct/>
              <w:autoSpaceDE/>
              <w:autoSpaceDN/>
              <w:adjustRightInd/>
              <w:spacing w:after="0"/>
              <w:contextualSpacing/>
              <w:textAlignment w:val="auto"/>
              <w:rPr>
                <w:rFonts w:eastAsia="MS Mincho"/>
                <w:lang w:val="en-US" w:eastAsia="ja-JP"/>
              </w:rPr>
            </w:pPr>
            <w:r w:rsidRPr="007829E1">
              <w:rPr>
                <w:rFonts w:eastAsia="MS Mincho"/>
                <w:lang w:val="en-US" w:eastAsia="ja-JP"/>
              </w:rPr>
              <w:t>Support capability indication of UE beam correspondence related information to TRP</w:t>
            </w:r>
          </w:p>
          <w:p w14:paraId="71D4C9FC" w14:textId="532CE483" w:rsidR="007829E1" w:rsidRDefault="007829E1" w:rsidP="007829E1">
            <w:pPr>
              <w:numPr>
                <w:ilvl w:val="1"/>
                <w:numId w:val="7"/>
              </w:numPr>
              <w:overflowPunct/>
              <w:autoSpaceDE/>
              <w:autoSpaceDN/>
              <w:adjustRightInd/>
              <w:spacing w:after="0"/>
              <w:contextualSpacing/>
              <w:textAlignment w:val="auto"/>
              <w:rPr>
                <w:bCs/>
              </w:rPr>
            </w:pPr>
            <w:r w:rsidRPr="007829E1">
              <w:rPr>
                <w:rFonts w:ascii="Times" w:eastAsia="MS Mincho" w:hAnsi="Times"/>
                <w:szCs w:val="24"/>
                <w:lang w:val="en-US"/>
              </w:rPr>
              <w:t>FFS details including capability definition,  case(s) (if any) when the indication is not necessary</w:t>
            </w:r>
          </w:p>
        </w:tc>
      </w:tr>
    </w:tbl>
    <w:p w14:paraId="63B51109" w14:textId="77777777" w:rsidR="007829E1" w:rsidRDefault="007829E1" w:rsidP="006909FE">
      <w:pPr>
        <w:spacing w:after="120"/>
        <w:rPr>
          <w:bCs/>
        </w:rPr>
      </w:pPr>
    </w:p>
    <w:p w14:paraId="1DF305FE" w14:textId="22C7335D"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5391EE48" w14:textId="27AAEF72" w:rsidR="00DB055E" w:rsidRDefault="00DB055E" w:rsidP="00DB055E">
      <w:pPr>
        <w:pStyle w:val="Heading2"/>
      </w:pPr>
      <w:r>
        <w:t>2.1</w:t>
      </w:r>
      <w:r>
        <w:tab/>
      </w:r>
      <w:r w:rsidR="004E0EB7">
        <w:t>Beam measurements</w:t>
      </w:r>
    </w:p>
    <w:p w14:paraId="73255BAE" w14:textId="0F791DCC" w:rsidR="00DB055E" w:rsidRDefault="004E0EB7" w:rsidP="002036FB">
      <w:pPr>
        <w:jc w:val="both"/>
      </w:pPr>
      <w:r>
        <w:t>Beam measurements for beam management purpose, e.g. to setup and maintain a candidate serving beam set for downlink control and data transmissions, are considered to be based on power measurements on detected beams.</w:t>
      </w:r>
      <w:r w:rsidR="003B3F9B">
        <w:t xml:space="preserve"> CSI or other measure considering also interference component would have potential problems that SINR based beam measurement (and selection) is prone to independent scheduling decisions among neighbouring gNBs, and thus </w:t>
      </w:r>
      <w:r w:rsidR="00FE769B">
        <w:t xml:space="preserve">SINR based </w:t>
      </w:r>
      <w:r w:rsidR="003B3F9B">
        <w:t>beam selection</w:t>
      </w:r>
      <w:r w:rsidR="00FE769B">
        <w:t xml:space="preserve"> may not provide benefit upon RSRP based beam selection. For instance, assuming that beam selection is primarily based on P1 procedure and cell specific periodic CSI-RS, the interference situation is most likely different during the measurements and when the actual PDCCH and/or PDSCH transmission on selected beam(s) take place.</w:t>
      </w:r>
      <w:r w:rsidR="003B3F9B">
        <w:t xml:space="preserve"> In addition, power measurements are simple to the UE, especially considering that there may be tens or even hundreds of beams to detect, track and measure per cell.</w:t>
      </w:r>
      <w:r>
        <w:t xml:space="preserve"> Detection and measurements are </w:t>
      </w:r>
      <w:r w:rsidR="00157562">
        <w:t xml:space="preserve">based on beam specific RS, i.e. on cell specific CSI-RS for P1 or aperiodic UE-specific </w:t>
      </w:r>
      <w:r w:rsidR="00FE769B">
        <w:t xml:space="preserve">CSI-RS </w:t>
      </w:r>
      <w:r w:rsidR="00157562">
        <w:t xml:space="preserve">for P2. As discussed in </w:t>
      </w:r>
      <w:r w:rsidR="003B3F9B">
        <w:t>[5], RSRP would be the measurement quantity for beam measurements.</w:t>
      </w:r>
    </w:p>
    <w:p w14:paraId="33082DB0" w14:textId="7992E1CE" w:rsidR="003B3F9B" w:rsidRPr="003B3F9B" w:rsidRDefault="003B3F9B" w:rsidP="002036FB">
      <w:pPr>
        <w:jc w:val="both"/>
        <w:rPr>
          <w:b/>
          <w:i/>
        </w:rPr>
      </w:pPr>
      <w:r>
        <w:rPr>
          <w:b/>
          <w:i/>
        </w:rPr>
        <w:lastRenderedPageBreak/>
        <w:t xml:space="preserve">Proposal 1: RSRP as measurement quantity for beam measurements. </w:t>
      </w:r>
    </w:p>
    <w:p w14:paraId="63DD1F6F" w14:textId="0C9CAAAB" w:rsidR="00DB055E" w:rsidRDefault="00DB055E" w:rsidP="00DB055E">
      <w:pPr>
        <w:pStyle w:val="Heading2"/>
      </w:pPr>
      <w:r>
        <w:t>2.2</w:t>
      </w:r>
      <w:r>
        <w:tab/>
        <w:t>On the need for mechanism to determine UE’s beam correspondence</w:t>
      </w:r>
    </w:p>
    <w:p w14:paraId="5C43E3E5" w14:textId="3E3866FC" w:rsidR="000550B4" w:rsidRDefault="00825692" w:rsidP="000550B4">
      <w:pPr>
        <w:jc w:val="both"/>
        <w:rPr>
          <w:lang w:val="en-US" w:eastAsia="x-none"/>
        </w:rPr>
      </w:pPr>
      <w:r>
        <w:rPr>
          <w:lang w:val="en-US" w:eastAsia="x-none"/>
        </w:rPr>
        <w:t xml:space="preserve">As a starting point we review the </w:t>
      </w:r>
      <w:r w:rsidR="00F32691">
        <w:rPr>
          <w:lang w:val="en-US" w:eastAsia="x-none"/>
        </w:rPr>
        <w:t xml:space="preserve">confirmed </w:t>
      </w:r>
      <w:r>
        <w:rPr>
          <w:lang w:val="en-US" w:eastAsia="x-none"/>
        </w:rPr>
        <w:t>working assumption related to beam correspondence definition made in RAN1#86bis:</w:t>
      </w:r>
    </w:p>
    <w:tbl>
      <w:tblPr>
        <w:tblStyle w:val="TableGrid"/>
        <w:tblW w:w="0" w:type="auto"/>
        <w:tblLook w:val="04A0" w:firstRow="1" w:lastRow="0" w:firstColumn="1" w:lastColumn="0" w:noHBand="0" w:noVBand="1"/>
      </w:tblPr>
      <w:tblGrid>
        <w:gridCol w:w="9629"/>
      </w:tblGrid>
      <w:tr w:rsidR="00825692" w14:paraId="4B670B29" w14:textId="77777777" w:rsidTr="00825692">
        <w:tc>
          <w:tcPr>
            <w:tcW w:w="9629" w:type="dxa"/>
          </w:tcPr>
          <w:p w14:paraId="4B23F2F2" w14:textId="77777777" w:rsidR="00825692" w:rsidRPr="00035F63" w:rsidRDefault="00825692" w:rsidP="00825692">
            <w:pPr>
              <w:rPr>
                <w:rFonts w:eastAsia="MS Mincho"/>
                <w:highlight w:val="darkYellow"/>
                <w:lang w:val="en-US" w:eastAsia="ja-JP"/>
              </w:rPr>
            </w:pPr>
            <w:r w:rsidRPr="00035F63">
              <w:rPr>
                <w:rFonts w:eastAsia="MS Mincho"/>
                <w:highlight w:val="darkYellow"/>
                <w:lang w:val="en-US" w:eastAsia="ja-JP"/>
              </w:rPr>
              <w:t>Working assumption:</w:t>
            </w:r>
          </w:p>
          <w:p w14:paraId="3D2BF998"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The followings are defined as Tx/Rx beam correspondence at TRP and UE :</w:t>
            </w:r>
          </w:p>
          <w:p w14:paraId="5B13013A"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TRP holds </w:t>
            </w:r>
            <w:r w:rsidRPr="00825692">
              <w:rPr>
                <w:rFonts w:eastAsia="MS Mincho"/>
                <w:sz w:val="20"/>
                <w:lang w:val="en-US"/>
              </w:rPr>
              <w:t>if at least one of the following is satisfied:</w:t>
            </w:r>
          </w:p>
          <w:p w14:paraId="0322F314"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Rx beam for the uplink reception based on UE’s downlink measurement on TRP’s one or more Tx beams.</w:t>
            </w:r>
          </w:p>
          <w:p w14:paraId="6ED3F40B"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Tx beam for the downlink transmission based on TRP’s uplink measurement on TRP’s one or more Rx beams</w:t>
            </w:r>
          </w:p>
          <w:p w14:paraId="54464987"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UE holds </w:t>
            </w:r>
            <w:r w:rsidRPr="00825692">
              <w:rPr>
                <w:rFonts w:eastAsia="MS Mincho"/>
                <w:sz w:val="20"/>
                <w:lang w:val="en-US"/>
              </w:rPr>
              <w:t xml:space="preserve">if at least one of the following is satisfied: </w:t>
            </w:r>
          </w:p>
          <w:p w14:paraId="277F907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Tx beam for the uplink transmission based on UE’s downlink measurement on UE’s one or more Rx beams.</w:t>
            </w:r>
          </w:p>
          <w:p w14:paraId="63D5151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Rx beam for the downlink reception based on TRP’s indication based on uplink measurement on UE’s one or more Tx beams.</w:t>
            </w:r>
          </w:p>
          <w:p w14:paraId="433B0CCE" w14:textId="199A5378" w:rsidR="00825692" w:rsidRDefault="00825692" w:rsidP="009A1840">
            <w:pPr>
              <w:pStyle w:val="ListParagraph"/>
              <w:numPr>
                <w:ilvl w:val="1"/>
                <w:numId w:val="3"/>
              </w:numPr>
              <w:overflowPunct w:val="0"/>
              <w:autoSpaceDE w:val="0"/>
              <w:autoSpaceDN w:val="0"/>
              <w:adjustRightInd w:val="0"/>
              <w:spacing w:after="180"/>
              <w:textAlignment w:val="baseline"/>
              <w:rPr>
                <w:lang w:val="en-US" w:eastAsia="x-none"/>
              </w:rPr>
            </w:pPr>
            <w:r w:rsidRPr="00825692">
              <w:rPr>
                <w:rFonts w:eastAsia="MS Mincho"/>
                <w:sz w:val="20"/>
                <w:lang w:val="en-US"/>
              </w:rPr>
              <w:t>More refined definition can still be discussed</w:t>
            </w:r>
          </w:p>
        </w:tc>
      </w:tr>
    </w:tbl>
    <w:p w14:paraId="2A2E87F3" w14:textId="77777777" w:rsidR="00825692" w:rsidRDefault="00825692" w:rsidP="000550B4">
      <w:pPr>
        <w:jc w:val="both"/>
        <w:rPr>
          <w:lang w:val="en-US" w:eastAsia="x-none"/>
        </w:rPr>
      </w:pPr>
    </w:p>
    <w:p w14:paraId="7624F009" w14:textId="784D2F2A" w:rsidR="00825692" w:rsidRPr="00825692" w:rsidRDefault="009A1460" w:rsidP="000550B4">
      <w:pPr>
        <w:jc w:val="both"/>
        <w:rPr>
          <w:lang w:val="en-US" w:eastAsia="x-none"/>
        </w:rPr>
      </w:pPr>
      <w:r>
        <w:rPr>
          <w:lang w:val="en-US" w:eastAsia="x-none"/>
        </w:rPr>
        <w:t xml:space="preserve">The </w:t>
      </w:r>
      <w:r w:rsidR="00825692">
        <w:rPr>
          <w:lang w:val="en-US" w:eastAsia="x-none"/>
        </w:rPr>
        <w:t xml:space="preserve">TRP can handle both TX/RX beam correspondence and non-correspondence conditions by configuring UEs to act </w:t>
      </w:r>
      <w:r w:rsidR="00377095">
        <w:rPr>
          <w:lang w:val="en-US" w:eastAsia="x-none"/>
        </w:rPr>
        <w:t>i</w:t>
      </w:r>
      <w:r w:rsidR="00825692">
        <w:rPr>
          <w:lang w:val="en-US" w:eastAsia="x-none"/>
        </w:rPr>
        <w:t xml:space="preserve">n </w:t>
      </w:r>
      <w:r w:rsidR="00825692" w:rsidRPr="00825692">
        <w:rPr>
          <w:lang w:val="en-US" w:eastAsia="x-none"/>
        </w:rPr>
        <w:t>certain ways:</w:t>
      </w:r>
    </w:p>
    <w:p w14:paraId="749AA9CB" w14:textId="21CC4D09"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at TRP</w:t>
      </w:r>
    </w:p>
    <w:p w14:paraId="23F5A51F" w14:textId="5AC82E75" w:rsidR="00825692" w:rsidRDefault="00825692" w:rsidP="009A1840">
      <w:pPr>
        <w:pStyle w:val="ListParagraph"/>
        <w:numPr>
          <w:ilvl w:val="1"/>
          <w:numId w:val="4"/>
        </w:numPr>
        <w:jc w:val="both"/>
        <w:rPr>
          <w:sz w:val="20"/>
          <w:szCs w:val="20"/>
          <w:lang w:val="en-US" w:eastAsia="x-none"/>
        </w:rPr>
      </w:pPr>
      <w:r>
        <w:rPr>
          <w:sz w:val="20"/>
          <w:szCs w:val="20"/>
          <w:lang w:val="en-US" w:eastAsia="x-none"/>
        </w:rPr>
        <w:t>TRP determines UL RX beam(s) for the UE based on Beam Status Information reports provided by the UE where measurements are performed based on TRP TX beams</w:t>
      </w:r>
    </w:p>
    <w:p w14:paraId="35B423A5" w14:textId="3AAC84DD"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not available at TRP</w:t>
      </w:r>
    </w:p>
    <w:p w14:paraId="0771D281" w14:textId="61D91CCE" w:rsidR="00825692" w:rsidRDefault="00825692" w:rsidP="009A1840">
      <w:pPr>
        <w:pStyle w:val="ListParagraph"/>
        <w:numPr>
          <w:ilvl w:val="1"/>
          <w:numId w:val="4"/>
        </w:numPr>
        <w:jc w:val="both"/>
        <w:rPr>
          <w:sz w:val="20"/>
          <w:szCs w:val="20"/>
          <w:lang w:val="en-US" w:eastAsia="x-none"/>
        </w:rPr>
      </w:pPr>
      <w:r>
        <w:rPr>
          <w:sz w:val="20"/>
          <w:szCs w:val="20"/>
          <w:lang w:val="en-US" w:eastAsia="x-none"/>
        </w:rPr>
        <w:t xml:space="preserve">TRP configures UE to transmit UL signal (e.g. PRACH preamble in RACH procedure) in repeated manner </w:t>
      </w:r>
      <w:r w:rsidR="00FE769B">
        <w:rPr>
          <w:sz w:val="20"/>
          <w:szCs w:val="20"/>
          <w:lang w:val="en-US" w:eastAsia="x-none"/>
        </w:rPr>
        <w:t xml:space="preserve">or multiple SRSs in time </w:t>
      </w:r>
      <w:r>
        <w:rPr>
          <w:sz w:val="20"/>
          <w:szCs w:val="20"/>
          <w:lang w:val="en-US" w:eastAsia="x-none"/>
        </w:rPr>
        <w:t>in order to be able to determine UL RX beam for the UE. DL TX beam would be determined similarly as in beam correspondence case</w:t>
      </w:r>
    </w:p>
    <w:p w14:paraId="714C1BE3" w14:textId="77777777" w:rsidR="00DB055E" w:rsidRDefault="00DB055E" w:rsidP="000550B4">
      <w:pPr>
        <w:jc w:val="both"/>
        <w:rPr>
          <w:lang w:val="en-US" w:eastAsia="x-none"/>
        </w:rPr>
      </w:pPr>
    </w:p>
    <w:p w14:paraId="01DBEA41" w14:textId="6AB3453B" w:rsidR="00F4126F" w:rsidRDefault="00F4126F" w:rsidP="000550B4">
      <w:pPr>
        <w:jc w:val="both"/>
        <w:rPr>
          <w:lang w:val="en-US" w:eastAsia="x-none"/>
        </w:rPr>
      </w:pPr>
      <w:r>
        <w:rPr>
          <w:lang w:val="en-US" w:eastAsia="x-none"/>
        </w:rPr>
        <w:t>In initial access, the TX/RX beam correspondence capability of the UE can be transparent to the system and no different procedure is needed for non-correspondence case than in beam correspondence case as shown in [</w:t>
      </w:r>
      <w:r w:rsidR="00635F4A">
        <w:rPr>
          <w:lang w:val="en-US" w:eastAsia="x-none"/>
        </w:rPr>
        <w:t xml:space="preserve">4]. </w:t>
      </w:r>
    </w:p>
    <w:p w14:paraId="38BE938F" w14:textId="022F9F5B" w:rsidR="009070AE" w:rsidRPr="00635F4A" w:rsidRDefault="00635F4A" w:rsidP="000550B4">
      <w:pPr>
        <w:jc w:val="both"/>
        <w:rPr>
          <w:b/>
          <w:i/>
          <w:lang w:val="en-US" w:eastAsia="x-none"/>
        </w:rPr>
      </w:pPr>
      <w:r>
        <w:rPr>
          <w:b/>
          <w:i/>
          <w:lang w:val="en-US" w:eastAsia="x-none"/>
        </w:rPr>
        <w:t>Observation: In initial access no mechanism is needed to determine UE’s TX/RX beam correspondence.</w:t>
      </w:r>
    </w:p>
    <w:p w14:paraId="702089D4" w14:textId="032D2CE9" w:rsidR="00242D22" w:rsidRPr="00AC3C0C" w:rsidRDefault="00E3117D" w:rsidP="000550B4">
      <w:pPr>
        <w:jc w:val="both"/>
        <w:rPr>
          <w:lang w:val="en-US" w:eastAsia="x-none"/>
        </w:rPr>
      </w:pPr>
      <w:r>
        <w:rPr>
          <w:lang w:val="en-US" w:eastAsia="x-none"/>
        </w:rPr>
        <w:t xml:space="preserve">Consideration for connected mode, and in general, we start with a hypothesis that UE’s doesn’t have TX/RX beam correspondence. </w:t>
      </w:r>
      <w:r w:rsidR="00242D22">
        <w:rPr>
          <w:lang w:val="en-US" w:eastAsia="x-none"/>
        </w:rPr>
        <w:t xml:space="preserve">On the other hand, as a result of initial access the TRP and UE have mutually aligned DL TX and RX beams as well as UL TX and RX beams. Using those beams the TRP and UE carry out RRC connection establishment </w:t>
      </w:r>
      <w:r w:rsidR="00AC3C0C">
        <w:rPr>
          <w:lang w:val="en-US" w:eastAsia="x-none"/>
        </w:rPr>
        <w:t xml:space="preserve">during which the UE signals TRP UE capability information potentially including the TX/RX beam correspondence </w:t>
      </w:r>
      <w:r w:rsidR="00AC3C0C" w:rsidRPr="00AC3C0C">
        <w:rPr>
          <w:lang w:val="en-US" w:eastAsia="x-none"/>
        </w:rPr>
        <w:t>capability. Based on the capability information TRP may then configure UE accordingly:</w:t>
      </w:r>
    </w:p>
    <w:p w14:paraId="1D41DFA3" w14:textId="1F7F1DF9" w:rsidR="00AC3C0C" w:rsidRDefault="00AC3C0C" w:rsidP="00AC3C0C">
      <w:pPr>
        <w:pStyle w:val="ListParagraph"/>
        <w:numPr>
          <w:ilvl w:val="0"/>
          <w:numId w:val="5"/>
        </w:numPr>
        <w:jc w:val="both"/>
        <w:rPr>
          <w:sz w:val="20"/>
          <w:szCs w:val="20"/>
          <w:lang w:val="en-US" w:eastAsia="x-none"/>
        </w:rPr>
      </w:pPr>
      <w:r>
        <w:rPr>
          <w:sz w:val="20"/>
          <w:szCs w:val="20"/>
          <w:lang w:val="en-US" w:eastAsia="x-none"/>
        </w:rPr>
        <w:t>UE determines its RX and TX beams from cell specific periodical CSI-RS (P1) and UE specific aperiodic CSI-RS (P2)</w:t>
      </w:r>
    </w:p>
    <w:p w14:paraId="6364723B" w14:textId="7E42BF44" w:rsidR="00AC3C0C" w:rsidRPr="002036FB" w:rsidRDefault="00AC3C0C" w:rsidP="00AC3C0C">
      <w:pPr>
        <w:pStyle w:val="ListParagraph"/>
        <w:numPr>
          <w:ilvl w:val="0"/>
          <w:numId w:val="5"/>
        </w:numPr>
        <w:jc w:val="both"/>
        <w:rPr>
          <w:sz w:val="20"/>
          <w:szCs w:val="20"/>
          <w:lang w:val="en-US" w:eastAsia="x-none"/>
        </w:rPr>
      </w:pPr>
      <w:r w:rsidRPr="002036FB">
        <w:rPr>
          <w:sz w:val="20"/>
          <w:szCs w:val="20"/>
          <w:lang w:val="en-US" w:eastAsia="x-none"/>
        </w:rPr>
        <w:t>UE determines its RX beams from cell specific periodical CSI-RS (P1) and UE specific aperiodic CSI-RS (P2) and TX beams based on feedback from gNB for configured multiple SRSs on which the UE may try different TX beams.</w:t>
      </w:r>
    </w:p>
    <w:p w14:paraId="4F6BCE57" w14:textId="77777777" w:rsidR="00AC3C0C" w:rsidRDefault="00AC3C0C" w:rsidP="000550B4">
      <w:pPr>
        <w:jc w:val="both"/>
        <w:rPr>
          <w:lang w:val="en-US" w:eastAsia="x-none"/>
        </w:rPr>
      </w:pPr>
    </w:p>
    <w:p w14:paraId="15F5C740" w14:textId="29D05DD8" w:rsidR="00154E22" w:rsidRPr="00154E22" w:rsidRDefault="00AC3C0C" w:rsidP="000550B4">
      <w:pPr>
        <w:jc w:val="both"/>
        <w:rPr>
          <w:b/>
          <w:i/>
          <w:lang w:val="en-US" w:eastAsia="x-none"/>
        </w:rPr>
      </w:pPr>
      <w:r>
        <w:rPr>
          <w:b/>
          <w:i/>
          <w:lang w:val="en-US" w:eastAsia="x-none"/>
        </w:rPr>
        <w:t>Proposal</w:t>
      </w:r>
      <w:r w:rsidR="00154E22">
        <w:rPr>
          <w:b/>
          <w:i/>
          <w:lang w:val="en-US" w:eastAsia="x-none"/>
        </w:rPr>
        <w:t>: No</w:t>
      </w:r>
      <w:r w:rsidR="00154E22" w:rsidRPr="00154E22">
        <w:rPr>
          <w:b/>
          <w:i/>
          <w:lang w:val="en-US" w:eastAsia="x-none"/>
        </w:rPr>
        <w:t xml:space="preserve"> </w:t>
      </w:r>
      <w:r w:rsidR="00B53A33">
        <w:rPr>
          <w:b/>
          <w:i/>
          <w:lang w:val="en-US" w:eastAsia="x-none"/>
        </w:rPr>
        <w:t>separate</w:t>
      </w:r>
      <w:r>
        <w:rPr>
          <w:b/>
          <w:i/>
          <w:lang w:val="en-US" w:eastAsia="x-none"/>
        </w:rPr>
        <w:t xml:space="preserve"> procedures/</w:t>
      </w:r>
      <w:r w:rsidR="00B53A33">
        <w:rPr>
          <w:b/>
          <w:i/>
          <w:lang w:val="en-US" w:eastAsia="x-none"/>
        </w:rPr>
        <w:t xml:space="preserve"> </w:t>
      </w:r>
      <w:r w:rsidR="00154E22"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6FD3F336"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 PDCCH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49805DE9" w:rsidR="000550B4" w:rsidRPr="000550B4" w:rsidRDefault="00AC3C0C" w:rsidP="000550B4">
      <w:pPr>
        <w:jc w:val="both"/>
        <w:rPr>
          <w:b/>
          <w:i/>
          <w:lang w:eastAsia="x-none"/>
        </w:rPr>
      </w:pPr>
      <w:r>
        <w:rPr>
          <w:b/>
          <w:i/>
          <w:lang w:val="en-US" w:eastAsia="x-none"/>
        </w:rPr>
        <w:lastRenderedPageBreak/>
        <w:t>Observation: In initial access no mechanism is needed to determine UE’s TX/RX beam correspondence.</w:t>
      </w:r>
    </w:p>
    <w:p w14:paraId="496019D9" w14:textId="16E69941" w:rsidR="00DA5766" w:rsidRDefault="00AC3C0C" w:rsidP="000550B4">
      <w:pPr>
        <w:jc w:val="both"/>
        <w:rPr>
          <w:b/>
          <w:lang w:eastAsia="x-none"/>
        </w:rPr>
      </w:pPr>
      <w:r>
        <w:rPr>
          <w:b/>
          <w:i/>
          <w:lang w:val="en-US" w:eastAsia="x-none"/>
        </w:rPr>
        <w:t>Proposal: No</w:t>
      </w:r>
      <w:r w:rsidRPr="00154E22">
        <w:rPr>
          <w:b/>
          <w:i/>
          <w:lang w:val="en-US" w:eastAsia="x-none"/>
        </w:rPr>
        <w:t xml:space="preserve"> </w:t>
      </w:r>
      <w:r>
        <w:rPr>
          <w:b/>
          <w:i/>
          <w:lang w:val="en-US" w:eastAsia="x-none"/>
        </w:rPr>
        <w:t xml:space="preserve">separate procedures/ </w:t>
      </w:r>
      <w:r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r w:rsidR="00DA5766" w:rsidRPr="00DA5766">
        <w:rPr>
          <w:b/>
          <w:i/>
          <w:lang w:val="en-US" w:eastAsia="x-none"/>
        </w:rPr>
        <w:t xml:space="preserve"> </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7DD2FD1" w14:textId="1217416C" w:rsidR="00D35EF4" w:rsidRDefault="00D35EF4" w:rsidP="00D35EF4">
      <w:pPr>
        <w:numPr>
          <w:ilvl w:val="0"/>
          <w:numId w:val="1"/>
        </w:numPr>
        <w:rPr>
          <w:sz w:val="18"/>
        </w:rPr>
      </w:pPr>
      <w:r>
        <w:rPr>
          <w:sz w:val="18"/>
        </w:rPr>
        <w:t>RAN1 #87 Chairman Notes</w:t>
      </w:r>
    </w:p>
    <w:p w14:paraId="213589C1" w14:textId="1ACDE856" w:rsidR="00774E42" w:rsidRDefault="00774E42" w:rsidP="00D35EF4">
      <w:pPr>
        <w:numPr>
          <w:ilvl w:val="0"/>
          <w:numId w:val="1"/>
        </w:numPr>
        <w:rPr>
          <w:sz w:val="18"/>
        </w:rPr>
      </w:pPr>
      <w:r>
        <w:rPr>
          <w:sz w:val="18"/>
        </w:rPr>
        <w:t>RAN1#AH1_NR Chairman Notes</w:t>
      </w:r>
    </w:p>
    <w:p w14:paraId="20ED9B2D" w14:textId="4674B937" w:rsidR="00157562" w:rsidRDefault="0079497B" w:rsidP="0079497B">
      <w:pPr>
        <w:numPr>
          <w:ilvl w:val="0"/>
          <w:numId w:val="1"/>
        </w:numPr>
        <w:rPr>
          <w:sz w:val="18"/>
        </w:rPr>
      </w:pPr>
      <w:r w:rsidRPr="0079497B">
        <w:rPr>
          <w:sz w:val="18"/>
        </w:rPr>
        <w:t>R1-1701091</w:t>
      </w:r>
      <w:r w:rsidR="00157562">
        <w:rPr>
          <w:sz w:val="18"/>
        </w:rPr>
        <w:t>, “Beam Management – Beam Reporting”, Nokia, Alcatel-Lucent Shanghai Bell</w:t>
      </w:r>
    </w:p>
    <w:sectPr w:rsidR="0015756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8D5E8" w14:textId="77777777" w:rsidR="00F64B3E" w:rsidRDefault="00F64B3E">
      <w:r>
        <w:separator/>
      </w:r>
    </w:p>
  </w:endnote>
  <w:endnote w:type="continuationSeparator" w:id="0">
    <w:p w14:paraId="320B6170" w14:textId="77777777" w:rsidR="00F64B3E" w:rsidRDefault="00F6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4F8C8" w14:textId="77777777" w:rsidR="00F64B3E" w:rsidRDefault="00F64B3E">
      <w:r>
        <w:separator/>
      </w:r>
    </w:p>
  </w:footnote>
  <w:footnote w:type="continuationSeparator" w:id="0">
    <w:p w14:paraId="26427E95" w14:textId="77777777" w:rsidR="00F64B3E" w:rsidRDefault="00F64B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7D7AE6"/>
    <w:multiLevelType w:val="hybridMultilevel"/>
    <w:tmpl w:val="4584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6"/>
  </w:num>
  <w:num w:numId="6">
    <w:abstractNumId w:val="5"/>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E22"/>
    <w:rsid w:val="00155BFD"/>
    <w:rsid w:val="0015726F"/>
    <w:rsid w:val="00157390"/>
    <w:rsid w:val="00157562"/>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6FB"/>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D22"/>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791"/>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4AAF"/>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4F33"/>
    <w:rsid w:val="0036642F"/>
    <w:rsid w:val="00367337"/>
    <w:rsid w:val="00367367"/>
    <w:rsid w:val="00367FD8"/>
    <w:rsid w:val="00370B63"/>
    <w:rsid w:val="00370FCC"/>
    <w:rsid w:val="003711AF"/>
    <w:rsid w:val="00374848"/>
    <w:rsid w:val="00375D09"/>
    <w:rsid w:val="00376B03"/>
    <w:rsid w:val="00377095"/>
    <w:rsid w:val="0037739D"/>
    <w:rsid w:val="0037751C"/>
    <w:rsid w:val="00380F3F"/>
    <w:rsid w:val="00382232"/>
    <w:rsid w:val="00382F1A"/>
    <w:rsid w:val="00383282"/>
    <w:rsid w:val="00383658"/>
    <w:rsid w:val="0038412E"/>
    <w:rsid w:val="00386053"/>
    <w:rsid w:val="0038771D"/>
    <w:rsid w:val="0039017F"/>
    <w:rsid w:val="00393E44"/>
    <w:rsid w:val="00397AB6"/>
    <w:rsid w:val="00397ACA"/>
    <w:rsid w:val="003A10C3"/>
    <w:rsid w:val="003A597F"/>
    <w:rsid w:val="003A71A8"/>
    <w:rsid w:val="003B00CA"/>
    <w:rsid w:val="003B030B"/>
    <w:rsid w:val="003B0432"/>
    <w:rsid w:val="003B0821"/>
    <w:rsid w:val="003B0BE9"/>
    <w:rsid w:val="003B2E9B"/>
    <w:rsid w:val="003B2F8D"/>
    <w:rsid w:val="003B3F9B"/>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69E"/>
    <w:rsid w:val="00445FF7"/>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780"/>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0EB7"/>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D72"/>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A9B"/>
    <w:rsid w:val="00617D56"/>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5F4A"/>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3A73"/>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20B0"/>
    <w:rsid w:val="006C37B6"/>
    <w:rsid w:val="006C4FC1"/>
    <w:rsid w:val="006C51A5"/>
    <w:rsid w:val="006C529D"/>
    <w:rsid w:val="006D0252"/>
    <w:rsid w:val="006D0E6B"/>
    <w:rsid w:val="006D2146"/>
    <w:rsid w:val="006D4493"/>
    <w:rsid w:val="006D632E"/>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4E42"/>
    <w:rsid w:val="0077500F"/>
    <w:rsid w:val="0077548E"/>
    <w:rsid w:val="00775A86"/>
    <w:rsid w:val="00777315"/>
    <w:rsid w:val="00780919"/>
    <w:rsid w:val="007815C8"/>
    <w:rsid w:val="007826C8"/>
    <w:rsid w:val="007829E1"/>
    <w:rsid w:val="00784190"/>
    <w:rsid w:val="0078457B"/>
    <w:rsid w:val="00784756"/>
    <w:rsid w:val="0078539D"/>
    <w:rsid w:val="007856C1"/>
    <w:rsid w:val="00787051"/>
    <w:rsid w:val="0079018D"/>
    <w:rsid w:val="0079101E"/>
    <w:rsid w:val="00791741"/>
    <w:rsid w:val="00791A00"/>
    <w:rsid w:val="00791D94"/>
    <w:rsid w:val="00792CEE"/>
    <w:rsid w:val="0079497B"/>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38BB"/>
    <w:rsid w:val="00805FA0"/>
    <w:rsid w:val="0080742D"/>
    <w:rsid w:val="0081151E"/>
    <w:rsid w:val="00812498"/>
    <w:rsid w:val="008127E6"/>
    <w:rsid w:val="0081336E"/>
    <w:rsid w:val="00813928"/>
    <w:rsid w:val="00820DC7"/>
    <w:rsid w:val="00821698"/>
    <w:rsid w:val="008221FE"/>
    <w:rsid w:val="00822BF5"/>
    <w:rsid w:val="00824894"/>
    <w:rsid w:val="00825366"/>
    <w:rsid w:val="00825692"/>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67BDE"/>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448"/>
    <w:rsid w:val="009036BC"/>
    <w:rsid w:val="009040DC"/>
    <w:rsid w:val="00905C47"/>
    <w:rsid w:val="00906379"/>
    <w:rsid w:val="009070AE"/>
    <w:rsid w:val="009101EA"/>
    <w:rsid w:val="009106FC"/>
    <w:rsid w:val="0091070F"/>
    <w:rsid w:val="0091118F"/>
    <w:rsid w:val="009118BB"/>
    <w:rsid w:val="0091191F"/>
    <w:rsid w:val="00915B81"/>
    <w:rsid w:val="00915D6B"/>
    <w:rsid w:val="009160DF"/>
    <w:rsid w:val="009162C7"/>
    <w:rsid w:val="00916EC2"/>
    <w:rsid w:val="009213BD"/>
    <w:rsid w:val="009228FD"/>
    <w:rsid w:val="00924627"/>
    <w:rsid w:val="009250A8"/>
    <w:rsid w:val="00925BE6"/>
    <w:rsid w:val="00926F61"/>
    <w:rsid w:val="009278D5"/>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1460"/>
    <w:rsid w:val="009A1840"/>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5CDD"/>
    <w:rsid w:val="009C650E"/>
    <w:rsid w:val="009C70DB"/>
    <w:rsid w:val="009D19BC"/>
    <w:rsid w:val="009D2348"/>
    <w:rsid w:val="009D2F0C"/>
    <w:rsid w:val="009D3578"/>
    <w:rsid w:val="009D3A5F"/>
    <w:rsid w:val="009D5193"/>
    <w:rsid w:val="009D5C32"/>
    <w:rsid w:val="009D6472"/>
    <w:rsid w:val="009D79F4"/>
    <w:rsid w:val="009E032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4E5E"/>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3C0C"/>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3A3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7D6"/>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5A94"/>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0ECD"/>
    <w:rsid w:val="00D930E1"/>
    <w:rsid w:val="00D9415C"/>
    <w:rsid w:val="00D942CC"/>
    <w:rsid w:val="00D94D87"/>
    <w:rsid w:val="00D962DC"/>
    <w:rsid w:val="00DA0232"/>
    <w:rsid w:val="00DA180C"/>
    <w:rsid w:val="00DA451D"/>
    <w:rsid w:val="00DA56DB"/>
    <w:rsid w:val="00DA5766"/>
    <w:rsid w:val="00DA6452"/>
    <w:rsid w:val="00DA6FE9"/>
    <w:rsid w:val="00DA7925"/>
    <w:rsid w:val="00DB055E"/>
    <w:rsid w:val="00DB0AB8"/>
    <w:rsid w:val="00DB0D2A"/>
    <w:rsid w:val="00DB11CD"/>
    <w:rsid w:val="00DB1DAB"/>
    <w:rsid w:val="00DB39D4"/>
    <w:rsid w:val="00DB3A47"/>
    <w:rsid w:val="00DB4E06"/>
    <w:rsid w:val="00DB4E1B"/>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277D8"/>
    <w:rsid w:val="00E3117D"/>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EF5BA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2691"/>
    <w:rsid w:val="00F33DC8"/>
    <w:rsid w:val="00F34444"/>
    <w:rsid w:val="00F4065A"/>
    <w:rsid w:val="00F4126F"/>
    <w:rsid w:val="00F4275C"/>
    <w:rsid w:val="00F45693"/>
    <w:rsid w:val="00F52339"/>
    <w:rsid w:val="00F5277A"/>
    <w:rsid w:val="00F532E8"/>
    <w:rsid w:val="00F537FF"/>
    <w:rsid w:val="00F55998"/>
    <w:rsid w:val="00F560FE"/>
    <w:rsid w:val="00F6111C"/>
    <w:rsid w:val="00F614C0"/>
    <w:rsid w:val="00F61647"/>
    <w:rsid w:val="00F64B3E"/>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2599"/>
    <w:rsid w:val="00FD33FC"/>
    <w:rsid w:val="00FD3730"/>
    <w:rsid w:val="00FD3ADE"/>
    <w:rsid w:val="00FD3B08"/>
    <w:rsid w:val="00FD3F3C"/>
    <w:rsid w:val="00FD4806"/>
    <w:rsid w:val="00FD534E"/>
    <w:rsid w:val="00FD56C7"/>
    <w:rsid w:val="00FD5CBB"/>
    <w:rsid w:val="00FD6B74"/>
    <w:rsid w:val="00FE002E"/>
    <w:rsid w:val="00FE2398"/>
    <w:rsid w:val="00FE515A"/>
    <w:rsid w:val="00FE5624"/>
    <w:rsid w:val="00FE5D2C"/>
    <w:rsid w:val="00FE5FBF"/>
    <w:rsid w:val="00FE6C25"/>
    <w:rsid w:val="00FE769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7829E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2894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371ED-5C7F-4806-8DFF-CBC7F127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5</cp:revision>
  <cp:lastPrinted>2016-06-20T11:35:00Z</cp:lastPrinted>
  <dcterms:created xsi:type="dcterms:W3CDTF">2017-02-02T03:48:00Z</dcterms:created>
  <dcterms:modified xsi:type="dcterms:W3CDTF">2017-02-03T16:18:00Z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