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Pr="00327997">
        <w:tab/>
      </w:r>
      <w:r w:rsidR="00132615" w:rsidRPr="00283D2E">
        <w:t>R1-1702696</w:t>
      </w:r>
    </w:p>
    <w:p w:rsidR="00E90E49" w:rsidRDefault="00AC7789" w:rsidP="00327997">
      <w:pPr>
        <w:pStyle w:val="3GPPHeader"/>
      </w:pPr>
      <w:r>
        <w:t>Athens, Greece</w:t>
      </w:r>
      <w:r w:rsidR="0027144F" w:rsidRPr="009C6832">
        <w:t xml:space="preserve">, </w:t>
      </w:r>
      <w:r>
        <w:t>13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 w:rsidR="0027144F" w:rsidRPr="009C6832">
        <w:t xml:space="preserve">– </w:t>
      </w:r>
      <w:r>
        <w:t>17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February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8C2264" w:rsidRPr="008C2264">
        <w:t>NR MIMO Phase 2 system level calibration results for below 6 GHz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132615" w:rsidRPr="00283D2E">
        <w:t>8.1.2.5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</w:p>
    <w:p w:rsidR="00C80E97" w:rsidRDefault="00C80E97" w:rsidP="00C80E97">
      <w:pPr>
        <w:pStyle w:val="CommentText"/>
        <w:rPr>
          <w:lang w:val="en-US"/>
        </w:rPr>
      </w:pPr>
      <w:r w:rsidRPr="0089520E">
        <w:rPr>
          <w:lang w:val="en-US"/>
        </w:rPr>
        <w:t xml:space="preserve">In RAN1#86, </w:t>
      </w:r>
      <w:r>
        <w:rPr>
          <w:lang w:val="en-US"/>
        </w:rPr>
        <w:t>it was agreed to start NR</w:t>
      </w:r>
      <w:r w:rsidRPr="0089520E">
        <w:rPr>
          <w:lang w:val="en-US"/>
        </w:rPr>
        <w:t xml:space="preserve"> MIMO calibration</w:t>
      </w:r>
      <w:r>
        <w:rPr>
          <w:lang w:val="en-US"/>
        </w:rPr>
        <w:t xml:space="preserve">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_Ref462388067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="00C00C12">
        <w:rPr>
          <w:lang w:val="en-US"/>
        </w:rPr>
        <w:t>.</w:t>
      </w:r>
      <w:r w:rsidRPr="0089520E">
        <w:rPr>
          <w:lang w:val="en-US"/>
        </w:rPr>
        <w:t xml:space="preserve"> </w:t>
      </w:r>
      <w:r>
        <w:rPr>
          <w:lang w:val="en-US"/>
        </w:rPr>
        <w:t xml:space="preserve">From subsequent email discussion [86-20] it was agreed to follow a phased approach according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_Ref466035581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</w:p>
    <w:p w:rsidR="00C80E97" w:rsidRPr="0089520E" w:rsidRDefault="00C80E97" w:rsidP="00C80E97">
      <w:pPr>
        <w:pStyle w:val="CommentText"/>
        <w:numPr>
          <w:ilvl w:val="0"/>
          <w:numId w:val="16"/>
        </w:numPr>
        <w:rPr>
          <w:lang w:val="en-US"/>
        </w:rPr>
      </w:pPr>
      <w:r w:rsidRPr="0089520E">
        <w:rPr>
          <w:lang w:val="en-US"/>
        </w:rPr>
        <w:t xml:space="preserve">Phase 1: Calibration can be used to check the channel model and the basic beamforming behavior, e.g., by looking at the SNR/SINR distribution (aim to finish it in RAN1#86bis) </w:t>
      </w:r>
    </w:p>
    <w:p w:rsidR="00C80E97" w:rsidRPr="0089520E" w:rsidRDefault="00C80E97" w:rsidP="00C80E97">
      <w:pPr>
        <w:pStyle w:val="CommentText"/>
        <w:numPr>
          <w:ilvl w:val="0"/>
          <w:numId w:val="16"/>
        </w:numPr>
        <w:rPr>
          <w:lang w:val="en-US"/>
        </w:rPr>
      </w:pPr>
      <w:r w:rsidRPr="0089520E">
        <w:rPr>
          <w:lang w:val="en-US"/>
        </w:rPr>
        <w:t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</w:t>
      </w:r>
    </w:p>
    <w:p w:rsidR="00C80E97" w:rsidRPr="0089520E" w:rsidRDefault="00C80E97" w:rsidP="00C80E97">
      <w:pPr>
        <w:pStyle w:val="CommentText"/>
        <w:numPr>
          <w:ilvl w:val="0"/>
          <w:numId w:val="16"/>
        </w:numPr>
        <w:rPr>
          <w:lang w:val="en-US"/>
        </w:rPr>
      </w:pPr>
      <w:r w:rsidRPr="0089520E">
        <w:rPr>
          <w:lang w:val="en-US"/>
        </w:rPr>
        <w:t xml:space="preserve">Phase 3: Calibration can be used to check the UE movement/rotation/blockage (aim to finish it after RAN1#87) </w:t>
      </w:r>
    </w:p>
    <w:p w:rsidR="00AA778D" w:rsidRDefault="00C00C12" w:rsidP="008C2264">
      <w:pPr>
        <w:pStyle w:val="BodyText"/>
        <w:rPr>
          <w:lang w:val="en-US"/>
        </w:rPr>
      </w:pPr>
      <w:r>
        <w:rPr>
          <w:lang w:val="en-US"/>
        </w:rPr>
        <w:t xml:space="preserve">Further clarifications of simulation assumptions have been made in </w:t>
      </w:r>
      <w:r w:rsidR="00765ACE">
        <w:rPr>
          <w:lang w:val="en-US"/>
        </w:rPr>
        <w:fldChar w:fldCharType="begin"/>
      </w:r>
      <w:r w:rsidR="00765ACE">
        <w:rPr>
          <w:lang w:val="en-US"/>
        </w:rPr>
        <w:instrText xml:space="preserve"> REF _Ref473648985 \r \h </w:instrText>
      </w:r>
      <w:r w:rsidR="00765ACE">
        <w:rPr>
          <w:lang w:val="en-US"/>
        </w:rPr>
      </w:r>
      <w:r w:rsidR="00765ACE">
        <w:rPr>
          <w:lang w:val="en-US"/>
        </w:rPr>
        <w:fldChar w:fldCharType="separate"/>
      </w:r>
      <w:r w:rsidR="00765ACE">
        <w:rPr>
          <w:lang w:val="en-US"/>
        </w:rPr>
        <w:t>[3]</w:t>
      </w:r>
      <w:r w:rsidR="00765ACE">
        <w:rPr>
          <w:lang w:val="en-US"/>
        </w:rPr>
        <w:fldChar w:fldCharType="end"/>
      </w:r>
      <w:r w:rsidR="00765ACE">
        <w:rPr>
          <w:lang w:val="en-US"/>
        </w:rPr>
        <w:t xml:space="preserve"> and </w:t>
      </w:r>
      <w:r w:rsidR="00765ACE">
        <w:rPr>
          <w:lang w:val="en-US"/>
        </w:rPr>
        <w:fldChar w:fldCharType="begin"/>
      </w:r>
      <w:r w:rsidR="00765ACE">
        <w:rPr>
          <w:lang w:val="en-US"/>
        </w:rPr>
        <w:instrText xml:space="preserve"> REF _Ref470614820 \r \h </w:instrText>
      </w:r>
      <w:r w:rsidR="00765ACE">
        <w:rPr>
          <w:lang w:val="en-US"/>
        </w:rPr>
      </w:r>
      <w:r w:rsidR="00765ACE">
        <w:rPr>
          <w:lang w:val="en-US"/>
        </w:rPr>
        <w:fldChar w:fldCharType="separate"/>
      </w:r>
      <w:r w:rsidR="00765ACE">
        <w:rPr>
          <w:lang w:val="en-US"/>
        </w:rPr>
        <w:t>[4]</w:t>
      </w:r>
      <w:r w:rsidR="00765ACE">
        <w:rPr>
          <w:lang w:val="en-US"/>
        </w:rPr>
        <w:fldChar w:fldCharType="end"/>
      </w:r>
      <w:r w:rsidR="00765ACE">
        <w:rPr>
          <w:lang w:val="en-US"/>
        </w:rPr>
        <w:t xml:space="preserve">. </w:t>
      </w:r>
    </w:p>
    <w:p w:rsidR="00C00C12" w:rsidRDefault="008C2264" w:rsidP="008C2264">
      <w:pPr>
        <w:pStyle w:val="BodyText"/>
        <w:rPr>
          <w:lang w:val="en-US"/>
        </w:rPr>
      </w:pPr>
      <w:r w:rsidRPr="00C570C7">
        <w:rPr>
          <w:lang w:val="en-US"/>
        </w:rPr>
        <w:t xml:space="preserve">In this contribution we </w:t>
      </w:r>
      <w:r>
        <w:rPr>
          <w:lang w:val="en-US"/>
        </w:rPr>
        <w:t xml:space="preserve">present </w:t>
      </w:r>
      <w:r w:rsidR="00F2726C">
        <w:rPr>
          <w:lang w:val="en-US"/>
        </w:rPr>
        <w:t>preliminary</w:t>
      </w:r>
      <w:r>
        <w:rPr>
          <w:lang w:val="en-US"/>
        </w:rPr>
        <w:t xml:space="preserve"> system-level results on Phase 2 NR MIMO calibration for the </w:t>
      </w:r>
      <w:r>
        <w:t>Dense urban macro 4 GHz scenario. In order to facilitate better alignment between different companies’ results we also provide details of the simulation assumptions we have used.</w:t>
      </w:r>
    </w:p>
    <w:p w:rsidR="004000E8" w:rsidRDefault="00AA778D" w:rsidP="00CE0424">
      <w:pPr>
        <w:pStyle w:val="Heading1"/>
      </w:pPr>
      <w:r>
        <w:t>Phase 2 system level simulations</w:t>
      </w:r>
    </w:p>
    <w:p w:rsidR="00AA778D" w:rsidRDefault="00AA778D" w:rsidP="00AA778D">
      <w:pPr>
        <w:pStyle w:val="Heading2"/>
      </w:pPr>
      <w:r>
        <w:t>Simulation assumptions</w:t>
      </w:r>
    </w:p>
    <w:p w:rsidR="00AA778D" w:rsidRPr="00AA778D" w:rsidRDefault="00AA778D" w:rsidP="00AA778D">
      <w:r>
        <w:fldChar w:fldCharType="begin"/>
      </w:r>
      <w:r>
        <w:instrText xml:space="preserve"> REF _Ref473654085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lists the assumptions we have used in the simulations of the Dense urban macro</w:t>
      </w:r>
      <w:r w:rsidR="00E35FD5">
        <w:t>-layer</w:t>
      </w:r>
      <w:r>
        <w:t xml:space="preserve"> scenario.</w:t>
      </w:r>
    </w:p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6436"/>
      </w:tblGrid>
      <w:tr w:rsidR="00AA778D" w:rsidRPr="009F76E9" w:rsidTr="00671BEA">
        <w:trPr>
          <w:jc w:val="center"/>
        </w:trPr>
        <w:tc>
          <w:tcPr>
            <w:tcW w:w="2100" w:type="dxa"/>
            <w:shd w:val="clear" w:color="auto" w:fill="7F7F7F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6436" w:type="dxa"/>
            <w:shd w:val="clear" w:color="auto" w:fill="7F7F7F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</w:tr>
      <w:tr w:rsidR="00AA778D" w:rsidRPr="009F76E9" w:rsidTr="00671BEA">
        <w:trPr>
          <w:jc w:val="center"/>
        </w:trPr>
        <w:tc>
          <w:tcPr>
            <w:tcW w:w="2100" w:type="dxa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6436" w:type="dxa"/>
            <w:vAlign w:val="center"/>
          </w:tcPr>
          <w:p w:rsidR="00AA778D" w:rsidRPr="004B32CA" w:rsidRDefault="00AA778D" w:rsidP="00671BE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Single layer</w:t>
            </w:r>
          </w:p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2CA">
              <w:rPr>
                <w:rFonts w:ascii="Times New Roman" w:hAnsi="Times New Roman" w:hint="eastAsia"/>
                <w:sz w:val="20"/>
                <w:szCs w:val="20"/>
              </w:rPr>
              <w:t>Macro layer: Hex Grid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7 sites </w:t>
            </w:r>
          </w:p>
        </w:tc>
      </w:tr>
      <w:tr w:rsidR="00AA778D" w:rsidRPr="009F76E9" w:rsidTr="00671BEA">
        <w:trPr>
          <w:jc w:val="center"/>
        </w:trPr>
        <w:tc>
          <w:tcPr>
            <w:tcW w:w="2100" w:type="dxa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6436" w:type="dxa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AA778D" w:rsidRPr="009F76E9" w:rsidTr="00671BEA">
        <w:trPr>
          <w:jc w:val="center"/>
        </w:trPr>
        <w:tc>
          <w:tcPr>
            <w:tcW w:w="2100" w:type="dxa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436" w:type="dxa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GHz</w:t>
            </w:r>
          </w:p>
        </w:tc>
      </w:tr>
      <w:tr w:rsidR="00AA778D" w:rsidRPr="009F76E9" w:rsidTr="00671BEA">
        <w:trPr>
          <w:jc w:val="center"/>
        </w:trPr>
        <w:tc>
          <w:tcPr>
            <w:tcW w:w="2100" w:type="dxa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System bandwidth </w:t>
            </w:r>
          </w:p>
        </w:tc>
        <w:tc>
          <w:tcPr>
            <w:tcW w:w="6436" w:type="dxa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MHz</w:t>
            </w:r>
          </w:p>
        </w:tc>
      </w:tr>
      <w:tr w:rsidR="00AA778D" w:rsidRPr="009F76E9" w:rsidTr="00671BEA">
        <w:trPr>
          <w:jc w:val="center"/>
        </w:trPr>
        <w:tc>
          <w:tcPr>
            <w:tcW w:w="2100" w:type="dxa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Subcarrier spacing</w:t>
            </w:r>
          </w:p>
        </w:tc>
        <w:tc>
          <w:tcPr>
            <w:tcW w:w="6436" w:type="dxa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kHz</w:t>
            </w:r>
          </w:p>
        </w:tc>
      </w:tr>
      <w:tr w:rsidR="00AA778D" w:rsidRPr="009F76E9" w:rsidTr="00671BEA">
        <w:trPr>
          <w:jc w:val="center"/>
        </w:trPr>
        <w:tc>
          <w:tcPr>
            <w:tcW w:w="2100" w:type="dxa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436" w:type="dxa"/>
            <w:vAlign w:val="center"/>
          </w:tcPr>
          <w:p w:rsidR="00AA778D" w:rsidRPr="009F76E9" w:rsidRDefault="00AA778D" w:rsidP="00671BEA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3D UMa</w:t>
            </w:r>
          </w:p>
        </w:tc>
      </w:tr>
      <w:tr w:rsidR="00C711BC" w:rsidRPr="009F76E9" w:rsidTr="00AF5992">
        <w:trPr>
          <w:jc w:val="center"/>
        </w:trPr>
        <w:tc>
          <w:tcPr>
            <w:tcW w:w="2100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to antenna elements</w:t>
            </w:r>
          </w:p>
        </w:tc>
        <w:tc>
          <w:tcPr>
            <w:tcW w:w="6436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rFonts w:eastAsiaTheme="minorEastAsia"/>
              </w:rPr>
              <w:t xml:space="preserve">One </w:t>
            </w:r>
            <w:r w:rsidRPr="00C711BC">
              <w:rPr>
                <w:lang w:eastAsia="ja-JP"/>
              </w:rPr>
              <w:t>TXRU per vertical dimension per polarization</w:t>
            </w:r>
          </w:p>
        </w:tc>
      </w:tr>
      <w:tr w:rsidR="00C711BC" w:rsidRPr="009F76E9" w:rsidTr="00AF5992">
        <w:trPr>
          <w:jc w:val="center"/>
        </w:trPr>
        <w:tc>
          <w:tcPr>
            <w:tcW w:w="2100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mapping weights</w:t>
            </w:r>
          </w:p>
        </w:tc>
        <w:tc>
          <w:tcPr>
            <w:tcW w:w="6436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TXRU virtualization only in the vertical dimension (i.e. 1D virtualization) using DFT, i.e., 1D sub-array partition model defined in TR36.897</w:t>
            </w:r>
          </w:p>
        </w:tc>
      </w:tr>
      <w:tr w:rsidR="00C711BC" w:rsidRPr="009F76E9" w:rsidTr="00AF5992">
        <w:trPr>
          <w:jc w:val="center"/>
        </w:trPr>
        <w:tc>
          <w:tcPr>
            <w:tcW w:w="2100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Criteria for </w:t>
            </w:r>
            <w:r w:rsidRPr="00C711BC">
              <w:rPr>
                <w:rFonts w:eastAsiaTheme="minorEastAsia"/>
              </w:rPr>
              <w:t>s</w:t>
            </w:r>
            <w:r w:rsidRPr="00C711BC">
              <w:rPr>
                <w:lang w:eastAsia="ja-JP"/>
              </w:rPr>
              <w:t>election for serving TRP</w:t>
            </w:r>
          </w:p>
        </w:tc>
        <w:tc>
          <w:tcPr>
            <w:tcW w:w="6436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rFonts w:eastAsiaTheme="minorEastAsia"/>
              </w:rPr>
              <w:t>M</w:t>
            </w:r>
            <w:r w:rsidRPr="00C711BC">
              <w:rPr>
                <w:lang w:eastAsia="ja-JP"/>
              </w:rPr>
              <w:t>aximizing RSRP with best analog beam pair, where the digital beamforming is not considered</w:t>
            </w:r>
            <w:r w:rsidRPr="00C711BC">
              <w:rPr>
                <w:rFonts w:eastAsiaTheme="minorEastAsia"/>
              </w:rPr>
              <w:t>. The selection is done per drop, i.e., only at the beginning of drop and kept unchanged.</w:t>
            </w:r>
          </w:p>
        </w:tc>
      </w:tr>
      <w:tr w:rsidR="00C711BC" w:rsidRPr="009F76E9" w:rsidTr="00AF5992">
        <w:trPr>
          <w:jc w:val="center"/>
        </w:trPr>
        <w:tc>
          <w:tcPr>
            <w:tcW w:w="2100" w:type="dxa"/>
          </w:tcPr>
          <w:p w:rsidR="00C711BC" w:rsidRPr="00C711BC" w:rsidRDefault="00C711BC" w:rsidP="00C711BC">
            <w:pPr>
              <w:jc w:val="center"/>
              <w:rPr>
                <w:rFonts w:eastAsiaTheme="minorEastAsia"/>
              </w:rPr>
            </w:pPr>
            <w:r w:rsidRPr="00C711BC">
              <w:rPr>
                <w:lang w:eastAsia="ja-JP"/>
              </w:rPr>
              <w:lastRenderedPageBreak/>
              <w:t>Criteria for beam selection</w:t>
            </w:r>
            <w:r w:rsidRPr="00C711BC">
              <w:rPr>
                <w:rFonts w:eastAsiaTheme="minorEastAsia"/>
              </w:rPr>
              <w:t xml:space="preserve"> for serving TRP</w:t>
            </w:r>
          </w:p>
        </w:tc>
        <w:tc>
          <w:tcPr>
            <w:tcW w:w="6436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 xml:space="preserve">Select the best beam pair among the limited set of DFT beams, based on the criteria of maximizing receive power after beamforming.  </w:t>
            </w:r>
            <w:r w:rsidRPr="00C711BC">
              <w:rPr>
                <w:rFonts w:eastAsiaTheme="minorEastAsia"/>
              </w:rPr>
              <w:t>The selection is done per drop, i.e., only at the beginning of drop and kept unchanged.</w:t>
            </w:r>
          </w:p>
        </w:tc>
      </w:tr>
      <w:tr w:rsidR="00C711BC" w:rsidRPr="009F76E9" w:rsidTr="00AF5992">
        <w:trPr>
          <w:jc w:val="center"/>
        </w:trPr>
        <w:tc>
          <w:tcPr>
            <w:tcW w:w="2100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Criteria for Beam Selection for interfering TRP</w:t>
            </w:r>
          </w:p>
        </w:tc>
        <w:tc>
          <w:tcPr>
            <w:tcW w:w="6436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Considering the real traffic in adjacent cells, the actual beam or SVD precoder that is used by the non-serving TRPs in its data transmission is used as interfering beams.</w:t>
            </w:r>
          </w:p>
        </w:tc>
      </w:tr>
      <w:tr w:rsidR="00C711BC" w:rsidRPr="009F76E9" w:rsidTr="00AF5992">
        <w:trPr>
          <w:jc w:val="center"/>
        </w:trPr>
        <w:tc>
          <w:tcPr>
            <w:tcW w:w="2100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Constraints for the range of selective beams per TRP sector</w:t>
            </w:r>
          </w:p>
        </w:tc>
        <w:tc>
          <w:tcPr>
            <w:tcW w:w="6436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[-60, 60] in azimuth</w:t>
            </w:r>
            <w:r w:rsidRPr="00C711BC">
              <w:rPr>
                <w:rFonts w:eastAsiaTheme="minorEastAsia"/>
              </w:rPr>
              <w:t xml:space="preserve"> domain</w:t>
            </w:r>
            <w:r w:rsidRPr="00C711BC">
              <w:rPr>
                <w:lang w:eastAsia="ja-JP"/>
              </w:rPr>
              <w:t xml:space="preserve"> and [100, 160] in zenith</w:t>
            </w:r>
            <w:r w:rsidRPr="00C711BC">
              <w:rPr>
                <w:rFonts w:eastAsiaTheme="minorEastAsia"/>
              </w:rPr>
              <w:t xml:space="preserve"> domain</w:t>
            </w:r>
          </w:p>
        </w:tc>
      </w:tr>
      <w:tr w:rsidR="00C711BC" w:rsidRPr="009F76E9" w:rsidTr="00AF5992">
        <w:trPr>
          <w:jc w:val="center"/>
        </w:trPr>
        <w:tc>
          <w:tcPr>
            <w:tcW w:w="2100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Scheduling algorithm</w:t>
            </w:r>
          </w:p>
        </w:tc>
        <w:tc>
          <w:tcPr>
            <w:tcW w:w="6436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Round robin</w:t>
            </w:r>
          </w:p>
        </w:tc>
      </w:tr>
      <w:tr w:rsidR="00C711BC" w:rsidRPr="009F76E9" w:rsidTr="00AF5992">
        <w:trPr>
          <w:jc w:val="center"/>
        </w:trPr>
        <w:tc>
          <w:tcPr>
            <w:tcW w:w="2100" w:type="dxa"/>
          </w:tcPr>
          <w:p w:rsidR="00C711BC" w:rsidRPr="00C711BC" w:rsidRDefault="00C711BC" w:rsidP="00C711BC">
            <w:pPr>
              <w:jc w:val="center"/>
              <w:rPr>
                <w:rFonts w:eastAsiaTheme="minorEastAsia"/>
              </w:rPr>
            </w:pPr>
            <w:r w:rsidRPr="00C711BC">
              <w:rPr>
                <w:rFonts w:eastAsiaTheme="minorEastAsia"/>
              </w:rPr>
              <w:t>Traffic Model</w:t>
            </w:r>
          </w:p>
        </w:tc>
        <w:tc>
          <w:tcPr>
            <w:tcW w:w="6436" w:type="dxa"/>
          </w:tcPr>
          <w:p w:rsidR="00C711BC" w:rsidRPr="00C711BC" w:rsidRDefault="00C711BC" w:rsidP="00C711BC">
            <w:pPr>
              <w:jc w:val="center"/>
              <w:rPr>
                <w:lang w:eastAsia="ja-JP"/>
              </w:rPr>
            </w:pPr>
            <w:r w:rsidRPr="00C711BC">
              <w:rPr>
                <w:lang w:eastAsia="ja-JP"/>
              </w:rPr>
              <w:t>Full buffer</w:t>
            </w:r>
          </w:p>
        </w:tc>
      </w:tr>
      <w:tr w:rsidR="00C711BC" w:rsidRPr="009F76E9" w:rsidTr="00671BEA">
        <w:trPr>
          <w:jc w:val="center"/>
        </w:trPr>
        <w:tc>
          <w:tcPr>
            <w:tcW w:w="2100" w:type="dxa"/>
            <w:vAlign w:val="center"/>
          </w:tcPr>
          <w:p w:rsidR="00C711BC" w:rsidRPr="009F76E9" w:rsidRDefault="00C711BC" w:rsidP="00C711BC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6436" w:type="dxa"/>
            <w:vAlign w:val="center"/>
          </w:tcPr>
          <w:p w:rsidR="00C711BC" w:rsidRPr="009F76E9" w:rsidRDefault="00C711BC" w:rsidP="00C711BC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dBm</w:t>
            </w:r>
          </w:p>
        </w:tc>
      </w:tr>
      <w:tr w:rsidR="00C711BC" w:rsidRPr="00F2726C" w:rsidTr="00671BEA">
        <w:trPr>
          <w:jc w:val="center"/>
        </w:trPr>
        <w:tc>
          <w:tcPr>
            <w:tcW w:w="2100" w:type="dxa"/>
            <w:vAlign w:val="center"/>
          </w:tcPr>
          <w:p w:rsidR="00C711BC" w:rsidRPr="009F76E9" w:rsidRDefault="00C711BC" w:rsidP="00C711BC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BS 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ntenna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:rsidR="00C711BC" w:rsidRPr="00DE295F" w:rsidRDefault="00C711BC" w:rsidP="00C711BC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>(M,N,P,Mg,Ng) = (8,8,2,1,1)</w:t>
            </w:r>
          </w:p>
          <w:p w:rsidR="00C711BC" w:rsidRPr="00426CAC" w:rsidRDefault="00C711BC" w:rsidP="00C711BC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>(dH,dV) = (0.5, 0.8)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λ</w:t>
            </w:r>
            <w:r w:rsidRPr="00DE295F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</w:p>
        </w:tc>
      </w:tr>
      <w:tr w:rsidR="00C711BC" w:rsidRPr="009F76E9" w:rsidTr="00671BEA">
        <w:trPr>
          <w:jc w:val="center"/>
        </w:trPr>
        <w:tc>
          <w:tcPr>
            <w:tcW w:w="2100" w:type="dxa"/>
            <w:vAlign w:val="center"/>
          </w:tcPr>
          <w:p w:rsidR="00C711BC" w:rsidRPr="009F76E9" w:rsidRDefault="00C711BC" w:rsidP="00C711BC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antenna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onfiguration</w:t>
            </w:r>
          </w:p>
        </w:tc>
        <w:tc>
          <w:tcPr>
            <w:tcW w:w="6436" w:type="dxa"/>
            <w:vAlign w:val="center"/>
          </w:tcPr>
          <w:p w:rsidR="00C711BC" w:rsidRPr="00CB04E1" w:rsidRDefault="00C711BC" w:rsidP="00C711BC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(1,1,2,1,1)</w:t>
            </w:r>
          </w:p>
        </w:tc>
      </w:tr>
      <w:tr w:rsidR="00C711BC" w:rsidRPr="009F76E9" w:rsidTr="00671BEA">
        <w:trPr>
          <w:jc w:val="center"/>
        </w:trPr>
        <w:tc>
          <w:tcPr>
            <w:tcW w:w="2100" w:type="dxa"/>
            <w:vAlign w:val="center"/>
          </w:tcPr>
          <w:p w:rsidR="00C711BC" w:rsidRPr="009F76E9" w:rsidRDefault="00C711BC" w:rsidP="00C711BC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436" w:type="dxa"/>
            <w:vAlign w:val="center"/>
          </w:tcPr>
          <w:p w:rsidR="00C711BC" w:rsidRPr="009F76E9" w:rsidRDefault="00C711BC" w:rsidP="00C711BC">
            <w:pPr>
              <w:snapToGrid w:val="0"/>
              <w:spacing w:before="60" w:after="156"/>
              <w:rPr>
                <w:rFonts w:eastAsiaTheme="minorEastAsia"/>
                <w:kern w:val="24"/>
              </w:rPr>
            </w:pPr>
          </w:p>
          <w:p w:rsidR="00C711BC" w:rsidRPr="009F76E9" w:rsidRDefault="00C711BC" w:rsidP="00C711BC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8"/>
              </w:rPr>
              <w:object w:dxaOrig="5520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6.75pt;height:42pt" o:ole="">
                  <v:imagedata r:id="rId8" o:title=""/>
                </v:shape>
                <o:OLEObject Type="Embed" ProgID="Equation.3" ShapeID="_x0000_i1025" DrawAspect="Content" ObjectID="_1547921410" r:id="rId9"/>
              </w:object>
            </w:r>
          </w:p>
          <w:p w:rsidR="00C711BC" w:rsidRPr="009F76E9" w:rsidRDefault="00C711BC" w:rsidP="00C711BC">
            <w:pPr>
              <w:snapToGrid w:val="0"/>
              <w:spacing w:before="60" w:after="156"/>
              <w:jc w:val="center"/>
            </w:pPr>
            <w:r w:rsidRPr="009F76E9">
              <w:rPr>
                <w:rFonts w:eastAsia="SimSun"/>
                <w:color w:val="000000"/>
                <w:position w:val="-36"/>
              </w:rPr>
              <w:object w:dxaOrig="4819" w:dyaOrig="840">
                <v:shape id="_x0000_i1026" type="#_x0000_t75" style="width:243pt;height:42pt" o:ole="">
                  <v:imagedata r:id="rId10" o:title=""/>
                </v:shape>
                <o:OLEObject Type="Embed" ProgID="Equation.3" ShapeID="_x0000_i1026" DrawAspect="Content" ObjectID="_1547921411" r:id="rId11"/>
              </w:object>
            </w:r>
          </w:p>
          <w:p w:rsidR="00C711BC" w:rsidRDefault="00C711BC" w:rsidP="00C711BC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position w:val="-12"/>
                <w:sz w:val="20"/>
                <w:szCs w:val="20"/>
              </w:rPr>
              <w:object w:dxaOrig="4140" w:dyaOrig="340">
                <v:shape id="_x0000_i1027" type="#_x0000_t75" style="width:208.5pt;height:17.25pt" o:ole="">
                  <v:imagedata r:id="rId12" o:title=""/>
                </v:shape>
                <o:OLEObject Type="Embed" ProgID="Equation.3" ShapeID="_x0000_i1027" DrawAspect="Content" ObjectID="_1547921412" r:id="rId13"/>
              </w:object>
            </w:r>
          </w:p>
          <w:p w:rsidR="00C711BC" w:rsidRDefault="00C711BC" w:rsidP="00C711BC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8 dBi</w:t>
            </w:r>
          </w:p>
          <w:p w:rsidR="00C711BC" w:rsidRPr="009F76E9" w:rsidRDefault="00C711BC" w:rsidP="00C711BC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±45º</w:t>
            </w:r>
          </w:p>
        </w:tc>
        <w:bookmarkStart w:id="0" w:name="_GoBack"/>
        <w:bookmarkEnd w:id="0"/>
      </w:tr>
      <w:tr w:rsidR="007349B7" w:rsidRPr="009F76E9" w:rsidTr="00032141">
        <w:trPr>
          <w:jc w:val="center"/>
        </w:trPr>
        <w:tc>
          <w:tcPr>
            <w:tcW w:w="2100" w:type="dxa"/>
          </w:tcPr>
          <w:p w:rsidR="007349B7" w:rsidRPr="007349B7" w:rsidRDefault="007349B7" w:rsidP="007349B7">
            <w:pPr>
              <w:jc w:val="center"/>
              <w:rPr>
                <w:lang w:eastAsia="ja-JP"/>
              </w:rPr>
            </w:pPr>
            <w:r w:rsidRPr="007349B7">
              <w:rPr>
                <w:lang w:eastAsia="ja-JP"/>
              </w:rPr>
              <w:t>BS array orientation</w:t>
            </w:r>
          </w:p>
        </w:tc>
        <w:tc>
          <w:tcPr>
            <w:tcW w:w="6436" w:type="dxa"/>
          </w:tcPr>
          <w:p w:rsidR="007349B7" w:rsidRPr="007349B7" w:rsidRDefault="007349B7" w:rsidP="007349B7">
            <w:pPr>
              <w:spacing w:before="60" w:after="60" w:line="224" w:lineRule="atLeast"/>
              <w:jc w:val="center"/>
              <w:rPr>
                <w:rFonts w:eastAsiaTheme="minorEastAsia"/>
              </w:rPr>
            </w:pPr>
            <w:r w:rsidRPr="007349B7">
              <w:t>azimuth 0 degree; mechanic</w:t>
            </w:r>
            <w:r w:rsidR="00566138">
              <w:t>al</w:t>
            </w:r>
            <w:r w:rsidRPr="007349B7">
              <w:t xml:space="preserve"> downtilt: 0 degree</w:t>
            </w:r>
          </w:p>
        </w:tc>
      </w:tr>
      <w:tr w:rsidR="007349B7" w:rsidRPr="009F76E9" w:rsidTr="00671BEA">
        <w:trPr>
          <w:jc w:val="center"/>
        </w:trPr>
        <w:tc>
          <w:tcPr>
            <w:tcW w:w="2100" w:type="dxa"/>
            <w:vAlign w:val="center"/>
          </w:tcPr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</w:t>
            </w: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 xml:space="preserve"> antenna pattern</w:t>
            </w:r>
          </w:p>
        </w:tc>
        <w:tc>
          <w:tcPr>
            <w:tcW w:w="6436" w:type="dxa"/>
            <w:vAlign w:val="center"/>
          </w:tcPr>
          <w:p w:rsidR="007349B7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Isotropic</w:t>
            </w:r>
          </w:p>
          <w:p w:rsidR="007349B7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Max gain = 0 dBi</w:t>
            </w:r>
          </w:p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Polarization: 0º and 90º</w:t>
            </w:r>
          </w:p>
        </w:tc>
      </w:tr>
      <w:tr w:rsidR="007349B7" w:rsidRPr="009F76E9" w:rsidTr="00671BEA">
        <w:trPr>
          <w:jc w:val="center"/>
        </w:trPr>
        <w:tc>
          <w:tcPr>
            <w:tcW w:w="2100" w:type="dxa"/>
            <w:vAlign w:val="center"/>
          </w:tcPr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6436" w:type="dxa"/>
            <w:vAlign w:val="center"/>
          </w:tcPr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7349B7" w:rsidRPr="009F76E9" w:rsidTr="00671BEA">
        <w:trPr>
          <w:jc w:val="center"/>
        </w:trPr>
        <w:tc>
          <w:tcPr>
            <w:tcW w:w="2100" w:type="dxa"/>
            <w:vAlign w:val="center"/>
          </w:tcPr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6" w:type="dxa"/>
            <w:vAlign w:val="center"/>
          </w:tcPr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7349B7" w:rsidRPr="009F76E9" w:rsidTr="00671BEA">
        <w:trPr>
          <w:jc w:val="center"/>
        </w:trPr>
        <w:tc>
          <w:tcPr>
            <w:tcW w:w="2100" w:type="dxa"/>
            <w:vAlign w:val="center"/>
          </w:tcPr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6436" w:type="dxa"/>
            <w:vAlign w:val="center"/>
          </w:tcPr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dB</w:t>
            </w:r>
          </w:p>
        </w:tc>
      </w:tr>
      <w:tr w:rsidR="007349B7" w:rsidRPr="009F76E9" w:rsidTr="00671BEA">
        <w:trPr>
          <w:jc w:val="center"/>
        </w:trPr>
        <w:tc>
          <w:tcPr>
            <w:tcW w:w="2100" w:type="dxa"/>
            <w:vAlign w:val="center"/>
          </w:tcPr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436" w:type="dxa"/>
            <w:vAlign w:val="center"/>
          </w:tcPr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20% o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utdoor in cars: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km/h,</w:t>
            </w:r>
          </w:p>
          <w:p w:rsidR="007349B7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80% i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ndoor in houses: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km/h</w:t>
            </w:r>
          </w:p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9B7">
              <w:rPr>
                <w:rFonts w:ascii="Times New Roman" w:hAnsi="Times New Roman"/>
                <w:sz w:val="20"/>
                <w:szCs w:val="20"/>
              </w:rPr>
              <w:t>10 users per TRP</w:t>
            </w:r>
          </w:p>
        </w:tc>
      </w:tr>
      <w:tr w:rsidR="007349B7" w:rsidRPr="009F76E9" w:rsidTr="00671BEA">
        <w:trPr>
          <w:jc w:val="center"/>
        </w:trPr>
        <w:tc>
          <w:tcPr>
            <w:tcW w:w="2100" w:type="dxa"/>
          </w:tcPr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Car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penetration loss</w:t>
            </w:r>
          </w:p>
        </w:tc>
        <w:tc>
          <w:tcPr>
            <w:tcW w:w="6436" w:type="dxa"/>
          </w:tcPr>
          <w:p w:rsidR="007349B7" w:rsidRPr="009F76E9" w:rsidRDefault="007349B7" w:rsidP="007349B7">
            <w:pPr>
              <w:pStyle w:val="NoSpacing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163">
              <w:rPr>
                <w:rFonts w:ascii="Symbol" w:hAnsi="Symbol"/>
                <w:sz w:val="20"/>
                <w:szCs w:val="20"/>
                <w:lang w:eastAsia="ko-KR"/>
              </w:rPr>
              <w:t>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= 9 dB, </w:t>
            </w:r>
            <w:r w:rsidRPr="00DE3163">
              <w:rPr>
                <w:rFonts w:ascii="Symbol" w:hAnsi="Symbol"/>
                <w:sz w:val="20"/>
                <w:szCs w:val="20"/>
                <w:lang w:eastAsia="ko-KR"/>
              </w:rPr>
              <w:t>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= 5 dB</w:t>
            </w:r>
          </w:p>
        </w:tc>
      </w:tr>
      <w:tr w:rsidR="007349B7" w:rsidRPr="009F76E9" w:rsidTr="00671BEA">
        <w:trPr>
          <w:jc w:val="center"/>
        </w:trPr>
        <w:tc>
          <w:tcPr>
            <w:tcW w:w="2100" w:type="dxa"/>
          </w:tcPr>
          <w:p w:rsidR="007349B7" w:rsidRPr="009F76E9" w:rsidRDefault="007349B7" w:rsidP="00F83EA9">
            <w:pPr>
              <w:spacing w:after="156"/>
              <w:jc w:val="center"/>
              <w:rPr>
                <w:rFonts w:eastAsia="SimSun"/>
              </w:rPr>
            </w:pPr>
            <w:r w:rsidRPr="009F76E9">
              <w:rPr>
                <w:rFonts w:eastAsia="SimSun"/>
              </w:rPr>
              <w:t>Analog beam set</w:t>
            </w:r>
          </w:p>
        </w:tc>
        <w:tc>
          <w:tcPr>
            <w:tcW w:w="6436" w:type="dxa"/>
          </w:tcPr>
          <w:p w:rsidR="007349B7" w:rsidRPr="00E35FD5" w:rsidRDefault="007349B7" w:rsidP="007349B7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9F76E9">
              <w:rPr>
                <w:rFonts w:eastAsia="SimSun"/>
                <w:color w:val="000000" w:themeColor="text1"/>
              </w:rPr>
              <w:t>Zenith angle</w:t>
            </w:r>
            <w:r>
              <w:rPr>
                <w:rFonts w:eastAsia="SimSun"/>
                <w:color w:val="000000" w:themeColor="text1"/>
              </w:rPr>
              <w:t>s: [9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/16, 11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 xml:space="preserve"> /16, 13</w:t>
            </w:r>
            <w:r w:rsidRPr="00DE3163">
              <w:rPr>
                <w:rFonts w:ascii="Symbol" w:eastAsia="SimSun" w:hAnsi="Symbol"/>
                <w:color w:val="000000" w:themeColor="text1"/>
              </w:rPr>
              <w:t></w:t>
            </w:r>
            <w:r>
              <w:rPr>
                <w:rFonts w:eastAsia="SimSun"/>
                <w:color w:val="000000" w:themeColor="text1"/>
              </w:rPr>
              <w:t>/16]</w:t>
            </w:r>
          </w:p>
        </w:tc>
      </w:tr>
      <w:tr w:rsidR="007349B7" w:rsidRPr="009F76E9" w:rsidTr="00671BEA">
        <w:trPr>
          <w:jc w:val="center"/>
        </w:trPr>
        <w:tc>
          <w:tcPr>
            <w:tcW w:w="2100" w:type="dxa"/>
          </w:tcPr>
          <w:p w:rsidR="007349B7" w:rsidRDefault="00F83EA9" w:rsidP="00F83EA9">
            <w:pPr>
              <w:spacing w:after="156"/>
              <w:jc w:val="center"/>
              <w:rPr>
                <w:rFonts w:eastAsia="SimSun"/>
              </w:rPr>
            </w:pPr>
            <w:r w:rsidRPr="00F83EA9">
              <w:rPr>
                <w:rFonts w:eastAsia="SimSun"/>
              </w:rPr>
              <w:t>BF scheme</w:t>
            </w:r>
          </w:p>
        </w:tc>
        <w:tc>
          <w:tcPr>
            <w:tcW w:w="6436" w:type="dxa"/>
          </w:tcPr>
          <w:p w:rsidR="00F83EA9" w:rsidRDefault="00F83EA9" w:rsidP="007349B7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F83EA9">
              <w:rPr>
                <w:rFonts w:eastAsia="SimSun"/>
                <w:color w:val="000000" w:themeColor="text1"/>
              </w:rPr>
              <w:t>Analog BF based on beam selection + Digital BF based on ideal SVD</w:t>
            </w:r>
          </w:p>
          <w:p w:rsidR="007349B7" w:rsidRDefault="007349B7" w:rsidP="007349B7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Per subcarrier SVD precoding based on instantaneous channel</w:t>
            </w:r>
          </w:p>
          <w:p w:rsidR="007349B7" w:rsidRPr="009F76E9" w:rsidRDefault="007349B7" w:rsidP="007349B7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Sum power constraint on precoding weights</w:t>
            </w:r>
          </w:p>
        </w:tc>
      </w:tr>
      <w:tr w:rsidR="00F83EA9" w:rsidRPr="00F83EA9" w:rsidTr="00671BEA">
        <w:trPr>
          <w:jc w:val="center"/>
        </w:trPr>
        <w:tc>
          <w:tcPr>
            <w:tcW w:w="2100" w:type="dxa"/>
          </w:tcPr>
          <w:p w:rsidR="00F83EA9" w:rsidRPr="00F83EA9" w:rsidRDefault="00F83EA9" w:rsidP="00F83EA9">
            <w:pPr>
              <w:jc w:val="center"/>
              <w:rPr>
                <w:lang w:eastAsia="ja-JP"/>
              </w:rPr>
            </w:pPr>
            <w:r w:rsidRPr="00F83EA9">
              <w:rPr>
                <w:lang w:eastAsia="ja-JP"/>
              </w:rPr>
              <w:t>MIMO mode</w:t>
            </w:r>
          </w:p>
        </w:tc>
        <w:tc>
          <w:tcPr>
            <w:tcW w:w="6436" w:type="dxa"/>
          </w:tcPr>
          <w:p w:rsidR="00F83EA9" w:rsidRPr="00F83EA9" w:rsidRDefault="00F83EA9" w:rsidP="00F83EA9">
            <w:pPr>
              <w:pStyle w:val="NormalWeb"/>
              <w:spacing w:before="0" w:beforeAutospacing="0" w:after="0" w:afterAutospacing="0" w:line="148" w:lineRule="atLeast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F83EA9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SU-MIMO with rank=1</w:t>
            </w:r>
          </w:p>
        </w:tc>
      </w:tr>
      <w:tr w:rsidR="007349B7" w:rsidRPr="009F76E9" w:rsidTr="00671BEA">
        <w:trPr>
          <w:jc w:val="center"/>
        </w:trPr>
        <w:tc>
          <w:tcPr>
            <w:tcW w:w="2100" w:type="dxa"/>
          </w:tcPr>
          <w:p w:rsidR="007349B7" w:rsidRDefault="007349B7" w:rsidP="00F83EA9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UE receiver</w:t>
            </w:r>
          </w:p>
        </w:tc>
        <w:tc>
          <w:tcPr>
            <w:tcW w:w="6436" w:type="dxa"/>
          </w:tcPr>
          <w:p w:rsidR="007349B7" w:rsidRDefault="007349B7" w:rsidP="007349B7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 w:rsidRPr="007349B7">
              <w:rPr>
                <w:rFonts w:eastAsia="SimSun"/>
                <w:color w:val="000000" w:themeColor="text1"/>
              </w:rPr>
              <w:t xml:space="preserve">MMSE-IRC </w:t>
            </w:r>
          </w:p>
        </w:tc>
      </w:tr>
      <w:tr w:rsidR="00F83EA9" w:rsidRPr="009F76E9" w:rsidTr="00671BEA">
        <w:trPr>
          <w:jc w:val="center"/>
        </w:trPr>
        <w:tc>
          <w:tcPr>
            <w:tcW w:w="2100" w:type="dxa"/>
          </w:tcPr>
          <w:p w:rsidR="00F83EA9" w:rsidRDefault="00F83EA9" w:rsidP="00F83EA9">
            <w:pPr>
              <w:spacing w:after="15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Overhead</w:t>
            </w:r>
          </w:p>
        </w:tc>
        <w:tc>
          <w:tcPr>
            <w:tcW w:w="6436" w:type="dxa"/>
          </w:tcPr>
          <w:p w:rsidR="00E07EF7" w:rsidRDefault="00F83EA9" w:rsidP="007349B7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DMRS overhead = 12/</w:t>
            </w:r>
            <w:r w:rsidR="00E07EF7">
              <w:rPr>
                <w:rFonts w:eastAsia="SimSun"/>
                <w:color w:val="000000" w:themeColor="text1"/>
              </w:rPr>
              <w:t>168</w:t>
            </w:r>
          </w:p>
          <w:p w:rsidR="00E07EF7" w:rsidRDefault="00E07EF7" w:rsidP="007349B7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No control or CSI-RS overhead</w:t>
            </w:r>
          </w:p>
          <w:p w:rsidR="00F83EA9" w:rsidRPr="007349B7" w:rsidRDefault="00E07EF7" w:rsidP="007349B7">
            <w:pPr>
              <w:autoSpaceDE/>
              <w:autoSpaceDN/>
              <w:adjustRightInd/>
              <w:spacing w:after="156"/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10% </w:t>
            </w:r>
            <w:r w:rsidR="00F83EA9">
              <w:rPr>
                <w:rFonts w:eastAsia="SimSun"/>
                <w:color w:val="000000" w:themeColor="text1"/>
              </w:rPr>
              <w:t>carrier guard band</w:t>
            </w:r>
            <w:r>
              <w:rPr>
                <w:rFonts w:eastAsia="SimSun"/>
                <w:color w:val="000000" w:themeColor="text1"/>
              </w:rPr>
              <w:t xml:space="preserve"> </w:t>
            </w:r>
          </w:p>
        </w:tc>
      </w:tr>
    </w:tbl>
    <w:p w:rsidR="00AA778D" w:rsidRDefault="00AA778D" w:rsidP="00AA778D"/>
    <w:p w:rsidR="00AA778D" w:rsidRDefault="00AA778D" w:rsidP="00AA778D">
      <w:pPr>
        <w:pStyle w:val="Caption"/>
      </w:pPr>
      <w:bookmarkStart w:id="1" w:name="_Ref4736540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ab/>
        <w:t>Simulation assumptions</w:t>
      </w:r>
    </w:p>
    <w:p w:rsidR="00AA778D" w:rsidRDefault="00AA778D" w:rsidP="00AA778D">
      <w:pPr>
        <w:pStyle w:val="Heading2"/>
      </w:pPr>
      <w:r>
        <w:t>Simulation results</w:t>
      </w:r>
    </w:p>
    <w:p w:rsidR="0097421C" w:rsidRDefault="00C972C3" w:rsidP="0097421C">
      <w:r>
        <w:fldChar w:fldCharType="begin"/>
      </w:r>
      <w:r>
        <w:instrText xml:space="preserve"> REF _Ref473655848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CDF of spectral efficiency for the Dense urban macro 4 GHz scenario. Spectral efficiency is here defined as </w:t>
      </w:r>
      <w:r w:rsidR="00587C04" w:rsidRPr="00587C04">
        <w:t xml:space="preserve">data throughput divided by </w:t>
      </w:r>
      <w:r w:rsidR="00587C04">
        <w:t>the</w:t>
      </w:r>
      <w:r w:rsidR="00587C04" w:rsidRPr="00587C04">
        <w:t xml:space="preserve"> system bandwidth</w:t>
      </w:r>
      <w:r w:rsidR="00587C04">
        <w:t xml:space="preserve">, taking into account a 10% carrier guard band and a DMRS overhead equal to 12/168. </w:t>
      </w:r>
    </w:p>
    <w:p w:rsidR="00C972C3" w:rsidRDefault="00C972C3" w:rsidP="00C972C3">
      <w:pPr>
        <w:jc w:val="center"/>
      </w:pPr>
    </w:p>
    <w:p w:rsidR="00A166E1" w:rsidRDefault="00A166E1" w:rsidP="00C972C3">
      <w:pPr>
        <w:jc w:val="center"/>
      </w:pPr>
      <w:r>
        <w:rPr>
          <w:noProof/>
          <w:lang w:val="sv-SE" w:eastAsia="sv-SE"/>
        </w:rPr>
        <w:drawing>
          <wp:inline distT="0" distB="0" distL="0" distR="0">
            <wp:extent cx="4269600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_DU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6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2C3" w:rsidRDefault="00C972C3" w:rsidP="00C972C3">
      <w:pPr>
        <w:pStyle w:val="Caption"/>
      </w:pPr>
      <w:bookmarkStart w:id="2" w:name="_Ref4736558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ab/>
        <w:t>CDF of spectral efficiency for the Dense urban macro scenario</w:t>
      </w:r>
    </w:p>
    <w:p w:rsidR="00C972C3" w:rsidRPr="0097421C" w:rsidRDefault="00C972C3" w:rsidP="0097421C"/>
    <w:p w:rsidR="00AA778D" w:rsidRPr="00AA778D" w:rsidRDefault="00AA778D" w:rsidP="00AA778D"/>
    <w:p w:rsidR="003A0E41" w:rsidRPr="003A0E41" w:rsidRDefault="003A0E41" w:rsidP="003A0E41"/>
    <w:p w:rsidR="00C01F33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CE0ADB" w:rsidRPr="00CE0ADB" w:rsidRDefault="00CE0ADB" w:rsidP="00CE0ADB">
      <w:pPr>
        <w:pStyle w:val="BodyText"/>
      </w:pPr>
      <w:r w:rsidRPr="00C570C7">
        <w:rPr>
          <w:lang w:val="en-US"/>
        </w:rPr>
        <w:t xml:space="preserve">In this contribution </w:t>
      </w:r>
      <w:r>
        <w:t xml:space="preserve">we have provided </w:t>
      </w:r>
      <w:r>
        <w:rPr>
          <w:lang w:val="en-US"/>
        </w:rPr>
        <w:t xml:space="preserve">initial system-level results on Phase 2 NR MIMO calibration for the </w:t>
      </w:r>
      <w:r>
        <w:t>Dense urban macro 4 GHz scenario together with details of the used simulation assumptions.</w:t>
      </w:r>
    </w:p>
    <w:p w:rsidR="00CE0ADB" w:rsidRPr="00CE0ADB" w:rsidRDefault="00CE0ADB" w:rsidP="00CE0ADB"/>
    <w:p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:rsidR="00CB4972" w:rsidRDefault="00CB4972" w:rsidP="00CE0424">
      <w:pPr>
        <w:pStyle w:val="Reference"/>
      </w:pPr>
      <w:bookmarkStart w:id="4" w:name="_Ref462388067"/>
      <w:r w:rsidRPr="00014265">
        <w:t>R1-168487</w:t>
      </w:r>
      <w:r>
        <w:rPr>
          <w:rFonts w:eastAsiaTheme="minorEastAsia" w:hint="eastAsia"/>
        </w:rPr>
        <w:t xml:space="preserve">, </w:t>
      </w:r>
      <w:r w:rsidRPr="00014265">
        <w:t>WF on NR MIMO calibration</w:t>
      </w:r>
      <w:r>
        <w:rPr>
          <w:rFonts w:eastAsiaTheme="minorEastAsia" w:hint="eastAsia"/>
        </w:rPr>
        <w:t xml:space="preserve">, </w:t>
      </w:r>
      <w:r w:rsidRPr="00014265">
        <w:t>ZTE Corporation, ZTE Microelectronics, Intel Corporation, Samsung, ASTRI, Xinwei, MediaTek, Nokia, ASB, Ericsson, NTT DOCOMO, Qualcomm, CATT</w:t>
      </w:r>
      <w:bookmarkEnd w:id="4"/>
      <w:r>
        <w:t xml:space="preserve"> </w:t>
      </w:r>
    </w:p>
    <w:p w:rsidR="00C80E97" w:rsidRPr="00C00C12" w:rsidRDefault="00C80E97" w:rsidP="00C00C12">
      <w:pPr>
        <w:pStyle w:val="Reference"/>
        <w:rPr>
          <w:lang w:val="en-US"/>
        </w:rPr>
      </w:pPr>
      <w:bookmarkStart w:id="5" w:name="_Ref466035581"/>
      <w:bookmarkStart w:id="6" w:name="_Ref473648396"/>
      <w:r w:rsidRPr="0089520E">
        <w:rPr>
          <w:lang w:val="en-US"/>
        </w:rPr>
        <w:t>R1-1608661, Summary of [86-20] email discussion on MIMO calibration for NR, ZTE</w:t>
      </w:r>
      <w:bookmarkEnd w:id="5"/>
    </w:p>
    <w:p w:rsidR="00D85DA9" w:rsidRPr="004B32CA" w:rsidRDefault="00D85DA9" w:rsidP="00D85DA9">
      <w:pPr>
        <w:pStyle w:val="Reference"/>
        <w:rPr>
          <w:rFonts w:eastAsiaTheme="minorEastAsia"/>
        </w:rPr>
      </w:pPr>
      <w:bookmarkStart w:id="7" w:name="_Ref473648985"/>
      <w:r w:rsidRPr="00705002">
        <w:rPr>
          <w:rFonts w:eastAsiaTheme="minorEastAsia"/>
        </w:rPr>
        <w:t>R1-1613741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Way forward on Phase 1 and Phase 2 MIMO calibration for NR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ZTE, ZTE Microelectronics, Ericsson, LG Electronics, Spreadtrum Communications</w:t>
      </w:r>
      <w:bookmarkEnd w:id="6"/>
      <w:bookmarkEnd w:id="7"/>
    </w:p>
    <w:p w:rsidR="003A7EF3" w:rsidRPr="00CE0ADB" w:rsidRDefault="00C00C12" w:rsidP="00CE0ADB">
      <w:pPr>
        <w:pStyle w:val="Reference"/>
        <w:rPr>
          <w:rFonts w:eastAsiaTheme="minorEastAsia"/>
        </w:rPr>
      </w:pPr>
      <w:bookmarkStart w:id="8" w:name="_Ref470614820"/>
      <w:r w:rsidRPr="00424516">
        <w:rPr>
          <w:rFonts w:eastAsiaTheme="minorEastAsia"/>
        </w:rPr>
        <w:t>R1-1700395</w:t>
      </w:r>
      <w:r w:rsidRPr="0041302B">
        <w:rPr>
          <w:rFonts w:eastAsiaTheme="minorEastAsia" w:hint="eastAsia"/>
        </w:rPr>
        <w:t xml:space="preserve">, </w:t>
      </w:r>
      <w:r w:rsidRPr="007942A2">
        <w:rPr>
          <w:rFonts w:eastAsiaTheme="minorEastAsia"/>
        </w:rPr>
        <w:t>Summary of 87-30 email discussion on NR MIMO calibration</w:t>
      </w:r>
      <w:r w:rsidRPr="00655505">
        <w:rPr>
          <w:rFonts w:eastAsiaTheme="minorEastAsia"/>
        </w:rPr>
        <w:t>, ZTE, ZTE Microelectronics</w:t>
      </w:r>
      <w:bookmarkEnd w:id="8"/>
    </w:p>
    <w:sectPr w:rsidR="003A7EF3" w:rsidRPr="00CE0ADB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362" w:rsidRDefault="00513362">
      <w:r>
        <w:separator/>
      </w:r>
    </w:p>
  </w:endnote>
  <w:endnote w:type="continuationSeparator" w:id="0">
    <w:p w:rsidR="00513362" w:rsidRDefault="0051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613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6613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362" w:rsidRDefault="00513362">
      <w:r>
        <w:separator/>
      </w:r>
    </w:p>
  </w:footnote>
  <w:footnote w:type="continuationSeparator" w:id="0">
    <w:p w:rsidR="00513362" w:rsidRDefault="00513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79004B6"/>
    <w:multiLevelType w:val="hybridMultilevel"/>
    <w:tmpl w:val="E598AC18"/>
    <w:lvl w:ilvl="0" w:tplc="E47C260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336321"/>
    <w:multiLevelType w:val="hybridMultilevel"/>
    <w:tmpl w:val="EF6A55C4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1122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053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0E9"/>
    <w:rsid w:val="00126B4A"/>
    <w:rsid w:val="00132615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6FE5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FEB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362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66138"/>
    <w:rsid w:val="00572505"/>
    <w:rsid w:val="00575DA6"/>
    <w:rsid w:val="00582809"/>
    <w:rsid w:val="0058798C"/>
    <w:rsid w:val="00587C04"/>
    <w:rsid w:val="005900FA"/>
    <w:rsid w:val="005935A4"/>
    <w:rsid w:val="005948C2"/>
    <w:rsid w:val="00595DCA"/>
    <w:rsid w:val="005973E5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49B7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5ACE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CE0"/>
    <w:rsid w:val="008B51A0"/>
    <w:rsid w:val="008B592A"/>
    <w:rsid w:val="008B7B5C"/>
    <w:rsid w:val="008C0C99"/>
    <w:rsid w:val="008C2017"/>
    <w:rsid w:val="008C2264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439A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21C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66E1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A778D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E579C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0C1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607"/>
    <w:rsid w:val="00C279B5"/>
    <w:rsid w:val="00C27C45"/>
    <w:rsid w:val="00C3719D"/>
    <w:rsid w:val="00C54995"/>
    <w:rsid w:val="00C54D41"/>
    <w:rsid w:val="00C60783"/>
    <w:rsid w:val="00C64672"/>
    <w:rsid w:val="00C70697"/>
    <w:rsid w:val="00C711BC"/>
    <w:rsid w:val="00C72EF4"/>
    <w:rsid w:val="00C75D2F"/>
    <w:rsid w:val="00C767BE"/>
    <w:rsid w:val="00C76E3C"/>
    <w:rsid w:val="00C80E97"/>
    <w:rsid w:val="00C81568"/>
    <w:rsid w:val="00C9027A"/>
    <w:rsid w:val="00C9068E"/>
    <w:rsid w:val="00C93C4B"/>
    <w:rsid w:val="00C944AB"/>
    <w:rsid w:val="00C95B40"/>
    <w:rsid w:val="00C972C3"/>
    <w:rsid w:val="00CA1068"/>
    <w:rsid w:val="00CA1ED8"/>
    <w:rsid w:val="00CA2417"/>
    <w:rsid w:val="00CB1F63"/>
    <w:rsid w:val="00CB4972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AAB"/>
    <w:rsid w:val="00CE0424"/>
    <w:rsid w:val="00CE0ADB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5DA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7EF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FD5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26C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0EE5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EA9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AB561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99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ReferenceChar">
    <w:name w:val="Reference Char"/>
    <w:link w:val="Reference"/>
    <w:rsid w:val="00C80E97"/>
    <w:rPr>
      <w:rFonts w:ascii="Times New Roman" w:hAnsi="Times New Roman"/>
      <w:lang w:val="en-GB" w:eastAsia="zh-CN"/>
    </w:rPr>
  </w:style>
  <w:style w:type="paragraph" w:styleId="NoSpacing">
    <w:name w:val="No Spacing"/>
    <w:uiPriority w:val="1"/>
    <w:qFormat/>
    <w:rsid w:val="00AA778D"/>
    <w:rPr>
      <w:rFonts w:ascii="Calibri" w:eastAsia="SimSun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F83EA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77B0F-9D12-496E-8F77-566052899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107</TotalTime>
  <Pages>4</Pages>
  <Words>819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Fredrik Athley</cp:lastModifiedBy>
  <cp:revision>22</cp:revision>
  <cp:lastPrinted>2008-01-31T15:09:00Z</cp:lastPrinted>
  <dcterms:created xsi:type="dcterms:W3CDTF">2017-01-31T16:14:00Z</dcterms:created>
  <dcterms:modified xsi:type="dcterms:W3CDTF">2017-02-06T20:22:00Z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