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72F4A" w14:textId="5C4B3775" w:rsidR="00237573" w:rsidRPr="00A44254" w:rsidRDefault="00CB10C3" w:rsidP="00237573">
      <w:pPr>
        <w:pStyle w:val="TdocHeader2"/>
        <w:rPr>
          <w:rFonts w:ascii="Times New Roman" w:eastAsia="Times New Roman" w:hAnsi="Times New Roman" w:cs="Times New Roman"/>
          <w:bCs/>
          <w:noProof/>
          <w:sz w:val="22"/>
          <w:szCs w:val="18"/>
        </w:rPr>
      </w:pPr>
      <w:bookmarkStart w:id="0" w:name="OLE_LINK1"/>
      <w:bookmarkStart w:id="1" w:name="OLE_LINK2"/>
      <w:r>
        <w:rPr>
          <w:rFonts w:ascii="Arial" w:hAnsi="Arial" w:cs="Arial"/>
          <w:bCs/>
          <w:sz w:val="28"/>
        </w:rPr>
        <w:t>3GPP TSG RAN WG1 Meeting #8</w:t>
      </w:r>
      <w:r>
        <w:rPr>
          <w:rFonts w:ascii="Arial" w:eastAsia="MS Mincho" w:hAnsi="Arial" w:cs="Arial"/>
          <w:bCs/>
          <w:sz w:val="28"/>
          <w:lang w:eastAsia="ja-JP"/>
        </w:rPr>
        <w:t>8</w:t>
      </w:r>
      <w:r w:rsidR="00237573" w:rsidRPr="00A44254">
        <w:rPr>
          <w:rFonts w:ascii="Times New Roman" w:eastAsia="Times New Roman" w:hAnsi="Times New Roman" w:cs="Times New Roman"/>
          <w:bCs/>
          <w:noProof/>
          <w:sz w:val="22"/>
          <w:szCs w:val="18"/>
        </w:rPr>
        <w:tab/>
        <w:t xml:space="preserve"> </w:t>
      </w:r>
      <w:r w:rsidR="001B04BE" w:rsidRPr="001B04BE">
        <w:rPr>
          <w:rFonts w:ascii="Times New Roman" w:eastAsia="Times New Roman" w:hAnsi="Times New Roman" w:cs="Times New Roman"/>
          <w:bCs/>
          <w:noProof/>
          <w:sz w:val="22"/>
          <w:szCs w:val="18"/>
        </w:rPr>
        <w:t>R1-1702653</w:t>
      </w:r>
    </w:p>
    <w:p w14:paraId="4B3BDF82" w14:textId="77777777" w:rsidR="00CB10C3" w:rsidRDefault="00CB10C3" w:rsidP="00CB10C3">
      <w:pPr>
        <w:tabs>
          <w:tab w:val="center" w:pos="4536"/>
          <w:tab w:val="right" w:pos="9072"/>
        </w:tabs>
        <w:spacing w:after="0"/>
        <w:rPr>
          <w:rFonts w:ascii="Arial" w:eastAsia="MS Mincho" w:hAnsi="Arial" w:cs="Arial"/>
          <w:b/>
          <w:bCs/>
          <w:sz w:val="28"/>
          <w:lang w:eastAsia="ja-JP"/>
        </w:rPr>
      </w:pPr>
      <w:r>
        <w:rPr>
          <w:rFonts w:ascii="Arial" w:hAnsi="Arial" w:cs="Arial"/>
          <w:b/>
          <w:bCs/>
          <w:sz w:val="28"/>
        </w:rPr>
        <w:t>1</w:t>
      </w:r>
      <w:r>
        <w:rPr>
          <w:rFonts w:ascii="Arial" w:eastAsia="MS Mincho" w:hAnsi="Arial" w:cs="Arial"/>
          <w:b/>
          <w:bCs/>
          <w:sz w:val="28"/>
          <w:lang w:eastAsia="ja-JP"/>
        </w:rPr>
        <w:t>3</w:t>
      </w:r>
      <w:r>
        <w:rPr>
          <w:rFonts w:ascii="Arial" w:hAnsi="Arial" w:cs="Arial"/>
          <w:b/>
          <w:bCs/>
          <w:sz w:val="28"/>
          <w:vertAlign w:val="superscript"/>
        </w:rPr>
        <w:t>th</w:t>
      </w:r>
      <w:r>
        <w:rPr>
          <w:rFonts w:ascii="Arial" w:hAnsi="Arial" w:cs="Arial"/>
          <w:b/>
          <w:bCs/>
          <w:sz w:val="28"/>
        </w:rPr>
        <w:t xml:space="preserve"> - 1</w:t>
      </w:r>
      <w:r>
        <w:rPr>
          <w:rFonts w:ascii="Arial" w:eastAsia="MS Mincho" w:hAnsi="Arial" w:cs="Arial"/>
          <w:b/>
          <w:bCs/>
          <w:sz w:val="28"/>
          <w:lang w:eastAsia="ja-JP"/>
        </w:rPr>
        <w:t>7</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February</w:t>
      </w:r>
      <w:r>
        <w:rPr>
          <w:rFonts w:ascii="Arial" w:hAnsi="Arial" w:cs="Arial"/>
          <w:b/>
          <w:bCs/>
          <w:sz w:val="28"/>
        </w:rPr>
        <w:t xml:space="preserve"> 201</w:t>
      </w:r>
      <w:r>
        <w:rPr>
          <w:rFonts w:ascii="Arial" w:eastAsia="MS Mincho" w:hAnsi="Arial" w:cs="Arial"/>
          <w:b/>
          <w:bCs/>
          <w:sz w:val="28"/>
          <w:lang w:eastAsia="ja-JP"/>
        </w:rPr>
        <w:t>7</w:t>
      </w:r>
    </w:p>
    <w:p w14:paraId="52D71C16" w14:textId="77777777" w:rsidR="00CB10C3" w:rsidRDefault="00CB10C3" w:rsidP="00CB10C3">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Athens</w:t>
      </w:r>
      <w:r>
        <w:rPr>
          <w:rFonts w:ascii="Arial" w:hAnsi="Arial" w:cs="Arial"/>
          <w:b/>
          <w:bCs/>
          <w:sz w:val="28"/>
        </w:rPr>
        <w:t xml:space="preserve">, </w:t>
      </w:r>
      <w:r>
        <w:rPr>
          <w:rFonts w:ascii="Arial" w:eastAsia="MS Mincho" w:hAnsi="Arial" w:cs="Arial"/>
          <w:b/>
          <w:bCs/>
          <w:sz w:val="28"/>
          <w:lang w:eastAsia="ja-JP"/>
        </w:rPr>
        <w:t>Greece</w:t>
      </w:r>
    </w:p>
    <w:p w14:paraId="00D882E1" w14:textId="77777777" w:rsidR="00D00AE7" w:rsidRPr="001820AE" w:rsidRDefault="00D00AE7" w:rsidP="00D00AE7">
      <w:pPr>
        <w:pStyle w:val="TdocHeader2"/>
        <w:rPr>
          <w:rFonts w:ascii="Times New Roman" w:hAnsi="Times New Roman" w:cs="Times New Roman"/>
          <w:sz w:val="22"/>
        </w:rPr>
      </w:pPr>
    </w:p>
    <w:p w14:paraId="0B4801A0" w14:textId="0274CA8A" w:rsidR="00C1361C" w:rsidRDefault="00C1361C" w:rsidP="00D00AE7">
      <w:pPr>
        <w:pStyle w:val="TdocHeader2"/>
        <w:rPr>
          <w:rFonts w:ascii="Times New Roman" w:hAnsi="Times New Roman" w:cs="Times New Roman"/>
          <w:sz w:val="22"/>
        </w:rPr>
      </w:pPr>
      <w:r w:rsidRPr="001820AE">
        <w:rPr>
          <w:rFonts w:ascii="Times New Roman" w:hAnsi="Times New Roman" w:cs="Times New Roman"/>
          <w:sz w:val="22"/>
        </w:rPr>
        <w:t>Agenda Item:</w:t>
      </w:r>
      <w:r w:rsidRPr="001820AE">
        <w:rPr>
          <w:rFonts w:ascii="Times New Roman" w:hAnsi="Times New Roman" w:cs="Times New Roman"/>
          <w:sz w:val="22"/>
        </w:rPr>
        <w:tab/>
      </w:r>
      <w:r w:rsidR="006E6DEB">
        <w:rPr>
          <w:rFonts w:ascii="Times New Roman" w:hAnsi="Times New Roman" w:cs="Times New Roman"/>
          <w:bCs/>
          <w:iCs/>
          <w:sz w:val="22"/>
        </w:rPr>
        <w:t>8.1.10</w:t>
      </w:r>
    </w:p>
    <w:p w14:paraId="0D21A345" w14:textId="22F74F87" w:rsidR="00D00AE7" w:rsidRPr="001820AE" w:rsidRDefault="00D00AE7" w:rsidP="00D00AE7">
      <w:pPr>
        <w:pStyle w:val="TdocHeader2"/>
        <w:rPr>
          <w:rFonts w:ascii="Times New Roman" w:hAnsi="Times New Roman" w:cs="Times New Roman"/>
          <w:sz w:val="22"/>
        </w:rPr>
      </w:pPr>
      <w:r w:rsidRPr="001820AE">
        <w:rPr>
          <w:rFonts w:ascii="Times New Roman" w:hAnsi="Times New Roman" w:cs="Times New Roman"/>
          <w:sz w:val="22"/>
        </w:rPr>
        <w:t xml:space="preserve">Source: </w:t>
      </w:r>
      <w:r w:rsidRPr="001820AE">
        <w:rPr>
          <w:rFonts w:ascii="Times New Roman" w:hAnsi="Times New Roman" w:cs="Times New Roman"/>
          <w:sz w:val="22"/>
        </w:rPr>
        <w:tab/>
      </w:r>
      <w:r w:rsidR="00371080" w:rsidRPr="001820AE">
        <w:rPr>
          <w:rFonts w:ascii="Times New Roman" w:hAnsi="Times New Roman" w:cs="Times New Roman"/>
          <w:sz w:val="22"/>
        </w:rPr>
        <w:t>Qualcomm</w:t>
      </w:r>
    </w:p>
    <w:p w14:paraId="5E814404" w14:textId="6FE2CD1C" w:rsidR="00D00AE7" w:rsidRPr="001820AE" w:rsidRDefault="00D00AE7" w:rsidP="00D00AE7">
      <w:pPr>
        <w:pStyle w:val="TdocHeader2"/>
        <w:rPr>
          <w:rFonts w:ascii="Times New Roman" w:hAnsi="Times New Roman" w:cs="Times New Roman"/>
          <w:sz w:val="22"/>
        </w:rPr>
      </w:pPr>
      <w:r w:rsidRPr="001820AE">
        <w:rPr>
          <w:rFonts w:ascii="Times New Roman" w:hAnsi="Times New Roman" w:cs="Times New Roman"/>
          <w:sz w:val="22"/>
        </w:rPr>
        <w:t>Title:</w:t>
      </w:r>
      <w:bookmarkStart w:id="2" w:name="Title"/>
      <w:bookmarkEnd w:id="2"/>
      <w:r w:rsidRPr="001820AE">
        <w:rPr>
          <w:rFonts w:ascii="Times New Roman" w:hAnsi="Times New Roman" w:cs="Times New Roman"/>
          <w:sz w:val="22"/>
        </w:rPr>
        <w:tab/>
      </w:r>
      <w:r w:rsidR="00375EC0" w:rsidRPr="001820AE">
        <w:rPr>
          <w:rFonts w:eastAsia="SimSun" w:cs="Arial"/>
          <w:sz w:val="24"/>
        </w:rPr>
        <w:t>Considerations on ECP use cases</w:t>
      </w:r>
      <w:r w:rsidR="00237573">
        <w:rPr>
          <w:rFonts w:eastAsia="SimSun" w:cs="Arial"/>
          <w:sz w:val="24"/>
        </w:rPr>
        <w:t xml:space="preserve"> with 60 kHz SCS</w:t>
      </w:r>
    </w:p>
    <w:p w14:paraId="4D368497" w14:textId="77777777" w:rsidR="00D00AE7" w:rsidRPr="001820AE" w:rsidRDefault="00D00AE7" w:rsidP="00D00AE7">
      <w:pPr>
        <w:pStyle w:val="TdocHeader2"/>
        <w:rPr>
          <w:rFonts w:ascii="Times New Roman" w:hAnsi="Times New Roman" w:cs="Times New Roman"/>
          <w:sz w:val="22"/>
        </w:rPr>
      </w:pPr>
      <w:r w:rsidRPr="001820AE">
        <w:rPr>
          <w:rFonts w:ascii="Times New Roman" w:hAnsi="Times New Roman" w:cs="Times New Roman"/>
          <w:sz w:val="22"/>
        </w:rPr>
        <w:t>Document for:</w:t>
      </w:r>
      <w:r w:rsidRPr="001820AE">
        <w:rPr>
          <w:rFonts w:ascii="Times New Roman" w:hAnsi="Times New Roman" w:cs="Times New Roman"/>
          <w:sz w:val="22"/>
        </w:rPr>
        <w:tab/>
        <w:t>Discussion and Decision</w:t>
      </w:r>
    </w:p>
    <w:p w14:paraId="63656708" w14:textId="6666B63D" w:rsidR="005C2905" w:rsidRDefault="00912EC6" w:rsidP="00912EC6">
      <w:pPr>
        <w:pStyle w:val="Heading1"/>
        <w:pBdr>
          <w:top w:val="single" w:sz="12" w:space="0" w:color="auto"/>
        </w:pBdr>
        <w:rPr>
          <w:rFonts w:ascii="Times New Roman" w:hAnsi="Times New Roman" w:cs="Times New Roman"/>
          <w:lang w:val="en-US"/>
        </w:rPr>
      </w:pPr>
      <w:bookmarkStart w:id="3" w:name="_Ref298777854"/>
      <w:bookmarkEnd w:id="0"/>
      <w:bookmarkEnd w:id="1"/>
      <w:bookmarkEnd w:id="3"/>
      <w:r>
        <w:rPr>
          <w:rFonts w:ascii="Times New Roman" w:hAnsi="Times New Roman" w:cs="Times New Roman"/>
          <w:lang w:val="en-US"/>
        </w:rPr>
        <w:t>Overview</w:t>
      </w:r>
    </w:p>
    <w:p w14:paraId="4310676E" w14:textId="6FB40719" w:rsidR="002F4107" w:rsidRDefault="004D164D" w:rsidP="002F4107">
      <w:r>
        <w:t>In RAN1#86b</w:t>
      </w:r>
      <w:r w:rsidR="002F4107">
        <w:t xml:space="preserve"> [1] the following agreement was made regarding CP and scaled SCS is concerned:</w:t>
      </w:r>
    </w:p>
    <w:p w14:paraId="7C0A94B7" w14:textId="77777777" w:rsidR="00AF516E" w:rsidRPr="00BF2783" w:rsidRDefault="00AF516E" w:rsidP="00AF516E">
      <w:pPr>
        <w:rPr>
          <w:rFonts w:eastAsia="MS Mincho"/>
          <w:b/>
          <w:u w:val="single"/>
          <w:lang w:eastAsia="ja-JP"/>
        </w:rPr>
      </w:pPr>
      <w:r w:rsidRPr="001B6FE8">
        <w:rPr>
          <w:rFonts w:eastAsia="MS Mincho" w:hint="eastAsia"/>
          <w:b/>
          <w:highlight w:val="green"/>
          <w:u w:val="single"/>
          <w:lang w:eastAsia="ja-JP"/>
        </w:rPr>
        <w:t>Agreements:</w:t>
      </w:r>
    </w:p>
    <w:p w14:paraId="3CF8278B" w14:textId="77777777" w:rsidR="00AF516E" w:rsidRDefault="00AF516E" w:rsidP="00AF516E">
      <w:pPr>
        <w:numPr>
          <w:ilvl w:val="0"/>
          <w:numId w:val="28"/>
        </w:numPr>
        <w:spacing w:after="0" w:line="240" w:lineRule="auto"/>
        <w:rPr>
          <w:rFonts w:eastAsia="MS Mincho"/>
          <w:lang w:eastAsia="ja-JP"/>
        </w:rPr>
      </w:pPr>
      <w:r>
        <w:rPr>
          <w:rFonts w:eastAsia="MS Mincho" w:hint="eastAsia"/>
          <w:lang w:eastAsia="ja-JP"/>
        </w:rPr>
        <w:t>From Phase 1, physical layer design should support an extended CP</w:t>
      </w:r>
    </w:p>
    <w:p w14:paraId="1711CB1A" w14:textId="77777777" w:rsidR="00AF516E" w:rsidRDefault="00AF516E" w:rsidP="00AF516E">
      <w:pPr>
        <w:numPr>
          <w:ilvl w:val="1"/>
          <w:numId w:val="28"/>
        </w:numPr>
        <w:spacing w:after="0" w:line="240" w:lineRule="auto"/>
        <w:rPr>
          <w:rFonts w:eastAsia="MS Mincho"/>
          <w:lang w:eastAsia="ja-JP"/>
        </w:rPr>
      </w:pPr>
      <w:r>
        <w:rPr>
          <w:rFonts w:eastAsia="MS Mincho" w:hint="eastAsia"/>
          <w:lang w:eastAsia="ja-JP"/>
        </w:rPr>
        <w:t xml:space="preserve">Extended CP </w:t>
      </w:r>
      <w:r>
        <w:rPr>
          <w:rFonts w:eastAsia="MS Mincho"/>
          <w:lang w:eastAsia="ja-JP"/>
        </w:rPr>
        <w:t>will be</w:t>
      </w:r>
      <w:r>
        <w:rPr>
          <w:rFonts w:eastAsia="MS Mincho" w:hint="eastAsia"/>
          <w:lang w:eastAsia="ja-JP"/>
        </w:rPr>
        <w:t xml:space="preserve"> only one in given subcarrier spacing</w:t>
      </w:r>
    </w:p>
    <w:p w14:paraId="7B585974" w14:textId="21EEA600" w:rsidR="002F4107" w:rsidRDefault="00AF516E" w:rsidP="002F4107">
      <w:pPr>
        <w:numPr>
          <w:ilvl w:val="0"/>
          <w:numId w:val="28"/>
        </w:numPr>
        <w:spacing w:after="0" w:line="240" w:lineRule="auto"/>
        <w:rPr>
          <w:rFonts w:eastAsia="MS Mincho"/>
          <w:lang w:eastAsia="ja-JP"/>
        </w:rPr>
      </w:pPr>
      <w:r>
        <w:rPr>
          <w:rFonts w:eastAsia="MS Mincho" w:hint="eastAsia"/>
          <w:lang w:eastAsia="ja-JP"/>
        </w:rPr>
        <w:t>FFS: Exact for the services/scenarios for extended CP</w:t>
      </w:r>
    </w:p>
    <w:p w14:paraId="5B6313AF" w14:textId="77777777" w:rsidR="00454B27" w:rsidRPr="00454B27" w:rsidRDefault="00454B27" w:rsidP="00454B27">
      <w:pPr>
        <w:spacing w:after="0" w:line="240" w:lineRule="auto"/>
        <w:ind w:left="720"/>
        <w:rPr>
          <w:rFonts w:eastAsia="MS Mincho"/>
          <w:lang w:eastAsia="ja-JP"/>
        </w:rPr>
      </w:pPr>
    </w:p>
    <w:p w14:paraId="76056F47" w14:textId="71997731" w:rsidR="00237573" w:rsidRDefault="002F4107" w:rsidP="00371080">
      <w:pPr>
        <w:jc w:val="both"/>
        <w:rPr>
          <w:rFonts w:ascii="Times New Roman" w:hAnsi="Times New Roman" w:cs="Times New Roman"/>
        </w:rPr>
      </w:pPr>
      <w:r>
        <w:rPr>
          <w:rFonts w:ascii="Times New Roman" w:hAnsi="Times New Roman" w:cs="Times New Roman"/>
        </w:rPr>
        <w:t>In RAN1#87 [2</w:t>
      </w:r>
      <w:r w:rsidR="00237573">
        <w:rPr>
          <w:rFonts w:ascii="Times New Roman" w:hAnsi="Times New Roman" w:cs="Times New Roman"/>
        </w:rPr>
        <w:t>] the following agreement was made regarding ECP support in NR:</w:t>
      </w:r>
    </w:p>
    <w:p w14:paraId="67608CEE" w14:textId="77777777" w:rsidR="00237573" w:rsidRPr="00F34673" w:rsidRDefault="00237573" w:rsidP="00237573">
      <w:pPr>
        <w:rPr>
          <w:rFonts w:eastAsia="MS Mincho"/>
          <w:b/>
          <w:highlight w:val="yellow"/>
          <w:u w:val="single"/>
          <w:lang w:eastAsia="ja-JP"/>
        </w:rPr>
      </w:pPr>
      <w:r w:rsidRPr="00863832">
        <w:rPr>
          <w:rFonts w:eastAsia="MS Mincho" w:hint="eastAsia"/>
          <w:b/>
          <w:highlight w:val="green"/>
          <w:u w:val="single"/>
          <w:lang w:eastAsia="ja-JP"/>
        </w:rPr>
        <w:t>Agreements:</w:t>
      </w:r>
    </w:p>
    <w:p w14:paraId="7E0B7221" w14:textId="77777777" w:rsidR="00237573" w:rsidRPr="00237573" w:rsidRDefault="00237573" w:rsidP="00237573">
      <w:pPr>
        <w:numPr>
          <w:ilvl w:val="0"/>
          <w:numId w:val="36"/>
        </w:numPr>
        <w:spacing w:after="0" w:line="240" w:lineRule="auto"/>
        <w:rPr>
          <w:rFonts w:eastAsia="MS Mincho"/>
          <w:i/>
          <w:lang w:eastAsia="ja-JP"/>
        </w:rPr>
      </w:pPr>
      <w:r w:rsidRPr="00237573">
        <w:rPr>
          <w:rFonts w:eastAsia="MS Mincho"/>
          <w:bCs/>
          <w:i/>
          <w:lang w:eastAsia="ja-JP"/>
        </w:rPr>
        <w:t>Possible use case</w:t>
      </w:r>
      <w:r w:rsidRPr="00237573">
        <w:rPr>
          <w:rFonts w:eastAsia="MS Mincho" w:hint="eastAsia"/>
          <w:bCs/>
          <w:i/>
          <w:lang w:eastAsia="ja-JP"/>
        </w:rPr>
        <w:t>s</w:t>
      </w:r>
      <w:r w:rsidRPr="00237573">
        <w:rPr>
          <w:rFonts w:eastAsia="MS Mincho"/>
          <w:bCs/>
          <w:i/>
          <w:lang w:eastAsia="ja-JP"/>
        </w:rPr>
        <w:t xml:space="preserve"> for the extended CP </w:t>
      </w:r>
      <w:r w:rsidRPr="00237573">
        <w:rPr>
          <w:rFonts w:eastAsia="MS Mincho" w:hint="eastAsia"/>
          <w:bCs/>
          <w:i/>
          <w:lang w:eastAsia="ja-JP"/>
        </w:rPr>
        <w:t>include</w:t>
      </w:r>
    </w:p>
    <w:p w14:paraId="18265CDE"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bCs/>
          <w:i/>
          <w:lang w:eastAsia="ja-JP"/>
        </w:rPr>
        <w:t>Multiplexing of eMBB and URLLC deployed below 6 GHz</w:t>
      </w:r>
    </w:p>
    <w:p w14:paraId="12C57450" w14:textId="77777777" w:rsidR="00237573" w:rsidRPr="00237573" w:rsidRDefault="00237573" w:rsidP="00237573">
      <w:pPr>
        <w:numPr>
          <w:ilvl w:val="2"/>
          <w:numId w:val="36"/>
        </w:numPr>
        <w:tabs>
          <w:tab w:val="num" w:pos="2160"/>
        </w:tabs>
        <w:spacing w:after="0" w:line="240" w:lineRule="auto"/>
        <w:rPr>
          <w:rFonts w:eastAsia="MS Mincho"/>
          <w:i/>
          <w:lang w:eastAsia="ja-JP"/>
        </w:rPr>
      </w:pPr>
      <w:r w:rsidRPr="00237573">
        <w:rPr>
          <w:rFonts w:eastAsia="MS Mincho"/>
          <w:bCs/>
          <w:i/>
          <w:lang w:eastAsia="ja-JP"/>
        </w:rPr>
        <w:t>SCS for eMBB 15(NCP)/30/60kHz, SCS for URLLC = 60 kHz</w:t>
      </w:r>
    </w:p>
    <w:p w14:paraId="3C0BD55D"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hint="eastAsia"/>
          <w:i/>
          <w:lang w:eastAsia="ja-JP"/>
        </w:rPr>
        <w:t>Transmission of URLLC with 60 kHz SCS</w:t>
      </w:r>
    </w:p>
    <w:p w14:paraId="2D052262"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bCs/>
          <w:i/>
          <w:lang w:eastAsia="ja-JP"/>
        </w:rPr>
        <w:t>High speed scenarios for 30kHz and 60kHz</w:t>
      </w:r>
    </w:p>
    <w:p w14:paraId="3904DC06" w14:textId="77777777" w:rsidR="00237573" w:rsidRPr="00237573" w:rsidRDefault="00237573" w:rsidP="00237573">
      <w:pPr>
        <w:numPr>
          <w:ilvl w:val="0"/>
          <w:numId w:val="36"/>
        </w:numPr>
        <w:spacing w:after="0" w:line="240" w:lineRule="auto"/>
        <w:rPr>
          <w:rFonts w:eastAsia="MS Mincho"/>
          <w:i/>
          <w:lang w:eastAsia="ja-JP"/>
        </w:rPr>
      </w:pPr>
      <w:r w:rsidRPr="00237573">
        <w:rPr>
          <w:rFonts w:eastAsia="MS Mincho"/>
          <w:bCs/>
          <w:i/>
          <w:lang w:eastAsia="ja-JP"/>
        </w:rPr>
        <w:t>Support extended CP at least for 60 kHz SCS</w:t>
      </w:r>
    </w:p>
    <w:p w14:paraId="0A79A488"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bCs/>
          <w:i/>
          <w:lang w:eastAsia="ja-JP"/>
        </w:rPr>
        <w:t>UE support for ECP may depend on UE type/capability</w:t>
      </w:r>
    </w:p>
    <w:p w14:paraId="77A99A6B"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bCs/>
          <w:i/>
          <w:lang w:eastAsia="ja-JP"/>
        </w:rPr>
        <w:t>FFS how to configure UE using different CP overhead</w:t>
      </w:r>
    </w:p>
    <w:p w14:paraId="4095F0BC"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bCs/>
          <w:i/>
          <w:lang w:eastAsia="ja-JP"/>
        </w:rPr>
        <w:t>FFS the length of ECP</w:t>
      </w:r>
    </w:p>
    <w:p w14:paraId="5B5EE125" w14:textId="596E009E" w:rsidR="00237573" w:rsidRDefault="00237573" w:rsidP="00437993">
      <w:pPr>
        <w:numPr>
          <w:ilvl w:val="0"/>
          <w:numId w:val="36"/>
        </w:numPr>
        <w:spacing w:after="0" w:line="240" w:lineRule="auto"/>
        <w:rPr>
          <w:rFonts w:eastAsia="MS Mincho"/>
          <w:i/>
          <w:lang w:eastAsia="ja-JP"/>
        </w:rPr>
      </w:pPr>
      <w:r w:rsidRPr="00237573">
        <w:rPr>
          <w:rFonts w:eastAsia="MS Mincho"/>
          <w:bCs/>
          <w:i/>
          <w:lang w:eastAsia="ja-JP"/>
        </w:rPr>
        <w:t>FFS extended  CP for other scenarios/numerologies</w:t>
      </w:r>
    </w:p>
    <w:p w14:paraId="6C1A8FED" w14:textId="77777777" w:rsidR="00437993" w:rsidRPr="00437993" w:rsidRDefault="00437993" w:rsidP="00437993">
      <w:pPr>
        <w:spacing w:after="0" w:line="240" w:lineRule="auto"/>
        <w:ind w:left="360"/>
        <w:rPr>
          <w:rFonts w:eastAsia="MS Mincho"/>
          <w:i/>
          <w:lang w:eastAsia="ja-JP"/>
        </w:rPr>
      </w:pPr>
    </w:p>
    <w:p w14:paraId="103B6FC7" w14:textId="473949D5" w:rsidR="00237573" w:rsidRPr="00237573" w:rsidRDefault="00CD7FE5" w:rsidP="00CB10C3">
      <w:pPr>
        <w:jc w:val="both"/>
        <w:rPr>
          <w:rFonts w:ascii="Times New Roman" w:hAnsi="Times New Roman" w:cs="Times New Roman"/>
        </w:rPr>
      </w:pPr>
      <w:r w:rsidRPr="00825711">
        <w:rPr>
          <w:rFonts w:ascii="Times New Roman" w:hAnsi="Times New Roman" w:cs="Times New Roman"/>
        </w:rPr>
        <w:t>F</w:t>
      </w:r>
      <w:r w:rsidR="005C2905" w:rsidRPr="00825711">
        <w:rPr>
          <w:rFonts w:ascii="Times New Roman" w:hAnsi="Times New Roman" w:cs="Times New Roman"/>
        </w:rPr>
        <w:t xml:space="preserve">urther studies are needed to determine </w:t>
      </w:r>
      <w:r w:rsidR="00237573">
        <w:rPr>
          <w:rFonts w:ascii="Times New Roman" w:hAnsi="Times New Roman" w:cs="Times New Roman"/>
        </w:rPr>
        <w:t>in which of the above</w:t>
      </w:r>
      <w:r w:rsidR="005C2905" w:rsidRPr="00825711">
        <w:rPr>
          <w:rFonts w:ascii="Times New Roman" w:hAnsi="Times New Roman" w:cs="Times New Roman"/>
        </w:rPr>
        <w:t xml:space="preserve"> </w:t>
      </w:r>
      <w:r w:rsidR="00C80954">
        <w:rPr>
          <w:rFonts w:ascii="Times New Roman" w:hAnsi="Times New Roman" w:cs="Times New Roman"/>
        </w:rPr>
        <w:t xml:space="preserve">use cases </w:t>
      </w:r>
      <w:r w:rsidR="00237573">
        <w:rPr>
          <w:rFonts w:ascii="Times New Roman" w:hAnsi="Times New Roman" w:cs="Times New Roman"/>
        </w:rPr>
        <w:t>an ECP numerology can indeed improve performance over</w:t>
      </w:r>
      <w:r w:rsidR="00E92E60">
        <w:rPr>
          <w:rFonts w:ascii="Times New Roman" w:hAnsi="Times New Roman" w:cs="Times New Roman"/>
        </w:rPr>
        <w:t xml:space="preserve"> a normal CP scalable</w:t>
      </w:r>
      <w:r w:rsidRPr="00825711">
        <w:rPr>
          <w:rFonts w:ascii="Times New Roman" w:hAnsi="Times New Roman" w:cs="Times New Roman"/>
        </w:rPr>
        <w:t xml:space="preserve"> numerology</w:t>
      </w:r>
      <w:r w:rsidR="00E92E60">
        <w:rPr>
          <w:rFonts w:ascii="Times New Roman" w:hAnsi="Times New Roman" w:cs="Times New Roman"/>
        </w:rPr>
        <w:t xml:space="preserve"> family</w:t>
      </w:r>
      <w:r w:rsidRPr="00825711">
        <w:rPr>
          <w:rFonts w:ascii="Times New Roman" w:hAnsi="Times New Roman" w:cs="Times New Roman"/>
        </w:rPr>
        <w:t xml:space="preserve">. </w:t>
      </w:r>
      <w:r w:rsidR="00CB10C3">
        <w:rPr>
          <w:rFonts w:ascii="Times New Roman" w:hAnsi="Times New Roman" w:cs="Times New Roman"/>
        </w:rPr>
        <w:t xml:space="preserve">In previous document, even though we identified that the ECP of the 60 KHz may be used to support the High speed train (HST) use case, more studies were needed to identify the length of the ECP and its operational framework for NR. </w:t>
      </w:r>
    </w:p>
    <w:p w14:paraId="2EE7A1D8" w14:textId="6E85EFCA" w:rsidR="00D00AE7" w:rsidRPr="00825711" w:rsidRDefault="00D00AE7" w:rsidP="00D00AE7">
      <w:pPr>
        <w:pStyle w:val="Heading1"/>
        <w:rPr>
          <w:rFonts w:ascii="Times New Roman" w:hAnsi="Times New Roman" w:cs="Times New Roman"/>
        </w:rPr>
      </w:pPr>
      <w:r w:rsidRPr="00825711">
        <w:rPr>
          <w:rFonts w:ascii="Times New Roman" w:hAnsi="Times New Roman" w:cs="Times New Roman"/>
        </w:rPr>
        <w:t>Discussion</w:t>
      </w:r>
    </w:p>
    <w:p w14:paraId="5A934EE1" w14:textId="2B70AFE5" w:rsidR="00237573" w:rsidRDefault="003D784B" w:rsidP="00564B9E">
      <w:pPr>
        <w:spacing w:after="0"/>
        <w:jc w:val="both"/>
        <w:rPr>
          <w:rFonts w:ascii="Times New Roman" w:hAnsi="Times New Roman" w:cs="Times New Roman"/>
        </w:rPr>
      </w:pPr>
      <w:r>
        <w:rPr>
          <w:rFonts w:ascii="Times New Roman" w:hAnsi="Times New Roman" w:cs="Times New Roman"/>
        </w:rPr>
        <w:t>The c</w:t>
      </w:r>
      <w:r w:rsidR="00CB10C3">
        <w:rPr>
          <w:rFonts w:ascii="Times New Roman" w:hAnsi="Times New Roman" w:cs="Times New Roman"/>
        </w:rPr>
        <w:t xml:space="preserve">oncern </w:t>
      </w:r>
      <w:r w:rsidR="001312BE">
        <w:rPr>
          <w:rFonts w:ascii="Times New Roman" w:hAnsi="Times New Roman" w:cs="Times New Roman"/>
        </w:rPr>
        <w:t xml:space="preserve">of </w:t>
      </w:r>
      <w:r w:rsidR="00CB10C3">
        <w:rPr>
          <w:rFonts w:ascii="Times New Roman" w:hAnsi="Times New Roman" w:cs="Times New Roman"/>
        </w:rPr>
        <w:t xml:space="preserve">introducing ECP without ensuring its usefulness has been reported in multiple papers before </w:t>
      </w:r>
      <w:r w:rsidR="002F4107">
        <w:rPr>
          <w:rFonts w:ascii="Times New Roman" w:hAnsi="Times New Roman" w:cs="Times New Roman"/>
        </w:rPr>
        <w:t>[3-6</w:t>
      </w:r>
      <w:r w:rsidR="00CB10C3">
        <w:rPr>
          <w:rFonts w:ascii="Times New Roman" w:hAnsi="Times New Roman" w:cs="Times New Roman"/>
        </w:rPr>
        <w:t>]. The reader is encouraged to refer to these papers for a detailed treatment. However, we agreed to support an ECP length for 60 KHz SCS in light of some possible use cases</w:t>
      </w:r>
      <w:r>
        <w:rPr>
          <w:rFonts w:ascii="Times New Roman" w:hAnsi="Times New Roman" w:cs="Times New Roman"/>
        </w:rPr>
        <w:t xml:space="preserve"> where based on current simulations, scaled numerology </w:t>
      </w:r>
      <w:r w:rsidR="0082202E">
        <w:rPr>
          <w:rFonts w:ascii="Times New Roman" w:hAnsi="Times New Roman" w:cs="Times New Roman"/>
        </w:rPr>
        <w:t>is similar to (</w:t>
      </w:r>
      <w:r w:rsidR="00B41755">
        <w:rPr>
          <w:rFonts w:ascii="Times New Roman" w:hAnsi="Times New Roman" w:cs="Times New Roman"/>
        </w:rPr>
        <w:t>but still</w:t>
      </w:r>
      <w:r w:rsidR="0082202E">
        <w:rPr>
          <w:rFonts w:ascii="Times New Roman" w:hAnsi="Times New Roman" w:cs="Times New Roman"/>
        </w:rPr>
        <w:t xml:space="preserve"> better than) </w:t>
      </w:r>
      <w:r>
        <w:rPr>
          <w:rFonts w:ascii="Times New Roman" w:hAnsi="Times New Roman" w:cs="Times New Roman"/>
        </w:rPr>
        <w:t xml:space="preserve">those of ECP solutions, </w:t>
      </w:r>
      <w:r w:rsidR="00F44241">
        <w:rPr>
          <w:rFonts w:ascii="Times New Roman" w:hAnsi="Times New Roman" w:cs="Times New Roman"/>
        </w:rPr>
        <w:t xml:space="preserve">in which case as </w:t>
      </w:r>
      <w:r>
        <w:rPr>
          <w:rFonts w:ascii="Times New Roman" w:hAnsi="Times New Roman" w:cs="Times New Roman"/>
        </w:rPr>
        <w:t xml:space="preserve">channel model </w:t>
      </w:r>
      <w:r w:rsidR="00F44241">
        <w:rPr>
          <w:rFonts w:ascii="Times New Roman" w:hAnsi="Times New Roman" w:cs="Times New Roman"/>
        </w:rPr>
        <w:t xml:space="preserve">for the actual HST channel </w:t>
      </w:r>
      <w:r>
        <w:rPr>
          <w:rFonts w:ascii="Times New Roman" w:hAnsi="Times New Roman" w:cs="Times New Roman"/>
        </w:rPr>
        <w:t>may potentially change</w:t>
      </w:r>
      <w:r w:rsidR="00F44241">
        <w:rPr>
          <w:rFonts w:ascii="Times New Roman" w:hAnsi="Times New Roman" w:cs="Times New Roman"/>
        </w:rPr>
        <w:t xml:space="preserve"> depending on channel measurements in the new bands</w:t>
      </w:r>
      <w:r w:rsidR="00C900B2">
        <w:rPr>
          <w:rFonts w:ascii="Times New Roman" w:hAnsi="Times New Roman" w:cs="Times New Roman"/>
        </w:rPr>
        <w:t>. In such scenarios,</w:t>
      </w:r>
      <w:r>
        <w:rPr>
          <w:rFonts w:ascii="Times New Roman" w:hAnsi="Times New Roman" w:cs="Times New Roman"/>
        </w:rPr>
        <w:t xml:space="preserve"> ECP may </w:t>
      </w:r>
      <w:r w:rsidR="004A7B35">
        <w:rPr>
          <w:rFonts w:ascii="Times New Roman" w:hAnsi="Times New Roman" w:cs="Times New Roman"/>
        </w:rPr>
        <w:t>be considered</w:t>
      </w:r>
      <w:r w:rsidR="00CB10C3">
        <w:rPr>
          <w:rFonts w:ascii="Times New Roman" w:hAnsi="Times New Roman" w:cs="Times New Roman"/>
        </w:rPr>
        <w:t xml:space="preserve">. In </w:t>
      </w:r>
      <w:r w:rsidR="00A51155">
        <w:rPr>
          <w:rFonts w:ascii="Times New Roman" w:hAnsi="Times New Roman" w:cs="Times New Roman"/>
        </w:rPr>
        <w:t xml:space="preserve">the </w:t>
      </w:r>
      <w:r w:rsidR="00CB10C3">
        <w:rPr>
          <w:rFonts w:ascii="Times New Roman" w:hAnsi="Times New Roman" w:cs="Times New Roman"/>
        </w:rPr>
        <w:t xml:space="preserve">previous </w:t>
      </w:r>
      <w:r w:rsidR="00DD5018">
        <w:rPr>
          <w:rFonts w:ascii="Times New Roman" w:hAnsi="Times New Roman" w:cs="Times New Roman"/>
        </w:rPr>
        <w:t xml:space="preserve">contribution, </w:t>
      </w:r>
      <w:r w:rsidR="00CB10C3">
        <w:rPr>
          <w:rFonts w:ascii="Times New Roman" w:hAnsi="Times New Roman" w:cs="Times New Roman"/>
        </w:rPr>
        <w:t xml:space="preserve">HST </w:t>
      </w:r>
      <w:r w:rsidR="00DD5018">
        <w:rPr>
          <w:rFonts w:ascii="Times New Roman" w:hAnsi="Times New Roman" w:cs="Times New Roman"/>
        </w:rPr>
        <w:t xml:space="preserve">scenario is identified as a potential use case for ECP. </w:t>
      </w:r>
    </w:p>
    <w:p w14:paraId="43BA91D2" w14:textId="77777777" w:rsidR="00017299" w:rsidRDefault="00017299" w:rsidP="00564B9E">
      <w:pPr>
        <w:spacing w:after="0"/>
        <w:jc w:val="both"/>
        <w:rPr>
          <w:rFonts w:ascii="Times New Roman" w:hAnsi="Times New Roman" w:cs="Times New Roman"/>
        </w:rPr>
      </w:pPr>
    </w:p>
    <w:p w14:paraId="55B16706" w14:textId="4EB385AC" w:rsidR="00017299" w:rsidRDefault="00017299" w:rsidP="00564B9E">
      <w:pPr>
        <w:spacing w:after="0"/>
        <w:jc w:val="both"/>
        <w:rPr>
          <w:rFonts w:ascii="Times New Roman" w:hAnsi="Times New Roman" w:cs="Times New Roman"/>
        </w:rPr>
      </w:pPr>
      <w:r>
        <w:rPr>
          <w:rFonts w:ascii="Times New Roman" w:hAnsi="Times New Roman" w:cs="Times New Roman"/>
        </w:rPr>
        <w:t xml:space="preserve">Note that, despite the </w:t>
      </w:r>
      <w:r w:rsidR="004A7B35">
        <w:rPr>
          <w:rFonts w:ascii="Times New Roman" w:hAnsi="Times New Roman" w:cs="Times New Roman"/>
        </w:rPr>
        <w:t xml:space="preserve">observation that </w:t>
      </w:r>
      <w:r>
        <w:rPr>
          <w:rFonts w:ascii="Times New Roman" w:hAnsi="Times New Roman" w:cs="Times New Roman"/>
        </w:rPr>
        <w:t xml:space="preserve">scalable numerology is </w:t>
      </w:r>
      <w:r w:rsidR="004A7B35">
        <w:rPr>
          <w:rFonts w:ascii="Times New Roman" w:hAnsi="Times New Roman" w:cs="Times New Roman"/>
        </w:rPr>
        <w:t xml:space="preserve">in general </w:t>
      </w:r>
      <w:r>
        <w:rPr>
          <w:rFonts w:ascii="Times New Roman" w:hAnsi="Times New Roman" w:cs="Times New Roman"/>
        </w:rPr>
        <w:t xml:space="preserve">sufficient to cover most DS scenarios, </w:t>
      </w:r>
      <w:r w:rsidR="006A6A41">
        <w:rPr>
          <w:rFonts w:ascii="Times New Roman" w:hAnsi="Times New Roman" w:cs="Times New Roman"/>
        </w:rPr>
        <w:t xml:space="preserve">we still put </w:t>
      </w:r>
      <w:r>
        <w:rPr>
          <w:rFonts w:ascii="Times New Roman" w:hAnsi="Times New Roman" w:cs="Times New Roman"/>
        </w:rPr>
        <w:t xml:space="preserve">considerable amount of effort to evaluate performance tradeoffs in various possible use cases </w:t>
      </w:r>
      <w:r>
        <w:rPr>
          <w:rFonts w:ascii="Times New Roman" w:hAnsi="Times New Roman" w:cs="Times New Roman"/>
        </w:rPr>
        <w:fldChar w:fldCharType="begin"/>
      </w:r>
      <w:r>
        <w:rPr>
          <w:rFonts w:ascii="Times New Roman" w:hAnsi="Times New Roman" w:cs="Times New Roman"/>
        </w:rPr>
        <w:instrText xml:space="preserve"> REF _Ref474626898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 REF _Ref474626891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sidR="006A6A41">
        <w:rPr>
          <w:rFonts w:ascii="Times New Roman" w:hAnsi="Times New Roman" w:cs="Times New Roman"/>
        </w:rPr>
        <w:t>.</w:t>
      </w:r>
      <w:r w:rsidR="008509F6">
        <w:rPr>
          <w:rFonts w:ascii="Times New Roman" w:hAnsi="Times New Roman" w:cs="Times New Roman"/>
        </w:rPr>
        <w:t xml:space="preserve"> C</w:t>
      </w:r>
      <w:r w:rsidR="00C3787D">
        <w:rPr>
          <w:rFonts w:ascii="Times New Roman" w:hAnsi="Times New Roman" w:cs="Times New Roman"/>
        </w:rPr>
        <w:t>onstructive proposals on</w:t>
      </w:r>
      <w:r>
        <w:rPr>
          <w:rFonts w:ascii="Times New Roman" w:hAnsi="Times New Roman" w:cs="Times New Roman"/>
        </w:rPr>
        <w:t xml:space="preserve"> mechanisms to enable ECP have been presented</w:t>
      </w:r>
      <w:r w:rsidR="00305AA9">
        <w:rPr>
          <w:rFonts w:ascii="Times New Roman" w:hAnsi="Times New Roman" w:cs="Times New Roman"/>
        </w:rPr>
        <w:t xml:space="preserve"> (e.g.</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_Ref474626887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r w:rsidR="00305AA9">
        <w:rPr>
          <w:rFonts w:ascii="Times New Roman" w:hAnsi="Times New Roman" w:cs="Times New Roman"/>
        </w:rPr>
        <w:t>)</w:t>
      </w:r>
      <w:r w:rsidR="00F44241">
        <w:rPr>
          <w:rFonts w:ascii="Times New Roman" w:hAnsi="Times New Roman" w:cs="Times New Roman"/>
        </w:rPr>
        <w:t>.</w:t>
      </w:r>
    </w:p>
    <w:p w14:paraId="0EEC3210" w14:textId="3A268C02" w:rsidR="00B365F9" w:rsidRDefault="00B365F9" w:rsidP="00B365F9">
      <w:pPr>
        <w:spacing w:after="0"/>
        <w:jc w:val="both"/>
        <w:rPr>
          <w:rFonts w:ascii="Times New Roman" w:hAnsi="Times New Roman" w:cs="Times New Roman"/>
        </w:rPr>
      </w:pPr>
      <w:r>
        <w:rPr>
          <w:rFonts w:ascii="Times New Roman" w:hAnsi="Times New Roman" w:cs="Times New Roman"/>
        </w:rPr>
        <w:lastRenderedPageBreak/>
        <w:t xml:space="preserve">In this paper, we propose a framework that can be used to </w:t>
      </w:r>
      <w:r w:rsidR="00D72C50">
        <w:rPr>
          <w:rFonts w:ascii="Times New Roman" w:hAnsi="Times New Roman" w:cs="Times New Roman"/>
        </w:rPr>
        <w:t xml:space="preserve">introduce </w:t>
      </w:r>
      <w:r>
        <w:rPr>
          <w:rFonts w:ascii="Times New Roman" w:hAnsi="Times New Roman" w:cs="Times New Roman"/>
        </w:rPr>
        <w:t>ECP</w:t>
      </w:r>
      <w:r w:rsidR="00D72C50">
        <w:rPr>
          <w:rFonts w:ascii="Times New Roman" w:hAnsi="Times New Roman" w:cs="Times New Roman"/>
        </w:rPr>
        <w:t xml:space="preserve"> in a UE specific fashion</w:t>
      </w:r>
      <w:r>
        <w:rPr>
          <w:rFonts w:ascii="Times New Roman" w:hAnsi="Times New Roman" w:cs="Times New Roman"/>
        </w:rPr>
        <w:t>.</w:t>
      </w:r>
    </w:p>
    <w:p w14:paraId="16495C04" w14:textId="77777777" w:rsidR="00B365F9" w:rsidRDefault="00B365F9" w:rsidP="00B365F9">
      <w:pPr>
        <w:spacing w:after="0"/>
        <w:jc w:val="both"/>
        <w:rPr>
          <w:rFonts w:ascii="Times New Roman" w:hAnsi="Times New Roman" w:cs="Times New Roman"/>
        </w:rPr>
      </w:pPr>
    </w:p>
    <w:p w14:paraId="780B18BF" w14:textId="05EA31DE" w:rsidR="00237573" w:rsidRDefault="00ED4BB1" w:rsidP="00237573">
      <w:pPr>
        <w:pStyle w:val="Heading2"/>
      </w:pPr>
      <w:r>
        <w:t xml:space="preserve">UE specific </w:t>
      </w:r>
      <w:r w:rsidR="00CB10C3">
        <w:t>CP type</w:t>
      </w:r>
      <w:r w:rsidR="004D21DE">
        <w:t xml:space="preserve"> for data channels</w:t>
      </w:r>
    </w:p>
    <w:p w14:paraId="1309CBD3" w14:textId="3CE6182B" w:rsidR="000B3ADB" w:rsidRDefault="00010A5D" w:rsidP="000B3ADB">
      <w:pPr>
        <w:spacing w:after="0"/>
        <w:jc w:val="both"/>
        <w:rPr>
          <w:rFonts w:ascii="Times New Roman" w:hAnsi="Times New Roman" w:cs="Times New Roman"/>
        </w:rPr>
      </w:pPr>
      <w:r w:rsidRPr="00010A5D">
        <w:rPr>
          <w:rFonts w:ascii="Times New Roman" w:hAnsi="Times New Roman" w:cs="Times New Roman"/>
        </w:rPr>
        <w:t xml:space="preserve">The usage of ECP has been mainly </w:t>
      </w:r>
      <w:r w:rsidR="009401DD">
        <w:rPr>
          <w:rFonts w:ascii="Times New Roman" w:hAnsi="Times New Roman" w:cs="Times New Roman"/>
        </w:rPr>
        <w:t>to combat ISI over long DS channels</w:t>
      </w:r>
      <w:r w:rsidRPr="00010A5D">
        <w:rPr>
          <w:rFonts w:ascii="Times New Roman" w:hAnsi="Times New Roman" w:cs="Times New Roman"/>
        </w:rPr>
        <w:t xml:space="preserve">. </w:t>
      </w:r>
      <w:r>
        <w:rPr>
          <w:rFonts w:ascii="Times New Roman" w:hAnsi="Times New Roman" w:cs="Times New Roman"/>
        </w:rPr>
        <w:t xml:space="preserve">However, </w:t>
      </w:r>
      <w:r w:rsidR="005F47E1">
        <w:rPr>
          <w:rFonts w:ascii="Times New Roman" w:hAnsi="Times New Roman" w:cs="Times New Roman"/>
        </w:rPr>
        <w:t>from the studies in RAN1, we have the following observations:</w:t>
      </w:r>
    </w:p>
    <w:p w14:paraId="01EACBE5" w14:textId="6CE7BD04" w:rsidR="00DD2EEA" w:rsidRPr="00DD2EEA" w:rsidRDefault="00DD2EEA" w:rsidP="00DD2EEA">
      <w:pPr>
        <w:pStyle w:val="ListParagraph"/>
        <w:numPr>
          <w:ilvl w:val="0"/>
          <w:numId w:val="45"/>
        </w:numPr>
        <w:spacing w:after="0"/>
        <w:jc w:val="both"/>
        <w:rPr>
          <w:rFonts w:ascii="Times New Roman" w:hAnsi="Times New Roman" w:cs="Times New Roman"/>
        </w:rPr>
      </w:pPr>
      <w:r>
        <w:rPr>
          <w:rFonts w:ascii="Times New Roman" w:hAnsi="Times New Roman" w:cs="Times New Roman"/>
        </w:rPr>
        <w:t xml:space="preserve">The need for ECP is highly SNR dependent. For SNR &lt; 15dB, ECP has no gain over NCP and typically incurs a performance loss over NCP </w:t>
      </w:r>
      <w:r w:rsidRPr="00DD2EEA">
        <w:rPr>
          <w:rFonts w:ascii="Times New Roman" w:hAnsi="Times New Roman" w:cs="Times New Roman"/>
        </w:rPr>
        <w:t>[</w:t>
      </w:r>
      <w:r w:rsidR="007803A2">
        <w:rPr>
          <w:rFonts w:ascii="Times New Roman" w:hAnsi="Times New Roman" w:cs="Times New Roman"/>
        </w:rPr>
        <w:t>3-6,</w:t>
      </w:r>
      <w:r w:rsidR="004467B9">
        <w:rPr>
          <w:rFonts w:ascii="Times New Roman" w:hAnsi="Times New Roman" w:cs="Times New Roman"/>
        </w:rPr>
        <w:t xml:space="preserve"> </w:t>
      </w:r>
      <w:r w:rsidR="007803A2">
        <w:rPr>
          <w:rFonts w:ascii="Times New Roman" w:hAnsi="Times New Roman" w:cs="Times New Roman"/>
        </w:rPr>
        <w:t>12-14</w:t>
      </w:r>
      <w:r w:rsidRPr="00DD2EEA">
        <w:rPr>
          <w:rFonts w:ascii="Times New Roman" w:hAnsi="Times New Roman" w:cs="Times New Roman"/>
        </w:rPr>
        <w:t>]</w:t>
      </w:r>
      <w:r w:rsidR="00612DE1">
        <w:rPr>
          <w:rFonts w:ascii="Times New Roman" w:hAnsi="Times New Roman" w:cs="Times New Roman"/>
        </w:rPr>
        <w:t>.</w:t>
      </w:r>
    </w:p>
    <w:p w14:paraId="66BB7708" w14:textId="77777777" w:rsidR="00013262" w:rsidRPr="000B3ADB" w:rsidRDefault="00013262" w:rsidP="00013262">
      <w:pPr>
        <w:pStyle w:val="ListParagraph"/>
        <w:numPr>
          <w:ilvl w:val="0"/>
          <w:numId w:val="45"/>
        </w:numPr>
        <w:autoSpaceDE w:val="0"/>
        <w:autoSpaceDN w:val="0"/>
        <w:spacing w:after="0" w:line="240" w:lineRule="auto"/>
        <w:jc w:val="both"/>
        <w:rPr>
          <w:rFonts w:ascii="Times New Roman" w:hAnsi="Times New Roman" w:cs="Times New Roman"/>
        </w:rPr>
      </w:pPr>
      <w:r>
        <w:rPr>
          <w:rFonts w:ascii="Times New Roman" w:hAnsi="Times New Roman" w:cs="Times New Roman"/>
        </w:rPr>
        <w:t>Low geometry users are not impacted by the excessive delay spread beyond CP as it has been shown repeatedly from several companies. Therefore, f</w:t>
      </w:r>
      <w:r w:rsidRPr="000B3ADB">
        <w:rPr>
          <w:rFonts w:ascii="Times New Roman" w:hAnsi="Times New Roman" w:cs="Times New Roman"/>
        </w:rPr>
        <w:t>orcing all the users in the cell to use ECP (particularly LTE ECP) is</w:t>
      </w:r>
      <w:r>
        <w:rPr>
          <w:rFonts w:ascii="Times New Roman" w:hAnsi="Times New Roman" w:cs="Times New Roman"/>
        </w:rPr>
        <w:t xml:space="preserve"> going to be highly inefficient.</w:t>
      </w:r>
    </w:p>
    <w:p w14:paraId="19010E9C" w14:textId="5C547852" w:rsidR="00010A5D" w:rsidRDefault="00013262" w:rsidP="00824610">
      <w:pPr>
        <w:pStyle w:val="ListParagraph"/>
        <w:numPr>
          <w:ilvl w:val="0"/>
          <w:numId w:val="45"/>
        </w:numPr>
        <w:spacing w:after="0"/>
        <w:jc w:val="both"/>
        <w:rPr>
          <w:rFonts w:ascii="Times New Roman" w:hAnsi="Times New Roman" w:cs="Times New Roman"/>
        </w:rPr>
      </w:pPr>
      <w:r>
        <w:rPr>
          <w:rFonts w:ascii="Times New Roman" w:hAnsi="Times New Roman" w:cs="Times New Roman"/>
        </w:rPr>
        <w:t xml:space="preserve">Similarly, </w:t>
      </w:r>
      <w:r w:rsidR="00010A5D" w:rsidRPr="000B3ADB">
        <w:rPr>
          <w:rFonts w:ascii="Times New Roman" w:hAnsi="Times New Roman" w:cs="Times New Roman"/>
        </w:rPr>
        <w:t xml:space="preserve">such a concern </w:t>
      </w:r>
      <w:r w:rsidR="001777D9" w:rsidRPr="000B3ADB">
        <w:rPr>
          <w:rFonts w:ascii="Times New Roman" w:hAnsi="Times New Roman" w:cs="Times New Roman"/>
        </w:rPr>
        <w:t>does</w:t>
      </w:r>
      <w:r w:rsidR="00010A5D" w:rsidRPr="000B3ADB">
        <w:rPr>
          <w:rFonts w:ascii="Times New Roman" w:hAnsi="Times New Roman" w:cs="Times New Roman"/>
        </w:rPr>
        <w:t xml:space="preserve"> not exist for the control channel, due to the low SNR operating point.</w:t>
      </w:r>
      <w:r w:rsidR="001777D9" w:rsidRPr="000B3ADB">
        <w:rPr>
          <w:rFonts w:ascii="Times New Roman" w:hAnsi="Times New Roman" w:cs="Times New Roman"/>
        </w:rPr>
        <w:t xml:space="preserve"> Specifically, the SINR floor due to excessive delay spread is typically larger than the operating point of the control channel, e.g., higher than 10-15 dB, and therefore there is no need of transmitting with ECP in the OFDM symbols with the control channe</w:t>
      </w:r>
      <w:r w:rsidR="00DD2EEA">
        <w:rPr>
          <w:rFonts w:ascii="Times New Roman" w:hAnsi="Times New Roman" w:cs="Times New Roman"/>
        </w:rPr>
        <w:t>l.</w:t>
      </w:r>
    </w:p>
    <w:p w14:paraId="28A45F35" w14:textId="77777777" w:rsidR="000B3ADB" w:rsidRDefault="000B3ADB" w:rsidP="00824610">
      <w:pPr>
        <w:autoSpaceDE w:val="0"/>
        <w:autoSpaceDN w:val="0"/>
        <w:spacing w:after="0" w:line="240" w:lineRule="auto"/>
        <w:jc w:val="both"/>
        <w:rPr>
          <w:rFonts w:ascii="Times New Roman" w:hAnsi="Times New Roman" w:cs="Times New Roman"/>
        </w:rPr>
      </w:pPr>
    </w:p>
    <w:p w14:paraId="3C2CFB8B" w14:textId="79841EE4" w:rsidR="000B3ADB" w:rsidRPr="000B3ADB" w:rsidRDefault="000B3ADB" w:rsidP="000B3ADB">
      <w:pPr>
        <w:autoSpaceDE w:val="0"/>
        <w:autoSpaceDN w:val="0"/>
        <w:spacing w:before="40" w:after="40" w:line="240" w:lineRule="auto"/>
        <w:jc w:val="both"/>
        <w:rPr>
          <w:rFonts w:ascii="Times New Roman" w:hAnsi="Times New Roman" w:cs="Times New Roman"/>
          <w:b/>
          <w:i/>
        </w:rPr>
      </w:pPr>
      <w:r w:rsidRPr="000B3ADB">
        <w:rPr>
          <w:rFonts w:ascii="Times New Roman" w:hAnsi="Times New Roman" w:cs="Times New Roman"/>
          <w:b/>
          <w:i/>
        </w:rPr>
        <w:t xml:space="preserve">Observation 1: </w:t>
      </w:r>
      <w:r w:rsidR="008A6895">
        <w:rPr>
          <w:rFonts w:ascii="Times New Roman" w:hAnsi="Times New Roman" w:cs="Times New Roman"/>
          <w:b/>
          <w:i/>
        </w:rPr>
        <w:t>in the low to moderate SNR region (SNR &lt;= 15~20dB), LTE-type ECP only incurs performance loss.</w:t>
      </w:r>
    </w:p>
    <w:p w14:paraId="44E5354B" w14:textId="77777777" w:rsidR="000B3ADB" w:rsidRDefault="000B3ADB" w:rsidP="000B3ADB">
      <w:pPr>
        <w:autoSpaceDE w:val="0"/>
        <w:autoSpaceDN w:val="0"/>
        <w:spacing w:after="0" w:line="240" w:lineRule="auto"/>
        <w:rPr>
          <w:rFonts w:ascii="Times New Roman" w:hAnsi="Times New Roman" w:cs="Times New Roman"/>
        </w:rPr>
      </w:pPr>
    </w:p>
    <w:p w14:paraId="074B2332" w14:textId="24EE565D" w:rsidR="000B3ADB" w:rsidRPr="000B3ADB" w:rsidRDefault="000B3ADB" w:rsidP="000B3ADB">
      <w:pPr>
        <w:autoSpaceDE w:val="0"/>
        <w:autoSpaceDN w:val="0"/>
        <w:spacing w:after="0" w:line="240" w:lineRule="auto"/>
        <w:rPr>
          <w:rFonts w:ascii="Times New Roman" w:hAnsi="Times New Roman" w:cs="Times New Roman"/>
          <w:b/>
          <w:i/>
        </w:rPr>
      </w:pPr>
      <w:r w:rsidRPr="000B3ADB">
        <w:rPr>
          <w:rFonts w:ascii="Times New Roman" w:hAnsi="Times New Roman" w:cs="Times New Roman"/>
          <w:b/>
          <w:i/>
        </w:rPr>
        <w:t xml:space="preserve">Observation 2: </w:t>
      </w:r>
      <w:r w:rsidR="008A6895" w:rsidRPr="000B3ADB">
        <w:rPr>
          <w:rFonts w:ascii="Times New Roman" w:hAnsi="Times New Roman" w:cs="Times New Roman"/>
          <w:b/>
          <w:i/>
        </w:rPr>
        <w:t xml:space="preserve">CP length is not expected to </w:t>
      </w:r>
      <w:r w:rsidR="006E4C9B">
        <w:rPr>
          <w:rFonts w:ascii="Times New Roman" w:hAnsi="Times New Roman" w:cs="Times New Roman"/>
          <w:b/>
          <w:i/>
        </w:rPr>
        <w:t xml:space="preserve">have noticeable </w:t>
      </w:r>
      <w:r w:rsidR="009F46CC">
        <w:rPr>
          <w:rFonts w:ascii="Times New Roman" w:hAnsi="Times New Roman" w:cs="Times New Roman"/>
          <w:b/>
          <w:i/>
        </w:rPr>
        <w:t xml:space="preserve">performance </w:t>
      </w:r>
      <w:r w:rsidR="008A6895" w:rsidRPr="000B3ADB">
        <w:rPr>
          <w:rFonts w:ascii="Times New Roman" w:hAnsi="Times New Roman" w:cs="Times New Roman"/>
          <w:b/>
          <w:i/>
        </w:rPr>
        <w:t xml:space="preserve">impact </w:t>
      </w:r>
      <w:r w:rsidR="009F46CC">
        <w:rPr>
          <w:rFonts w:ascii="Times New Roman" w:hAnsi="Times New Roman" w:cs="Times New Roman"/>
          <w:b/>
          <w:i/>
        </w:rPr>
        <w:t xml:space="preserve">on </w:t>
      </w:r>
      <w:r w:rsidR="008A6895" w:rsidRPr="000B3ADB">
        <w:rPr>
          <w:rFonts w:ascii="Times New Roman" w:hAnsi="Times New Roman" w:cs="Times New Roman"/>
          <w:b/>
          <w:i/>
        </w:rPr>
        <w:t>ctrl channel due to its low rank/modulation order and low geometry operating region</w:t>
      </w:r>
      <w:r w:rsidR="008A6895">
        <w:rPr>
          <w:rFonts w:ascii="Times New Roman" w:hAnsi="Times New Roman" w:cs="Times New Roman"/>
          <w:b/>
          <w:i/>
        </w:rPr>
        <w:t>.</w:t>
      </w:r>
    </w:p>
    <w:p w14:paraId="5F63ABE8" w14:textId="77777777" w:rsidR="000B3ADB" w:rsidRDefault="000B3ADB" w:rsidP="000B3ADB">
      <w:pPr>
        <w:autoSpaceDE w:val="0"/>
        <w:autoSpaceDN w:val="0"/>
        <w:spacing w:after="0" w:line="240" w:lineRule="auto"/>
        <w:rPr>
          <w:rFonts w:ascii="Times New Roman" w:hAnsi="Times New Roman" w:cs="Times New Roman"/>
        </w:rPr>
      </w:pPr>
    </w:p>
    <w:p w14:paraId="34E10C54" w14:textId="5A1A4488" w:rsidR="008A6895" w:rsidRPr="000B3ADB" w:rsidRDefault="004D7E12" w:rsidP="008A6895">
      <w:pPr>
        <w:autoSpaceDE w:val="0"/>
        <w:autoSpaceDN w:val="0"/>
        <w:spacing w:after="0" w:line="240" w:lineRule="auto"/>
        <w:rPr>
          <w:rFonts w:ascii="Times New Roman" w:hAnsi="Times New Roman" w:cs="Times New Roman"/>
          <w:b/>
          <w:i/>
        </w:rPr>
      </w:pPr>
      <w:r>
        <w:rPr>
          <w:rFonts w:ascii="Times New Roman" w:hAnsi="Times New Roman" w:cs="Times New Roman"/>
          <w:b/>
          <w:i/>
        </w:rPr>
        <w:t>Observation 3</w:t>
      </w:r>
      <w:r w:rsidR="008A6895" w:rsidRPr="000B3ADB">
        <w:rPr>
          <w:rFonts w:ascii="Times New Roman" w:hAnsi="Times New Roman" w:cs="Times New Roman"/>
          <w:b/>
          <w:i/>
        </w:rPr>
        <w:t xml:space="preserve">: </w:t>
      </w:r>
      <w:r w:rsidR="008A6895">
        <w:rPr>
          <w:rFonts w:ascii="Times New Roman" w:hAnsi="Times New Roman" w:cs="Times New Roman"/>
          <w:b/>
          <w:i/>
        </w:rPr>
        <w:t>F</w:t>
      </w:r>
      <w:r w:rsidR="008A6895" w:rsidRPr="000B3ADB">
        <w:rPr>
          <w:rFonts w:ascii="Times New Roman" w:hAnsi="Times New Roman" w:cs="Times New Roman"/>
          <w:b/>
          <w:i/>
        </w:rPr>
        <w:t>orcing all the users in the cell to use ECP (particularly LTE ECP) is</w:t>
      </w:r>
      <w:r w:rsidR="008A6895">
        <w:rPr>
          <w:rFonts w:ascii="Times New Roman" w:hAnsi="Times New Roman" w:cs="Times New Roman"/>
          <w:b/>
          <w:i/>
        </w:rPr>
        <w:t xml:space="preserve"> going to be highly inefficient.</w:t>
      </w:r>
    </w:p>
    <w:p w14:paraId="1779C0AB" w14:textId="77777777" w:rsidR="008A6895" w:rsidRPr="000B3ADB" w:rsidRDefault="008A6895" w:rsidP="000B3ADB">
      <w:pPr>
        <w:autoSpaceDE w:val="0"/>
        <w:autoSpaceDN w:val="0"/>
        <w:spacing w:after="0" w:line="240" w:lineRule="auto"/>
        <w:rPr>
          <w:rFonts w:ascii="Times New Roman" w:hAnsi="Times New Roman" w:cs="Times New Roman"/>
        </w:rPr>
      </w:pPr>
    </w:p>
    <w:p w14:paraId="67FD6286" w14:textId="07A8C910" w:rsidR="001777D9" w:rsidRDefault="000B3ADB" w:rsidP="00010A5D">
      <w:pPr>
        <w:jc w:val="both"/>
        <w:rPr>
          <w:rFonts w:ascii="Times New Roman" w:hAnsi="Times New Roman" w:cs="Times New Roman"/>
        </w:rPr>
      </w:pPr>
      <w:r>
        <w:rPr>
          <w:rFonts w:ascii="Times New Roman" w:hAnsi="Times New Roman" w:cs="Times New Roman"/>
        </w:rPr>
        <w:t>Based on the above observations, note that i</w:t>
      </w:r>
      <w:r w:rsidR="00010A5D">
        <w:rPr>
          <w:rFonts w:ascii="Times New Roman" w:hAnsi="Times New Roman" w:cs="Times New Roman"/>
        </w:rPr>
        <w:t xml:space="preserve">f control is always NCP, then the gNB may configure </w:t>
      </w:r>
      <w:r w:rsidR="001777D9">
        <w:rPr>
          <w:rFonts w:ascii="Times New Roman" w:hAnsi="Times New Roman" w:cs="Times New Roman"/>
        </w:rPr>
        <w:t xml:space="preserve">for </w:t>
      </w:r>
      <w:r w:rsidR="00010A5D">
        <w:rPr>
          <w:rFonts w:ascii="Times New Roman" w:hAnsi="Times New Roman" w:cs="Times New Roman"/>
        </w:rPr>
        <w:t>e</w:t>
      </w:r>
      <w:r>
        <w:rPr>
          <w:rFonts w:ascii="Times New Roman" w:hAnsi="Times New Roman" w:cs="Times New Roman"/>
        </w:rPr>
        <w:t xml:space="preserve">ach UE separately the CP </w:t>
      </w:r>
      <w:r w:rsidR="00010A5D">
        <w:rPr>
          <w:rFonts w:ascii="Times New Roman" w:hAnsi="Times New Roman" w:cs="Times New Roman"/>
        </w:rPr>
        <w:t xml:space="preserve">of the data channel, depending on the channel </w:t>
      </w:r>
      <w:r w:rsidR="001777D9">
        <w:rPr>
          <w:rFonts w:ascii="Times New Roman" w:hAnsi="Times New Roman" w:cs="Times New Roman"/>
        </w:rPr>
        <w:t xml:space="preserve">conditions </w:t>
      </w:r>
      <w:r w:rsidR="00010A5D">
        <w:rPr>
          <w:rFonts w:ascii="Times New Roman" w:hAnsi="Times New Roman" w:cs="Times New Roman"/>
        </w:rPr>
        <w:t xml:space="preserve">that each UE experiences and </w:t>
      </w:r>
      <w:r w:rsidR="001777D9">
        <w:rPr>
          <w:rFonts w:ascii="Times New Roman" w:hAnsi="Times New Roman" w:cs="Times New Roman"/>
        </w:rPr>
        <w:t>the</w:t>
      </w:r>
      <w:r w:rsidR="00010A5D">
        <w:rPr>
          <w:rFonts w:ascii="Times New Roman" w:hAnsi="Times New Roman" w:cs="Times New Roman"/>
        </w:rPr>
        <w:t xml:space="preserve"> UE capabilities. </w:t>
      </w:r>
      <w:r w:rsidR="001777D9">
        <w:rPr>
          <w:rFonts w:ascii="Times New Roman" w:hAnsi="Times New Roman" w:cs="Times New Roman"/>
        </w:rPr>
        <w:t xml:space="preserve">Using such a </w:t>
      </w:r>
      <w:r w:rsidR="004710F3">
        <w:rPr>
          <w:rFonts w:ascii="Times New Roman" w:hAnsi="Times New Roman" w:cs="Times New Roman"/>
        </w:rPr>
        <w:t xml:space="preserve">UE specific </w:t>
      </w:r>
      <w:r w:rsidR="001777D9">
        <w:rPr>
          <w:rFonts w:ascii="Times New Roman" w:hAnsi="Times New Roman" w:cs="Times New Roman"/>
        </w:rPr>
        <w:t>CP management allows for more flexibility in configuring ECP for only the UEs that actually need it. Recall that in LTE the CP management is cell-specific, i.e., detection of cell-specific CP is via PSS/SSS, which means that all the UEs would need to be configured to ECP/NCP; such a configuration would generally result to overall system throughput loss, as we have repeatedly show</w:t>
      </w:r>
      <w:r w:rsidR="005D0E28">
        <w:rPr>
          <w:rFonts w:ascii="Times New Roman" w:hAnsi="Times New Roman" w:cs="Times New Roman"/>
        </w:rPr>
        <w:t xml:space="preserve"> (and also puts enormous amount of burden on UE implementation)</w:t>
      </w:r>
      <w:r w:rsidR="001777D9">
        <w:rPr>
          <w:rFonts w:ascii="Times New Roman" w:hAnsi="Times New Roman" w:cs="Times New Roman"/>
        </w:rPr>
        <w:t xml:space="preserve">. </w:t>
      </w:r>
      <w:r>
        <w:rPr>
          <w:rFonts w:ascii="Times New Roman" w:hAnsi="Times New Roman" w:cs="Times New Roman"/>
        </w:rPr>
        <w:t>I</w:t>
      </w:r>
      <w:r w:rsidR="001777D9">
        <w:rPr>
          <w:rFonts w:ascii="Times New Roman" w:hAnsi="Times New Roman" w:cs="Times New Roman"/>
        </w:rPr>
        <w:t xml:space="preserve">f the ECP can be configured per UE, only for the data channels, while keeping the OFDM symbols with control with the </w:t>
      </w:r>
      <w:r w:rsidR="005C5E12">
        <w:rPr>
          <w:rFonts w:ascii="Times New Roman" w:hAnsi="Times New Roman" w:cs="Times New Roman"/>
        </w:rPr>
        <w:t>NCP</w:t>
      </w:r>
      <w:r w:rsidR="001777D9">
        <w:rPr>
          <w:rFonts w:ascii="Times New Roman" w:hAnsi="Times New Roman" w:cs="Times New Roman"/>
        </w:rPr>
        <w:t xml:space="preserve">, the network could enable the ECP feature for only those ECP-capable UEs that actually experience </w:t>
      </w:r>
      <w:r w:rsidR="0060324D">
        <w:rPr>
          <w:rFonts w:ascii="Times New Roman" w:hAnsi="Times New Roman" w:cs="Times New Roman"/>
        </w:rPr>
        <w:t>channels with high Delay spread that cannot be handled by the NCP alternative</w:t>
      </w:r>
      <w:r w:rsidR="001777D9">
        <w:rPr>
          <w:rFonts w:ascii="Times New Roman" w:hAnsi="Times New Roman" w:cs="Times New Roman"/>
        </w:rPr>
        <w:t>.</w:t>
      </w:r>
      <w:r w:rsidR="0060324D">
        <w:rPr>
          <w:rFonts w:ascii="Times New Roman" w:hAnsi="Times New Roman" w:cs="Times New Roman"/>
        </w:rPr>
        <w:t xml:space="preserve"> For the remaining UEs, higher spectral efficiencies could be achieved if these UEs are configured with NCP.</w:t>
      </w:r>
    </w:p>
    <w:p w14:paraId="1FC6794E" w14:textId="3D6A654B" w:rsidR="00FA0E31" w:rsidRDefault="00C6151D" w:rsidP="00FA0E31">
      <w:pPr>
        <w:keepNext/>
        <w:jc w:val="both"/>
      </w:pPr>
      <w:r w:rsidRPr="00FA0E31">
        <w:rPr>
          <w:rFonts w:ascii="Times New Roman" w:hAnsi="Times New Roman" w:cs="Times New Roman"/>
        </w:rPr>
        <w:object w:dxaOrig="4584" w:dyaOrig="1884" w14:anchorId="079F5E09">
          <v:shape id="_x0000_i1025" type="#_x0000_t75" style="width:229.45pt;height:93.5pt" o:ole="">
            <v:imagedata r:id="rId12" o:title=""/>
          </v:shape>
          <o:OLEObject Type="Embed" ProgID="Visio.Drawing.11" ShapeID="_x0000_i1025" DrawAspect="Content" ObjectID="_1548480243" r:id="rId13"/>
        </w:object>
      </w:r>
      <w:r w:rsidR="00FA0E31">
        <w:rPr>
          <w:rFonts w:ascii="Times New Roman" w:hAnsi="Times New Roman" w:cs="Times New Roman"/>
        </w:rPr>
        <w:t xml:space="preserve">    </w:t>
      </w:r>
      <w:r w:rsidR="00FA0E31" w:rsidRPr="00FA0E31">
        <w:rPr>
          <w:rFonts w:ascii="Times New Roman" w:hAnsi="Times New Roman" w:cs="Times New Roman"/>
        </w:rPr>
        <w:object w:dxaOrig="4584" w:dyaOrig="1884" w14:anchorId="17F1371B">
          <v:shape id="_x0000_i1026" type="#_x0000_t75" style="width:229.45pt;height:93.5pt" o:ole="">
            <v:imagedata r:id="rId14" o:title=""/>
          </v:shape>
          <o:OLEObject Type="Embed" ProgID="Visio.Drawing.11" ShapeID="_x0000_i1026" DrawAspect="Content" ObjectID="_1548480244" r:id="rId15"/>
        </w:object>
      </w:r>
    </w:p>
    <w:p w14:paraId="04AD91A2" w14:textId="6A64029F" w:rsidR="00FA0E31" w:rsidRDefault="00FA0E31" w:rsidP="00FA0E31">
      <w:pPr>
        <w:pStyle w:val="Caption"/>
        <w:rPr>
          <w:rFonts w:ascii="Times New Roman" w:hAnsi="Times New Roman" w:cs="Times New Roman"/>
        </w:rPr>
      </w:pPr>
      <w:r>
        <w:t xml:space="preserve">Figure </w:t>
      </w:r>
      <w:fldSimple w:instr=" STYLEREF 1 \s ">
        <w:r>
          <w:rPr>
            <w:noProof/>
          </w:rPr>
          <w:t>2</w:t>
        </w:r>
      </w:fldSimple>
      <w:r>
        <w:noBreakHyphen/>
      </w:r>
      <w:fldSimple w:instr=" SEQ Figure \* ARABIC \s 1 ">
        <w:r>
          <w:rPr>
            <w:noProof/>
          </w:rPr>
          <w:t>1</w:t>
        </w:r>
      </w:fldSimple>
      <w:r>
        <w:t xml:space="preserve"> UE-specific region-dependent CP management.  DL/UL control is NCP, while DL/UL data is by indication/</w:t>
      </w:r>
      <w:r w:rsidR="004D3F06">
        <w:t>configuration either NCP or ECP</w:t>
      </w:r>
      <w:r>
        <w:t>.</w:t>
      </w:r>
    </w:p>
    <w:p w14:paraId="34DC60AA" w14:textId="4336EC62" w:rsidR="00C6151D" w:rsidRDefault="00ED392B" w:rsidP="00010A5D">
      <w:pPr>
        <w:jc w:val="both"/>
        <w:rPr>
          <w:rFonts w:ascii="Times New Roman" w:hAnsi="Times New Roman" w:cs="Times New Roman"/>
        </w:rPr>
      </w:pPr>
      <w:r>
        <w:rPr>
          <w:rFonts w:ascii="Times New Roman" w:hAnsi="Times New Roman" w:cs="Times New Roman"/>
        </w:rPr>
        <w:t>Note that in the above f</w:t>
      </w:r>
      <w:r w:rsidR="00C6151D">
        <w:rPr>
          <w:rFonts w:ascii="Times New Roman" w:hAnsi="Times New Roman" w:cs="Times New Roman"/>
        </w:rPr>
        <w:t xml:space="preserve">igure, if ECP is used for the DL data, then an appropriate short gap might be needed between the control channel (NCP) and the first DL symbol carrying data. Similar gap was used in LTE also for the MBFSN subframe. </w:t>
      </w:r>
    </w:p>
    <w:p w14:paraId="3A30B88B" w14:textId="77777777" w:rsidR="00B60C52" w:rsidRDefault="00CC4BC9" w:rsidP="00E00FBD">
      <w:pPr>
        <w:pStyle w:val="PlainText"/>
        <w:jc w:val="both"/>
        <w:rPr>
          <w:rFonts w:ascii="Times New Roman" w:hAnsi="Times New Roman" w:cs="Times New Roman"/>
        </w:rPr>
      </w:pPr>
      <w:r>
        <w:rPr>
          <w:rFonts w:ascii="Times New Roman" w:hAnsi="Times New Roman" w:cs="Times New Roman"/>
        </w:rPr>
        <w:lastRenderedPageBreak/>
        <w:t>Regarding the signaling aspect of</w:t>
      </w:r>
      <w:r w:rsidR="00520C5C">
        <w:rPr>
          <w:rFonts w:ascii="Times New Roman" w:hAnsi="Times New Roman" w:cs="Times New Roman"/>
        </w:rPr>
        <w:t xml:space="preserve"> CP </w:t>
      </w:r>
      <w:r>
        <w:rPr>
          <w:rFonts w:ascii="Times New Roman" w:hAnsi="Times New Roman" w:cs="Times New Roman"/>
        </w:rPr>
        <w:t>management</w:t>
      </w:r>
      <w:r w:rsidR="00ED392B">
        <w:rPr>
          <w:rFonts w:ascii="Times New Roman" w:hAnsi="Times New Roman" w:cs="Times New Roman"/>
        </w:rPr>
        <w:t xml:space="preserve">, the UE could advertise to the network its capability regarding the CP types supported for the data channel, and then the network will semi-statically configure the UE </w:t>
      </w:r>
      <w:r w:rsidR="00E00FBD">
        <w:rPr>
          <w:rFonts w:ascii="Times New Roman" w:hAnsi="Times New Roman" w:cs="Times New Roman"/>
        </w:rPr>
        <w:t xml:space="preserve">with </w:t>
      </w:r>
      <w:r w:rsidR="00ED392B">
        <w:rPr>
          <w:rFonts w:ascii="Times New Roman" w:hAnsi="Times New Roman" w:cs="Times New Roman"/>
        </w:rPr>
        <w:t xml:space="preserve">the </w:t>
      </w:r>
      <w:r w:rsidR="00E00FBD">
        <w:rPr>
          <w:rFonts w:ascii="Times New Roman" w:hAnsi="Times New Roman" w:cs="Times New Roman"/>
        </w:rPr>
        <w:t>most</w:t>
      </w:r>
      <w:r w:rsidR="00B60C52">
        <w:rPr>
          <w:rFonts w:ascii="Times New Roman" w:hAnsi="Times New Roman" w:cs="Times New Roman"/>
        </w:rPr>
        <w:t xml:space="preserve"> appropriate CP length.</w:t>
      </w:r>
    </w:p>
    <w:p w14:paraId="1FBA4F57" w14:textId="33168F16" w:rsidR="00ED392B" w:rsidRDefault="00520C5C" w:rsidP="00E00FBD">
      <w:pPr>
        <w:pStyle w:val="PlainText"/>
        <w:jc w:val="both"/>
        <w:rPr>
          <w:rFonts w:ascii="Times New Roman" w:hAnsi="Times New Roman" w:cs="Times New Roman"/>
        </w:rPr>
      </w:pPr>
      <w:r>
        <w:rPr>
          <w:rFonts w:ascii="Times New Roman" w:hAnsi="Times New Roman" w:cs="Times New Roman"/>
        </w:rPr>
        <w:t xml:space="preserve">Note that dynamic signaling of the CP is </w:t>
      </w:r>
      <w:r w:rsidR="00CC4BC9">
        <w:rPr>
          <w:rFonts w:ascii="Times New Roman" w:hAnsi="Times New Roman" w:cs="Times New Roman"/>
        </w:rPr>
        <w:t xml:space="preserve">generally </w:t>
      </w:r>
      <w:r w:rsidR="001F001C">
        <w:rPr>
          <w:rFonts w:ascii="Times New Roman" w:hAnsi="Times New Roman" w:cs="Times New Roman"/>
        </w:rPr>
        <w:t xml:space="preserve">not </w:t>
      </w:r>
      <w:r w:rsidR="00391DCA">
        <w:rPr>
          <w:rFonts w:ascii="Times New Roman" w:hAnsi="Times New Roman" w:cs="Times New Roman"/>
        </w:rPr>
        <w:t>necessary</w:t>
      </w:r>
      <w:r w:rsidR="001F001C">
        <w:rPr>
          <w:rFonts w:ascii="Times New Roman" w:hAnsi="Times New Roman" w:cs="Times New Roman"/>
        </w:rPr>
        <w:t>, as channel DS/geometry and Doppler will n</w:t>
      </w:r>
      <w:r w:rsidR="003B56BE">
        <w:rPr>
          <w:rFonts w:ascii="Times New Roman" w:hAnsi="Times New Roman" w:cs="Times New Roman"/>
        </w:rPr>
        <w:t>ot change very dynamically (on the</w:t>
      </w:r>
      <w:r w:rsidR="001F001C">
        <w:rPr>
          <w:rFonts w:ascii="Times New Roman" w:hAnsi="Times New Roman" w:cs="Times New Roman"/>
        </w:rPr>
        <w:t xml:space="preserve"> </w:t>
      </w:r>
      <w:r w:rsidR="003B56BE">
        <w:rPr>
          <w:rFonts w:ascii="Times New Roman" w:hAnsi="Times New Roman" w:cs="Times New Roman"/>
        </w:rPr>
        <w:t>“</w:t>
      </w:r>
      <w:r w:rsidR="001F001C">
        <w:rPr>
          <w:rFonts w:ascii="Times New Roman" w:hAnsi="Times New Roman" w:cs="Times New Roman"/>
        </w:rPr>
        <w:t>ms</w:t>
      </w:r>
      <w:r w:rsidR="003B56BE">
        <w:rPr>
          <w:rFonts w:ascii="Times New Roman" w:hAnsi="Times New Roman" w:cs="Times New Roman"/>
        </w:rPr>
        <w:t>”</w:t>
      </w:r>
      <w:r w:rsidR="001F001C">
        <w:rPr>
          <w:rFonts w:ascii="Times New Roman" w:hAnsi="Times New Roman" w:cs="Times New Roman"/>
        </w:rPr>
        <w:t xml:space="preserve"> scale). </w:t>
      </w:r>
      <w:r w:rsidR="00D93051">
        <w:rPr>
          <w:rFonts w:ascii="Times New Roman" w:hAnsi="Times New Roman" w:cs="Times New Roman"/>
        </w:rPr>
        <w:t>On the other hand</w:t>
      </w:r>
      <w:r w:rsidR="001F001C">
        <w:rPr>
          <w:rFonts w:ascii="Times New Roman" w:hAnsi="Times New Roman" w:cs="Times New Roman"/>
        </w:rPr>
        <w:t xml:space="preserve">, dynamic switch between NCP and ECP in data channel makes implementation extremely challenging as </w:t>
      </w:r>
      <w:r w:rsidR="00E00FBD">
        <w:rPr>
          <w:rFonts w:ascii="Times New Roman" w:hAnsi="Times New Roman" w:cs="Times New Roman"/>
        </w:rPr>
        <w:t>t</w:t>
      </w:r>
      <w:r w:rsidR="00E00FBD" w:rsidRPr="00E00FBD">
        <w:rPr>
          <w:rFonts w:ascii="Times New Roman" w:hAnsi="Times New Roman" w:cs="Times New Roman"/>
        </w:rPr>
        <w:t>he UE</w:t>
      </w:r>
      <w:r w:rsidR="00E00FBD">
        <w:rPr>
          <w:rFonts w:ascii="Times New Roman" w:hAnsi="Times New Roman" w:cs="Times New Roman"/>
        </w:rPr>
        <w:t xml:space="preserve"> would typically start the FFT of the next symbol while still decoding</w:t>
      </w:r>
      <w:r w:rsidR="00E00FBD" w:rsidRPr="00E00FBD">
        <w:rPr>
          <w:rFonts w:ascii="Times New Roman" w:hAnsi="Times New Roman" w:cs="Times New Roman"/>
        </w:rPr>
        <w:t xml:space="preserve"> the </w:t>
      </w:r>
      <w:r w:rsidR="00E00FBD">
        <w:rPr>
          <w:rFonts w:ascii="Times New Roman" w:hAnsi="Times New Roman" w:cs="Times New Roman"/>
        </w:rPr>
        <w:t>DL control of the previous symbol</w:t>
      </w:r>
      <w:r w:rsidR="00E00FBD" w:rsidRPr="00E00FBD">
        <w:rPr>
          <w:rFonts w:ascii="Times New Roman" w:hAnsi="Times New Roman" w:cs="Times New Roman"/>
        </w:rPr>
        <w:t xml:space="preserve">. If the CP type would be signaled in the </w:t>
      </w:r>
      <w:r w:rsidR="00E00FBD">
        <w:rPr>
          <w:rFonts w:ascii="Times New Roman" w:hAnsi="Times New Roman" w:cs="Times New Roman"/>
        </w:rPr>
        <w:t>DCI,</w:t>
      </w:r>
      <w:r w:rsidR="00E00FBD" w:rsidRPr="00E00FBD">
        <w:rPr>
          <w:rFonts w:ascii="Times New Roman" w:hAnsi="Times New Roman" w:cs="Times New Roman"/>
        </w:rPr>
        <w:t xml:space="preserve"> then the UE would have to </w:t>
      </w:r>
      <w:r w:rsidR="00E00FBD">
        <w:rPr>
          <w:rFonts w:ascii="Times New Roman" w:hAnsi="Times New Roman" w:cs="Times New Roman"/>
        </w:rPr>
        <w:t>perform</w:t>
      </w:r>
      <w:r w:rsidR="00E00FBD" w:rsidRPr="00E00FBD">
        <w:rPr>
          <w:rFonts w:ascii="Times New Roman" w:hAnsi="Times New Roman" w:cs="Times New Roman"/>
        </w:rPr>
        <w:t xml:space="preserve"> two FFTs, one for each CP hypothesis, to be prepared for each possibility</w:t>
      </w:r>
      <w:r w:rsidR="00E00FBD">
        <w:rPr>
          <w:rFonts w:ascii="Times New Roman" w:hAnsi="Times New Roman" w:cs="Times New Roman"/>
        </w:rPr>
        <w:t>, which has obvious problems, timeline processing impact and energy efficiency problems.</w:t>
      </w:r>
      <w:r w:rsidR="00E00FBD" w:rsidRPr="00E00FBD">
        <w:rPr>
          <w:rFonts w:ascii="Times New Roman" w:hAnsi="Times New Roman" w:cs="Times New Roman"/>
        </w:rPr>
        <w:t xml:space="preserve"> </w:t>
      </w:r>
    </w:p>
    <w:p w14:paraId="48B9FD09" w14:textId="77777777" w:rsidR="00E00FBD" w:rsidRDefault="00E00FBD" w:rsidP="00E00FBD">
      <w:pPr>
        <w:pStyle w:val="PlainText"/>
        <w:jc w:val="both"/>
        <w:rPr>
          <w:rFonts w:ascii="Times New Roman" w:hAnsi="Times New Roman" w:cs="Times New Roman"/>
        </w:rPr>
      </w:pPr>
    </w:p>
    <w:p w14:paraId="5F37DD42" w14:textId="5F9E9BA2" w:rsidR="00CB10C3" w:rsidRDefault="00C06C9D" w:rsidP="00EA78C1">
      <w:pPr>
        <w:pStyle w:val="Heading2"/>
      </w:pPr>
      <w:r>
        <w:t>Simulation study</w:t>
      </w:r>
      <w:r w:rsidR="00010A5D">
        <w:t xml:space="preserve"> for 4 GHz and TDL channels with 500 kmh</w:t>
      </w:r>
    </w:p>
    <w:p w14:paraId="44DB7A6B" w14:textId="29C424F5" w:rsidR="00010A5D" w:rsidRDefault="00010A5D" w:rsidP="0088688F">
      <w:pPr>
        <w:jc w:val="both"/>
        <w:rPr>
          <w:rFonts w:ascii="Times New Roman" w:hAnsi="Times New Roman" w:cs="Times New Roman"/>
        </w:rPr>
      </w:pPr>
      <w:r w:rsidRPr="00010A5D">
        <w:rPr>
          <w:rFonts w:ascii="Times New Roman" w:hAnsi="Times New Roman" w:cs="Times New Roman"/>
        </w:rPr>
        <w:t xml:space="preserve">For </w:t>
      </w:r>
      <w:r w:rsidR="0088688F">
        <w:rPr>
          <w:rFonts w:ascii="Times New Roman" w:hAnsi="Times New Roman" w:cs="Times New Roman"/>
        </w:rPr>
        <w:t>a realistic simulation study comparing different CP options,</w:t>
      </w:r>
      <w:r w:rsidRPr="00010A5D">
        <w:rPr>
          <w:rFonts w:ascii="Times New Roman" w:hAnsi="Times New Roman" w:cs="Times New Roman"/>
        </w:rPr>
        <w:t xml:space="preserve"> we need to make sure that both the control overhead, the DMRS overhead, and the channel estimation is taken into account, in order to </w:t>
      </w:r>
      <w:r w:rsidR="0088688F">
        <w:rPr>
          <w:rFonts w:ascii="Times New Roman" w:hAnsi="Times New Roman" w:cs="Times New Roman"/>
        </w:rPr>
        <w:t xml:space="preserve">identify the most appropriate ECP length. </w:t>
      </w:r>
    </w:p>
    <w:p w14:paraId="3F8F0E71" w14:textId="26395038" w:rsidR="00010A5D" w:rsidRDefault="00C06C9D" w:rsidP="00EA78C1">
      <w:pPr>
        <w:pStyle w:val="Heading3"/>
      </w:pPr>
      <w:r>
        <w:t xml:space="preserve">Slot structure </w:t>
      </w:r>
      <w:r w:rsidR="001A7CFA">
        <w:t>considerations</w:t>
      </w:r>
    </w:p>
    <w:p w14:paraId="7175FDE1" w14:textId="12BEDBEA" w:rsidR="00054975" w:rsidRPr="00666C2B" w:rsidRDefault="00054975" w:rsidP="00054975">
      <w:pPr>
        <w:spacing w:after="0"/>
        <w:jc w:val="both"/>
        <w:rPr>
          <w:rFonts w:ascii="Times New Roman" w:hAnsi="Times New Roman" w:cs="Times New Roman"/>
        </w:rPr>
      </w:pPr>
      <w:r w:rsidRPr="00666C2B">
        <w:rPr>
          <w:rFonts w:ascii="Times New Roman" w:hAnsi="Times New Roman" w:cs="Times New Roman"/>
        </w:rPr>
        <w:t xml:space="preserve">Based on the working assumption of DMRS in NR, we consider a setup where </w:t>
      </w:r>
      <w:r w:rsidR="00B91858">
        <w:rPr>
          <w:rFonts w:ascii="Times New Roman" w:hAnsi="Times New Roman" w:cs="Times New Roman"/>
        </w:rPr>
        <w:t>“</w:t>
      </w:r>
      <w:r w:rsidRPr="00666C2B">
        <w:rPr>
          <w:rFonts w:ascii="Times New Roman" w:hAnsi="Times New Roman" w:cs="Times New Roman"/>
        </w:rPr>
        <w:t>1-symbol</w:t>
      </w:r>
      <w:r w:rsidR="00B91858">
        <w:rPr>
          <w:rFonts w:ascii="Times New Roman" w:hAnsi="Times New Roman" w:cs="Times New Roman"/>
        </w:rPr>
        <w:t>”</w:t>
      </w:r>
      <w:r w:rsidRPr="00666C2B">
        <w:rPr>
          <w:rFonts w:ascii="Times New Roman" w:hAnsi="Times New Roman" w:cs="Times New Roman"/>
        </w:rPr>
        <w:t xml:space="preserve"> front-load DMRS is used as the basic DMRS pattern that is being repeated in later symbols in one slot to provide robustness to high mobility. DMRS pattern considerations: </w:t>
      </w:r>
    </w:p>
    <w:p w14:paraId="797534A1" w14:textId="3ABE04D4" w:rsidR="00054975" w:rsidRPr="00666C2B" w:rsidRDefault="00054975" w:rsidP="00054975">
      <w:pPr>
        <w:pStyle w:val="ListParagraph"/>
        <w:numPr>
          <w:ilvl w:val="0"/>
          <w:numId w:val="43"/>
        </w:numPr>
        <w:spacing w:after="0"/>
        <w:jc w:val="both"/>
        <w:rPr>
          <w:rFonts w:ascii="Times New Roman" w:eastAsiaTheme="minorHAnsi" w:hAnsi="Times New Roman" w:cs="Times New Roman"/>
        </w:rPr>
      </w:pPr>
      <w:r w:rsidRPr="00666C2B">
        <w:rPr>
          <w:rFonts w:ascii="Times New Roman" w:eastAsiaTheme="minorHAnsi" w:hAnsi="Times New Roman" w:cs="Times New Roman"/>
          <w:u w:val="single"/>
        </w:rPr>
        <w:t>DMRS Frequency domain density</w:t>
      </w:r>
      <w:r w:rsidRPr="00666C2B">
        <w:rPr>
          <w:rFonts w:ascii="Times New Roman" w:eastAsiaTheme="minorHAnsi" w:hAnsi="Times New Roman" w:cs="Times New Roman"/>
        </w:rPr>
        <w:t xml:space="preserve">: </w:t>
      </w:r>
      <w:r w:rsidRPr="0007261F">
        <w:rPr>
          <w:rFonts w:ascii="Times New Roman" w:eastAsiaTheme="minorHAnsi" w:hAnsi="Times New Roman" w:cs="Times New Roman"/>
          <w:highlight w:val="yellow"/>
        </w:rPr>
        <w:t>For the 60 KHz SCS</w:t>
      </w:r>
      <w:r w:rsidR="00723E83" w:rsidRPr="0007261F">
        <w:rPr>
          <w:rFonts w:ascii="Times New Roman" w:eastAsiaTheme="minorHAnsi" w:hAnsi="Times New Roman" w:cs="Times New Roman"/>
          <w:highlight w:val="yellow"/>
        </w:rPr>
        <w:t>, as it was already shown in previous contribution [6], supporting channels with high delay spread, e.g., 600 nsec or 1000 nsec,</w:t>
      </w:r>
      <w:r w:rsidR="00B91858" w:rsidRPr="0007261F">
        <w:rPr>
          <w:rFonts w:ascii="Times New Roman" w:eastAsiaTheme="minorHAnsi" w:hAnsi="Times New Roman" w:cs="Times New Roman"/>
          <w:highlight w:val="yellow"/>
        </w:rPr>
        <w:t xml:space="preserve"> would require full symbols for one port</w:t>
      </w:r>
      <w:r w:rsidR="00B91858">
        <w:rPr>
          <w:rFonts w:ascii="Times New Roman" w:eastAsiaTheme="minorHAnsi" w:hAnsi="Times New Roman" w:cs="Times New Roman"/>
        </w:rPr>
        <w:t>.</w:t>
      </w:r>
      <w:r w:rsidR="00723E83">
        <w:rPr>
          <w:rFonts w:ascii="Times New Roman" w:eastAsiaTheme="minorHAnsi" w:hAnsi="Times New Roman" w:cs="Times New Roman"/>
        </w:rPr>
        <w:t xml:space="preserve"> </w:t>
      </w:r>
      <w:r w:rsidR="00B91858">
        <w:rPr>
          <w:rFonts w:ascii="Times New Roman" w:eastAsiaTheme="minorHAnsi" w:hAnsi="Times New Roman" w:cs="Times New Roman"/>
        </w:rPr>
        <w:t>Even if the DMRS can be adjusted to the delay spread, then for 300 nsec, half full symbols might be enough. Numerical results for both scenarios are shown below.</w:t>
      </w:r>
    </w:p>
    <w:p w14:paraId="78E4F454" w14:textId="6559311A" w:rsidR="00F33C74" w:rsidRDefault="00054975" w:rsidP="00DB271A">
      <w:pPr>
        <w:pStyle w:val="ListParagraph"/>
        <w:numPr>
          <w:ilvl w:val="0"/>
          <w:numId w:val="43"/>
        </w:numPr>
        <w:spacing w:after="0"/>
        <w:jc w:val="both"/>
        <w:rPr>
          <w:rFonts w:ascii="Times New Roman" w:eastAsiaTheme="minorHAnsi" w:hAnsi="Times New Roman" w:cs="Times New Roman"/>
        </w:rPr>
      </w:pPr>
      <w:r w:rsidRPr="00666C2B">
        <w:rPr>
          <w:rFonts w:ascii="Times New Roman" w:eastAsiaTheme="minorHAnsi" w:hAnsi="Times New Roman" w:cs="Times New Roman"/>
          <w:u w:val="single"/>
        </w:rPr>
        <w:t>DMRS Time domain density</w:t>
      </w:r>
      <w:r w:rsidRPr="00666C2B">
        <w:rPr>
          <w:rFonts w:ascii="Times New Roman" w:eastAsiaTheme="minorHAnsi" w:hAnsi="Times New Roman" w:cs="Times New Roman"/>
        </w:rPr>
        <w:t xml:space="preserve">: </w:t>
      </w:r>
      <w:r w:rsidRPr="0007261F">
        <w:rPr>
          <w:rFonts w:ascii="Times New Roman" w:eastAsiaTheme="minorHAnsi" w:hAnsi="Times New Roman" w:cs="Times New Roman"/>
          <w:highlight w:val="yellow"/>
        </w:rPr>
        <w:t xml:space="preserve">As it is shown in latest DMRS evaluations [8], 3 </w:t>
      </w:r>
      <w:r w:rsidR="00DB271A" w:rsidRPr="0007261F">
        <w:rPr>
          <w:rFonts w:ascii="Times New Roman" w:eastAsiaTheme="minorHAnsi" w:hAnsi="Times New Roman" w:cs="Times New Roman"/>
          <w:highlight w:val="yellow"/>
        </w:rPr>
        <w:t>DMRS looks</w:t>
      </w:r>
      <w:r w:rsidRPr="0007261F">
        <w:rPr>
          <w:rFonts w:ascii="Times New Roman" w:eastAsiaTheme="minorHAnsi" w:hAnsi="Times New Roman" w:cs="Times New Roman"/>
          <w:highlight w:val="yellow"/>
        </w:rPr>
        <w:t xml:space="preserve"> in time are needed in a 250msec</w:t>
      </w:r>
      <w:r w:rsidRPr="00666C2B">
        <w:rPr>
          <w:rFonts w:ascii="Times New Roman" w:eastAsiaTheme="minorHAnsi" w:hAnsi="Times New Roman" w:cs="Times New Roman"/>
        </w:rPr>
        <w:t xml:space="preserve"> slot to get the required robustness at the 500 kmh and 4 GHz carrier frequency (i.e., approximately 1850 Hz Doppler spread)</w:t>
      </w:r>
      <w:r w:rsidR="00DB271A" w:rsidRPr="00666C2B">
        <w:rPr>
          <w:rFonts w:ascii="Times New Roman" w:eastAsiaTheme="minorHAnsi" w:hAnsi="Times New Roman" w:cs="Times New Roman"/>
        </w:rPr>
        <w:t>, numerical results shown below</w:t>
      </w:r>
      <w:r w:rsidRPr="00666C2B">
        <w:rPr>
          <w:rFonts w:ascii="Times New Roman" w:eastAsiaTheme="minorHAnsi" w:hAnsi="Times New Roman" w:cs="Times New Roman"/>
        </w:rPr>
        <w:t>.</w:t>
      </w:r>
    </w:p>
    <w:p w14:paraId="391E957A" w14:textId="77777777" w:rsidR="00B91858" w:rsidRPr="00B91858" w:rsidRDefault="00B91858" w:rsidP="00B91858">
      <w:pPr>
        <w:pStyle w:val="ListParagraph"/>
        <w:spacing w:after="0"/>
        <w:jc w:val="both"/>
        <w:rPr>
          <w:rFonts w:ascii="Times New Roman" w:eastAsiaTheme="minorHAnsi" w:hAnsi="Times New Roman" w:cs="Times New Roman"/>
        </w:rPr>
      </w:pPr>
    </w:p>
    <w:p w14:paraId="2F4A90AC" w14:textId="60F81C19" w:rsidR="00054975" w:rsidRPr="006E1928" w:rsidRDefault="00054975" w:rsidP="00DB271A">
      <w:pPr>
        <w:spacing w:after="0"/>
        <w:jc w:val="both"/>
        <w:rPr>
          <w:rFonts w:ascii="Times New Roman" w:hAnsi="Times New Roman" w:cs="Times New Roman"/>
        </w:rPr>
      </w:pPr>
      <w:r w:rsidRPr="006E1928">
        <w:rPr>
          <w:rFonts w:ascii="Times New Roman" w:hAnsi="Times New Roman" w:cs="Times New Roman"/>
        </w:rPr>
        <w:t xml:space="preserve">Note that the above considerations are common for the ECP/NCP 60 KHz </w:t>
      </w:r>
      <w:r w:rsidR="00DB271A" w:rsidRPr="006E1928">
        <w:rPr>
          <w:rFonts w:ascii="Times New Roman" w:hAnsi="Times New Roman" w:cs="Times New Roman"/>
        </w:rPr>
        <w:t>scenarios</w:t>
      </w:r>
      <w:r w:rsidRPr="006E1928">
        <w:rPr>
          <w:rFonts w:ascii="Times New Roman" w:hAnsi="Times New Roman" w:cs="Times New Roman"/>
        </w:rPr>
        <w:t xml:space="preserve">. Therefore, we observe that essentially a minimum of </w:t>
      </w:r>
      <w:r w:rsidR="00DB271A" w:rsidRPr="006E1928">
        <w:rPr>
          <w:rFonts w:ascii="Times New Roman" w:hAnsi="Times New Roman" w:cs="Times New Roman"/>
        </w:rPr>
        <w:t xml:space="preserve">the equivalent of </w:t>
      </w:r>
      <w:r w:rsidRPr="006E1928">
        <w:rPr>
          <w:rFonts w:ascii="Times New Roman" w:hAnsi="Times New Roman" w:cs="Times New Roman"/>
        </w:rPr>
        <w:t xml:space="preserve">1.5 OFDM </w:t>
      </w:r>
      <w:r w:rsidR="00DB271A" w:rsidRPr="006E1928">
        <w:rPr>
          <w:rFonts w:ascii="Times New Roman" w:hAnsi="Times New Roman" w:cs="Times New Roman"/>
        </w:rPr>
        <w:t xml:space="preserve">full </w:t>
      </w:r>
      <w:r w:rsidRPr="006E1928">
        <w:rPr>
          <w:rFonts w:ascii="Times New Roman" w:hAnsi="Times New Roman" w:cs="Times New Roman"/>
        </w:rPr>
        <w:t xml:space="preserve">symbols need to be used for DMRS, which might need to be 3 OFDM symbols for supporting channels like TDL-C 1000 nsec and 1850 Hz (numerical results shown below). Considering 2 </w:t>
      </w:r>
      <w:r w:rsidR="00DB271A" w:rsidRPr="006E1928">
        <w:rPr>
          <w:rFonts w:ascii="Times New Roman" w:hAnsi="Times New Roman" w:cs="Times New Roman"/>
        </w:rPr>
        <w:t xml:space="preserve">additional full </w:t>
      </w:r>
      <w:r w:rsidRPr="006E1928">
        <w:rPr>
          <w:rFonts w:ascii="Times New Roman" w:hAnsi="Times New Roman" w:cs="Times New Roman"/>
        </w:rPr>
        <w:t xml:space="preserve">OFDM symbols for </w:t>
      </w:r>
      <w:r w:rsidR="00DB271A" w:rsidRPr="006E1928">
        <w:rPr>
          <w:rFonts w:ascii="Times New Roman" w:hAnsi="Times New Roman" w:cs="Times New Roman"/>
        </w:rPr>
        <w:t xml:space="preserve">DL </w:t>
      </w:r>
      <w:r w:rsidRPr="006E1928">
        <w:rPr>
          <w:rFonts w:ascii="Times New Roman" w:hAnsi="Times New Roman" w:cs="Times New Roman"/>
        </w:rPr>
        <w:t xml:space="preserve">control, then </w:t>
      </w:r>
      <w:r w:rsidR="00DB271A" w:rsidRPr="006E1928">
        <w:rPr>
          <w:rFonts w:ascii="Times New Roman" w:hAnsi="Times New Roman" w:cs="Times New Roman"/>
        </w:rPr>
        <w:t xml:space="preserve">3.5 to 5 </w:t>
      </w:r>
      <w:r w:rsidRPr="006E1928">
        <w:rPr>
          <w:rFonts w:ascii="Times New Roman" w:hAnsi="Times New Roman" w:cs="Times New Roman"/>
        </w:rPr>
        <w:t xml:space="preserve">OFDM symbols will be used for </w:t>
      </w:r>
      <w:r w:rsidR="00DB271A" w:rsidRPr="006E1928">
        <w:rPr>
          <w:rFonts w:ascii="Times New Roman" w:hAnsi="Times New Roman" w:cs="Times New Roman"/>
        </w:rPr>
        <w:t>overhead. Thus,</w:t>
      </w:r>
    </w:p>
    <w:p w14:paraId="31683D6D" w14:textId="3406D181" w:rsidR="00DB271A" w:rsidRPr="006E1928" w:rsidRDefault="00DB271A" w:rsidP="00DB271A">
      <w:pPr>
        <w:pStyle w:val="ListParagraph"/>
        <w:numPr>
          <w:ilvl w:val="0"/>
          <w:numId w:val="44"/>
        </w:numPr>
        <w:spacing w:after="0"/>
        <w:jc w:val="both"/>
        <w:rPr>
          <w:rFonts w:ascii="Times New Roman" w:eastAsiaTheme="minorHAnsi" w:hAnsi="Times New Roman" w:cs="Times New Roman"/>
        </w:rPr>
      </w:pPr>
      <w:r w:rsidRPr="006E1928">
        <w:rPr>
          <w:rFonts w:ascii="Times New Roman" w:eastAsiaTheme="minorHAnsi" w:hAnsi="Times New Roman" w:cs="Times New Roman"/>
        </w:rPr>
        <w:t>Option 1 (LTE ECP): Out of the 12 OFDM symbols, 8 to 11.5 symbols are for data,</w:t>
      </w:r>
    </w:p>
    <w:p w14:paraId="713C54FE" w14:textId="109610A4" w:rsidR="00DB271A" w:rsidRPr="006E1928" w:rsidRDefault="00DB271A" w:rsidP="00DB271A">
      <w:pPr>
        <w:pStyle w:val="ListParagraph"/>
        <w:numPr>
          <w:ilvl w:val="0"/>
          <w:numId w:val="44"/>
        </w:numPr>
        <w:spacing w:after="0"/>
        <w:jc w:val="both"/>
        <w:rPr>
          <w:rFonts w:ascii="Times New Roman" w:eastAsiaTheme="minorHAnsi" w:hAnsi="Times New Roman" w:cs="Times New Roman"/>
        </w:rPr>
      </w:pPr>
      <w:r w:rsidRPr="006E1928">
        <w:rPr>
          <w:rFonts w:ascii="Times New Roman" w:eastAsiaTheme="minorHAnsi" w:hAnsi="Times New Roman" w:cs="Times New Roman"/>
        </w:rPr>
        <w:t>Option 2: Out of the 13 OFDM symbols, 9 to 12.5 symbols are for data.</w:t>
      </w:r>
    </w:p>
    <w:p w14:paraId="1A20F795" w14:textId="164D1F6C" w:rsidR="006A39F5" w:rsidRDefault="00DB271A" w:rsidP="006A39F5">
      <w:pPr>
        <w:jc w:val="both"/>
        <w:rPr>
          <w:rFonts w:ascii="Times New Roman" w:hAnsi="Times New Roman" w:cs="Times New Roman"/>
        </w:rPr>
      </w:pPr>
      <w:r w:rsidRPr="006E1928">
        <w:rPr>
          <w:rFonts w:ascii="Times New Roman" w:hAnsi="Times New Roman" w:cs="Times New Roman"/>
        </w:rPr>
        <w:t xml:space="preserve">In </w:t>
      </w:r>
      <w:r w:rsidR="00B91858">
        <w:rPr>
          <w:rFonts w:ascii="Times New Roman" w:hAnsi="Times New Roman" w:cs="Times New Roman"/>
        </w:rPr>
        <w:t xml:space="preserve">a </w:t>
      </w:r>
      <w:r w:rsidR="0007261F">
        <w:rPr>
          <w:rFonts w:ascii="Times New Roman" w:hAnsi="Times New Roman" w:cs="Times New Roman"/>
        </w:rPr>
        <w:t xml:space="preserve">self-contained slot structure, </w:t>
      </w:r>
      <w:r w:rsidRPr="006E1928">
        <w:rPr>
          <w:rFonts w:ascii="Times New Roman" w:hAnsi="Times New Roman" w:cs="Times New Roman"/>
        </w:rPr>
        <w:t xml:space="preserve">where guard and UL common burst </w:t>
      </w:r>
      <w:r w:rsidR="00B91858">
        <w:rPr>
          <w:rFonts w:ascii="Times New Roman" w:hAnsi="Times New Roman" w:cs="Times New Roman"/>
        </w:rPr>
        <w:t>might be</w:t>
      </w:r>
      <w:r w:rsidRPr="006E1928">
        <w:rPr>
          <w:rFonts w:ascii="Times New Roman" w:hAnsi="Times New Roman" w:cs="Times New Roman"/>
        </w:rPr>
        <w:t xml:space="preserve"> present</w:t>
      </w:r>
      <w:r w:rsidR="00B91858">
        <w:rPr>
          <w:rFonts w:ascii="Times New Roman" w:hAnsi="Times New Roman" w:cs="Times New Roman"/>
        </w:rPr>
        <w:t xml:space="preserve"> in the end of the slot</w:t>
      </w:r>
      <w:r w:rsidRPr="006E1928">
        <w:rPr>
          <w:rFonts w:ascii="Times New Roman" w:hAnsi="Times New Roman" w:cs="Times New Roman"/>
        </w:rPr>
        <w:t xml:space="preserve">, then Option 1 could have the equivalent of only 6 data symbols, whereas Option 2 will have 7, which is </w:t>
      </w:r>
      <w:r w:rsidR="00C6151D" w:rsidRPr="006E1928">
        <w:rPr>
          <w:rFonts w:ascii="Times New Roman" w:hAnsi="Times New Roman" w:cs="Times New Roman"/>
        </w:rPr>
        <w:t>already %16.67 mo</w:t>
      </w:r>
      <w:r w:rsidR="00AA3BEF">
        <w:rPr>
          <w:rFonts w:ascii="Times New Roman" w:hAnsi="Times New Roman" w:cs="Times New Roman"/>
        </w:rPr>
        <w:t>re data resources than LTE ECP.</w:t>
      </w:r>
    </w:p>
    <w:p w14:paraId="27BB37FF" w14:textId="311B448E" w:rsidR="00AA3BEF" w:rsidRDefault="0053649C" w:rsidP="006A39F5">
      <w:pPr>
        <w:jc w:val="both"/>
        <w:rPr>
          <w:rFonts w:ascii="Times New Roman" w:hAnsi="Times New Roman" w:cs="Times New Roman"/>
        </w:rPr>
      </w:pPr>
      <w:r>
        <w:rPr>
          <w:rFonts w:ascii="Times New Roman" w:hAnsi="Times New Roman" w:cs="Times New Roman"/>
        </w:rPr>
        <w:t>It can be seen that the overhead of ECP is actually dependent on frame structure, control and DMRS overhead.</w:t>
      </w:r>
    </w:p>
    <w:p w14:paraId="7E1917B1" w14:textId="314F54BC" w:rsidR="001C6114" w:rsidRDefault="0053649C" w:rsidP="001C6114">
      <w:pPr>
        <w:jc w:val="both"/>
        <w:rPr>
          <w:rFonts w:ascii="Times New Roman" w:hAnsi="Times New Roman" w:cs="Times New Roman"/>
        </w:rPr>
      </w:pPr>
      <w:r>
        <w:rPr>
          <w:rFonts w:ascii="Times New Roman" w:hAnsi="Times New Roman" w:cs="Times New Roman"/>
        </w:rPr>
        <w:t xml:space="preserve">Consider </w:t>
      </w:r>
      <w:r w:rsidR="001C6114">
        <w:rPr>
          <w:rFonts w:ascii="Times New Roman" w:hAnsi="Times New Roman" w:cs="Times New Roman"/>
        </w:rPr>
        <w:t>s</w:t>
      </w:r>
      <w:r>
        <w:rPr>
          <w:rFonts w:ascii="Times New Roman" w:hAnsi="Times New Roman" w:cs="Times New Roman"/>
        </w:rPr>
        <w:t xml:space="preserve">elf-contained slot structure w/ 2 DL symbol control, </w:t>
      </w:r>
      <w:r w:rsidR="001C6114">
        <w:rPr>
          <w:rFonts w:ascii="Times New Roman" w:hAnsi="Times New Roman" w:cs="Times New Roman"/>
        </w:rPr>
        <w:t xml:space="preserve">1 GP, 1 </w:t>
      </w:r>
      <w:r w:rsidR="008D03A9">
        <w:rPr>
          <w:rFonts w:ascii="Times New Roman" w:hAnsi="Times New Roman" w:cs="Times New Roman"/>
        </w:rPr>
        <w:t>ULCB. Further consider the following 3 scenarios:</w:t>
      </w:r>
    </w:p>
    <w:p w14:paraId="3BDC8A3F" w14:textId="0C0D754E" w:rsidR="001312BE" w:rsidRPr="003F4001" w:rsidRDefault="001312BE" w:rsidP="001312BE">
      <w:pPr>
        <w:pStyle w:val="ListParagraph"/>
        <w:numPr>
          <w:ilvl w:val="0"/>
          <w:numId w:val="48"/>
        </w:numPr>
        <w:jc w:val="both"/>
        <w:rPr>
          <w:rFonts w:ascii="Times New Roman" w:hAnsi="Times New Roman" w:cs="Times New Roman"/>
        </w:rPr>
      </w:pPr>
      <w:r w:rsidRPr="003F4001">
        <w:rPr>
          <w:rFonts w:ascii="Times New Roman" w:hAnsi="Times New Roman" w:cs="Times New Roman"/>
        </w:rPr>
        <w:t xml:space="preserve">For the case </w:t>
      </w:r>
      <w:r w:rsidR="004D4F16">
        <w:rPr>
          <w:rFonts w:ascii="Times New Roman" w:hAnsi="Times New Roman" w:cs="Times New Roman"/>
        </w:rPr>
        <w:t xml:space="preserve">of ideal scenario, </w:t>
      </w:r>
      <w:r>
        <w:rPr>
          <w:rFonts w:ascii="Times New Roman" w:hAnsi="Times New Roman" w:cs="Times New Roman"/>
        </w:rPr>
        <w:t xml:space="preserve">no </w:t>
      </w:r>
      <w:r w:rsidRPr="003F4001">
        <w:rPr>
          <w:rFonts w:ascii="Times New Roman" w:hAnsi="Times New Roman" w:cs="Times New Roman"/>
        </w:rPr>
        <w:t xml:space="preserve">DMRS </w:t>
      </w:r>
      <w:r>
        <w:rPr>
          <w:rFonts w:ascii="Times New Roman" w:hAnsi="Times New Roman" w:cs="Times New Roman"/>
        </w:rPr>
        <w:t>overhead is assumed</w:t>
      </w:r>
      <w:r w:rsidR="004D4F16">
        <w:rPr>
          <w:rFonts w:ascii="Times New Roman" w:hAnsi="Times New Roman" w:cs="Times New Roman"/>
        </w:rPr>
        <w:t>:</w:t>
      </w:r>
    </w:p>
    <w:p w14:paraId="16B05FFE" w14:textId="063E72D2" w:rsidR="001312BE" w:rsidRDefault="001312BE" w:rsidP="001312BE">
      <w:pPr>
        <w:ind w:left="153" w:firstLine="567"/>
        <w:jc w:val="both"/>
        <w:rPr>
          <w:rFonts w:ascii="Times New Roman" w:hAnsi="Times New Roman" w:cs="Times New Roman"/>
        </w:rPr>
      </w:pPr>
      <w:r>
        <w:rPr>
          <w:rFonts w:ascii="Times New Roman" w:hAnsi="Times New Roman" w:cs="Times New Roman"/>
        </w:rPr>
        <w:t>LTE NCP has: 14 – 4 = 10 data symbols.</w:t>
      </w:r>
    </w:p>
    <w:p w14:paraId="075F433B" w14:textId="4AF0B540" w:rsidR="001312BE" w:rsidRDefault="001312BE" w:rsidP="001312BE">
      <w:pPr>
        <w:ind w:left="153" w:firstLine="567"/>
        <w:jc w:val="both"/>
        <w:rPr>
          <w:rFonts w:ascii="Times New Roman" w:hAnsi="Times New Roman" w:cs="Times New Roman"/>
        </w:rPr>
      </w:pPr>
      <w:r>
        <w:rPr>
          <w:rFonts w:ascii="Times New Roman" w:hAnsi="Times New Roman" w:cs="Times New Roman"/>
        </w:rPr>
        <w:t>13-symb ECP has: 13 – 4 = 9 data symbols, 11.1% overhead</w:t>
      </w:r>
    </w:p>
    <w:p w14:paraId="6CA2EB7F" w14:textId="750F82BE" w:rsidR="001312BE" w:rsidRPr="001312BE" w:rsidRDefault="001312BE" w:rsidP="001312BE">
      <w:pPr>
        <w:ind w:left="153" w:firstLine="567"/>
        <w:jc w:val="both"/>
        <w:rPr>
          <w:rFonts w:ascii="Times New Roman" w:hAnsi="Times New Roman" w:cs="Times New Roman"/>
        </w:rPr>
      </w:pPr>
      <w:r>
        <w:rPr>
          <w:rFonts w:ascii="Times New Roman" w:hAnsi="Times New Roman" w:cs="Times New Roman"/>
        </w:rPr>
        <w:t xml:space="preserve">LTE ECP has: 12 – 4 = 8 data symbols, </w:t>
      </w:r>
      <w:r w:rsidRPr="001312BE">
        <w:rPr>
          <w:rFonts w:ascii="Times New Roman" w:hAnsi="Times New Roman" w:cs="Times New Roman"/>
        </w:rPr>
        <w:t>25% overhead</w:t>
      </w:r>
    </w:p>
    <w:p w14:paraId="413168C3" w14:textId="6A2AEE86" w:rsidR="001312BE" w:rsidRPr="003F4001" w:rsidRDefault="001312BE" w:rsidP="001312BE">
      <w:pPr>
        <w:pStyle w:val="ListParagraph"/>
        <w:numPr>
          <w:ilvl w:val="0"/>
          <w:numId w:val="48"/>
        </w:numPr>
        <w:jc w:val="both"/>
        <w:rPr>
          <w:rFonts w:ascii="Times New Roman" w:hAnsi="Times New Roman" w:cs="Times New Roman"/>
        </w:rPr>
      </w:pPr>
      <w:r w:rsidRPr="003F4001">
        <w:rPr>
          <w:rFonts w:ascii="Times New Roman" w:hAnsi="Times New Roman" w:cs="Times New Roman"/>
        </w:rPr>
        <w:t>For the case of moderate DS</w:t>
      </w:r>
      <w:r w:rsidR="0018364E">
        <w:rPr>
          <w:rFonts w:ascii="Times New Roman" w:hAnsi="Times New Roman" w:cs="Times New Roman"/>
        </w:rPr>
        <w:t xml:space="preserve"> (0~300ns)</w:t>
      </w:r>
      <w:r w:rsidRPr="003F4001">
        <w:rPr>
          <w:rFonts w:ascii="Times New Roman" w:hAnsi="Times New Roman" w:cs="Times New Roman"/>
        </w:rPr>
        <w:t>, 0.5x3 DMRS symbols</w:t>
      </w:r>
      <w:r w:rsidR="004D4F16">
        <w:rPr>
          <w:rFonts w:ascii="Times New Roman" w:hAnsi="Times New Roman" w:cs="Times New Roman"/>
        </w:rPr>
        <w:t>:</w:t>
      </w:r>
    </w:p>
    <w:p w14:paraId="1F8CE3F9" w14:textId="77777777" w:rsidR="001312BE" w:rsidRDefault="001312BE" w:rsidP="001312BE">
      <w:pPr>
        <w:ind w:left="153" w:firstLine="567"/>
        <w:jc w:val="both"/>
        <w:rPr>
          <w:rFonts w:ascii="Times New Roman" w:hAnsi="Times New Roman" w:cs="Times New Roman"/>
        </w:rPr>
      </w:pPr>
      <w:r>
        <w:rPr>
          <w:rFonts w:ascii="Times New Roman" w:hAnsi="Times New Roman" w:cs="Times New Roman"/>
        </w:rPr>
        <w:t>LTE NCP has: 14 – 4 – 1.5 = 8.5 data symbols.</w:t>
      </w:r>
    </w:p>
    <w:p w14:paraId="7B1286D8" w14:textId="77777777" w:rsidR="001312BE" w:rsidRDefault="001312BE" w:rsidP="001312BE">
      <w:pPr>
        <w:ind w:left="153" w:firstLine="567"/>
        <w:jc w:val="both"/>
        <w:rPr>
          <w:rFonts w:ascii="Times New Roman" w:hAnsi="Times New Roman" w:cs="Times New Roman"/>
        </w:rPr>
      </w:pPr>
      <w:r>
        <w:rPr>
          <w:rFonts w:ascii="Times New Roman" w:hAnsi="Times New Roman" w:cs="Times New Roman"/>
        </w:rPr>
        <w:lastRenderedPageBreak/>
        <w:t>13-symb ECP has: 13 – 4 – 1.5 = 7.5 data symbols, 13.3% overhead</w:t>
      </w:r>
    </w:p>
    <w:p w14:paraId="10CBFFF0" w14:textId="77777777" w:rsidR="001312BE" w:rsidRPr="001312BE" w:rsidRDefault="001312BE" w:rsidP="001312BE">
      <w:pPr>
        <w:ind w:left="153" w:firstLine="567"/>
        <w:jc w:val="both"/>
        <w:rPr>
          <w:rFonts w:ascii="Times New Roman" w:hAnsi="Times New Roman" w:cs="Times New Roman"/>
          <w:color w:val="FFC000"/>
        </w:rPr>
      </w:pPr>
      <w:r>
        <w:rPr>
          <w:rFonts w:ascii="Times New Roman" w:hAnsi="Times New Roman" w:cs="Times New Roman"/>
        </w:rPr>
        <w:t xml:space="preserve">LTE ECP has: 12 – 4 – 1.5 = 6.5 data symbols, </w:t>
      </w:r>
      <w:r w:rsidRPr="001312BE">
        <w:rPr>
          <w:rFonts w:ascii="Times New Roman" w:hAnsi="Times New Roman" w:cs="Times New Roman"/>
          <w:color w:val="FFC000"/>
        </w:rPr>
        <w:t>30.8% overhead</w:t>
      </w:r>
    </w:p>
    <w:p w14:paraId="302BC4F8" w14:textId="73689FE9" w:rsidR="003F4001" w:rsidRPr="003F4001" w:rsidRDefault="003F4001" w:rsidP="003F4001">
      <w:pPr>
        <w:pStyle w:val="ListParagraph"/>
        <w:numPr>
          <w:ilvl w:val="0"/>
          <w:numId w:val="48"/>
        </w:numPr>
        <w:jc w:val="both"/>
        <w:rPr>
          <w:rFonts w:ascii="Times New Roman" w:hAnsi="Times New Roman" w:cs="Times New Roman"/>
        </w:rPr>
      </w:pPr>
      <w:r w:rsidRPr="003F4001">
        <w:rPr>
          <w:rFonts w:ascii="Times New Roman" w:hAnsi="Times New Roman" w:cs="Times New Roman"/>
        </w:rPr>
        <w:t xml:space="preserve">For the case of </w:t>
      </w:r>
      <w:r>
        <w:rPr>
          <w:rFonts w:ascii="Times New Roman" w:hAnsi="Times New Roman" w:cs="Times New Roman"/>
        </w:rPr>
        <w:t xml:space="preserve">large </w:t>
      </w:r>
      <w:r w:rsidRPr="003F4001">
        <w:rPr>
          <w:rFonts w:ascii="Times New Roman" w:hAnsi="Times New Roman" w:cs="Times New Roman"/>
        </w:rPr>
        <w:t>DS</w:t>
      </w:r>
      <w:r w:rsidR="0018364E">
        <w:rPr>
          <w:rFonts w:ascii="Times New Roman" w:hAnsi="Times New Roman" w:cs="Times New Roman"/>
        </w:rPr>
        <w:t xml:space="preserve"> (3</w:t>
      </w:r>
      <w:r>
        <w:rPr>
          <w:rFonts w:ascii="Times New Roman" w:hAnsi="Times New Roman" w:cs="Times New Roman"/>
        </w:rPr>
        <w:t>00~1000ns)</w:t>
      </w:r>
      <w:r w:rsidRPr="003F4001">
        <w:rPr>
          <w:rFonts w:ascii="Times New Roman" w:hAnsi="Times New Roman" w:cs="Times New Roman"/>
        </w:rPr>
        <w:t xml:space="preserve">, </w:t>
      </w:r>
      <w:r w:rsidR="001E64CA">
        <w:rPr>
          <w:rFonts w:ascii="Times New Roman" w:hAnsi="Times New Roman" w:cs="Times New Roman"/>
        </w:rPr>
        <w:t>1</w:t>
      </w:r>
      <w:r w:rsidRPr="003F4001">
        <w:rPr>
          <w:rFonts w:ascii="Times New Roman" w:hAnsi="Times New Roman" w:cs="Times New Roman"/>
        </w:rPr>
        <w:t>x3 DMRS symbols</w:t>
      </w:r>
      <w:r w:rsidR="000D33A5">
        <w:rPr>
          <w:rFonts w:ascii="Times New Roman" w:hAnsi="Times New Roman" w:cs="Times New Roman"/>
        </w:rPr>
        <w:t>:</w:t>
      </w:r>
    </w:p>
    <w:p w14:paraId="1A303BD5" w14:textId="4F647795" w:rsidR="003F4001" w:rsidRDefault="003F4001" w:rsidP="003F4001">
      <w:pPr>
        <w:ind w:left="153" w:firstLine="567"/>
        <w:jc w:val="both"/>
        <w:rPr>
          <w:rFonts w:ascii="Times New Roman" w:hAnsi="Times New Roman" w:cs="Times New Roman"/>
        </w:rPr>
      </w:pPr>
      <w:r>
        <w:rPr>
          <w:rFonts w:ascii="Times New Roman" w:hAnsi="Times New Roman" w:cs="Times New Roman"/>
        </w:rPr>
        <w:t>LTE NCP has: 14 – 4 – 3 = 7 data symbols.</w:t>
      </w:r>
    </w:p>
    <w:p w14:paraId="477416C5" w14:textId="6DB5360E" w:rsidR="003F4001" w:rsidRDefault="003F4001" w:rsidP="003F4001">
      <w:pPr>
        <w:ind w:left="153" w:firstLine="567"/>
        <w:jc w:val="both"/>
        <w:rPr>
          <w:rFonts w:ascii="Times New Roman" w:hAnsi="Times New Roman" w:cs="Times New Roman"/>
        </w:rPr>
      </w:pPr>
      <w:r>
        <w:rPr>
          <w:rFonts w:ascii="Times New Roman" w:hAnsi="Times New Roman" w:cs="Times New Roman"/>
        </w:rPr>
        <w:t xml:space="preserve">13-symb ECP has: 13 – 4 – 3 = 6 data symbols, </w:t>
      </w:r>
      <w:r w:rsidR="001312BE">
        <w:rPr>
          <w:rFonts w:ascii="Times New Roman" w:hAnsi="Times New Roman" w:cs="Times New Roman"/>
        </w:rPr>
        <w:t>16.7</w:t>
      </w:r>
      <w:r>
        <w:rPr>
          <w:rFonts w:ascii="Times New Roman" w:hAnsi="Times New Roman" w:cs="Times New Roman"/>
        </w:rPr>
        <w:t>% overhead</w:t>
      </w:r>
    </w:p>
    <w:p w14:paraId="4B9A6CD7" w14:textId="1B4E06E9" w:rsidR="003F4001" w:rsidRDefault="003F4001" w:rsidP="003F4001">
      <w:pPr>
        <w:ind w:left="153" w:firstLine="567"/>
        <w:jc w:val="both"/>
        <w:rPr>
          <w:rFonts w:ascii="Times New Roman" w:hAnsi="Times New Roman" w:cs="Times New Roman"/>
        </w:rPr>
      </w:pPr>
      <w:r>
        <w:rPr>
          <w:rFonts w:ascii="Times New Roman" w:hAnsi="Times New Roman" w:cs="Times New Roman"/>
        </w:rPr>
        <w:t xml:space="preserve">LTE ECP has: 12 – 4 – 3 = 5 data symbols, </w:t>
      </w:r>
      <w:r w:rsidR="001312BE" w:rsidRPr="001312BE">
        <w:rPr>
          <w:rFonts w:ascii="Times New Roman" w:hAnsi="Times New Roman" w:cs="Times New Roman"/>
          <w:color w:val="FF0000"/>
        </w:rPr>
        <w:t>40</w:t>
      </w:r>
      <w:r w:rsidRPr="001312BE">
        <w:rPr>
          <w:rFonts w:ascii="Times New Roman" w:hAnsi="Times New Roman" w:cs="Times New Roman"/>
          <w:color w:val="FF0000"/>
        </w:rPr>
        <w:t>% overhead</w:t>
      </w:r>
    </w:p>
    <w:p w14:paraId="5CF7E630" w14:textId="2094FE09" w:rsidR="001312BE" w:rsidRDefault="001312BE" w:rsidP="001312BE">
      <w:pPr>
        <w:jc w:val="both"/>
        <w:rPr>
          <w:rFonts w:ascii="Times New Roman" w:hAnsi="Times New Roman" w:cs="Times New Roman"/>
        </w:rPr>
      </w:pPr>
      <w:r>
        <w:rPr>
          <w:rFonts w:ascii="Times New Roman" w:hAnsi="Times New Roman" w:cs="Times New Roman"/>
        </w:rPr>
        <w:t>It is clear that, ECP overhead depends on other overhead such as DMRS, no DMRS to realistic DMRS overhead could cause ECP overhead to be nearly doubled</w:t>
      </w:r>
      <w:r w:rsidR="005D4DB3">
        <w:rPr>
          <w:rFonts w:ascii="Times New Roman" w:hAnsi="Times New Roman" w:cs="Times New Roman"/>
        </w:rPr>
        <w:t xml:space="preserve"> (25%=&gt;40%</w:t>
      </w:r>
      <w:r w:rsidR="007A2FEA">
        <w:rPr>
          <w:rFonts w:ascii="Times New Roman" w:hAnsi="Times New Roman" w:cs="Times New Roman"/>
        </w:rPr>
        <w:t xml:space="preserve"> for LTE ECP</w:t>
      </w:r>
      <w:r w:rsidR="005D4DB3">
        <w:rPr>
          <w:rFonts w:ascii="Times New Roman" w:hAnsi="Times New Roman" w:cs="Times New Roman"/>
        </w:rPr>
        <w:t>)</w:t>
      </w:r>
      <w:r w:rsidR="007A2FEA">
        <w:rPr>
          <w:rFonts w:ascii="Times New Roman" w:hAnsi="Times New Roman" w:cs="Times New Roman"/>
        </w:rPr>
        <w:t>. Hence, the performance of ECP and the selection of ECP overhead is heavily dependent on the actual use case.</w:t>
      </w:r>
    </w:p>
    <w:p w14:paraId="716EC473" w14:textId="22335A20" w:rsidR="001A7CFA" w:rsidRDefault="001A7CFA" w:rsidP="00EA78C1">
      <w:pPr>
        <w:pStyle w:val="Heading3"/>
      </w:pPr>
      <w:r>
        <w:t>Numerical results</w:t>
      </w:r>
      <w:r w:rsidR="00B42D70">
        <w:t xml:space="preserve"> for Doppler spread of 1850 Hz</w:t>
      </w:r>
    </w:p>
    <w:p w14:paraId="7E8675C1" w14:textId="5294A960" w:rsidR="000012E3" w:rsidRDefault="00EA78C1" w:rsidP="00B81795">
      <w:pPr>
        <w:jc w:val="both"/>
        <w:rPr>
          <w:rFonts w:ascii="Times New Roman" w:hAnsi="Times New Roman" w:cs="Times New Roman"/>
        </w:rPr>
      </w:pPr>
      <w:r w:rsidRPr="001227DE">
        <w:rPr>
          <w:rFonts w:ascii="Times New Roman" w:hAnsi="Times New Roman" w:cs="Times New Roman"/>
        </w:rPr>
        <w:t>We follow the agree</w:t>
      </w:r>
      <w:r w:rsidR="00BD399E" w:rsidRPr="001227DE">
        <w:rPr>
          <w:rFonts w:ascii="Times New Roman" w:hAnsi="Times New Roman" w:cs="Times New Roman"/>
        </w:rPr>
        <w:t>ments used for DMRS evaluations for the TDD slot with 2 symbol downlink control and 2 symbo</w:t>
      </w:r>
      <w:r w:rsidR="00B37D79" w:rsidRPr="001227DE">
        <w:rPr>
          <w:rFonts w:ascii="Times New Roman" w:hAnsi="Times New Roman" w:cs="Times New Roman"/>
        </w:rPr>
        <w:t>l</w:t>
      </w:r>
      <w:r w:rsidR="00BD399E" w:rsidRPr="001227DE">
        <w:rPr>
          <w:rFonts w:ascii="Times New Roman" w:hAnsi="Times New Roman" w:cs="Times New Roman"/>
        </w:rPr>
        <w:t xml:space="preserve"> uplink burst</w:t>
      </w:r>
      <w:r w:rsidR="00B37D79" w:rsidRPr="001227DE">
        <w:rPr>
          <w:rFonts w:ascii="Times New Roman" w:hAnsi="Times New Roman" w:cs="Times New Roman"/>
        </w:rPr>
        <w:t xml:space="preserve"> and guard</w:t>
      </w:r>
      <w:r w:rsidR="00BD399E" w:rsidRPr="001227DE">
        <w:rPr>
          <w:rFonts w:ascii="Times New Roman" w:hAnsi="Times New Roman" w:cs="Times New Roman"/>
        </w:rPr>
        <w:t xml:space="preserve">. </w:t>
      </w:r>
      <w:r w:rsidR="00B37D79" w:rsidRPr="001227DE">
        <w:rPr>
          <w:rFonts w:ascii="Times New Roman" w:hAnsi="Times New Roman" w:cs="Times New Roman"/>
        </w:rPr>
        <w:t>The DMRS used for the</w:t>
      </w:r>
      <w:r w:rsidR="001227DE">
        <w:rPr>
          <w:rFonts w:ascii="Times New Roman" w:hAnsi="Times New Roman" w:cs="Times New Roman"/>
        </w:rPr>
        <w:t>se evaluations are shown below and the results for TDL-C channels for RMS DS of 300 nsec, 600 nsec, 1000 nsec in the appendix</w:t>
      </w:r>
      <w:r w:rsidR="00BF257E">
        <w:rPr>
          <w:rFonts w:ascii="Times New Roman" w:hAnsi="Times New Roman" w:cs="Times New Roman"/>
        </w:rPr>
        <w:t xml:space="preserve"> (</w:t>
      </w:r>
      <w:r w:rsidR="0031025C">
        <w:rPr>
          <w:rFonts w:ascii="Times New Roman" w:hAnsi="Times New Roman" w:cs="Times New Roman"/>
        </w:rPr>
        <w:t xml:space="preserve">for </w:t>
      </w:r>
      <w:r w:rsidR="00BF257E">
        <w:rPr>
          <w:rFonts w:ascii="Times New Roman" w:hAnsi="Times New Roman" w:cs="Times New Roman"/>
        </w:rPr>
        <w:t>reference</w:t>
      </w:r>
      <w:r w:rsidR="0031025C">
        <w:rPr>
          <w:rFonts w:ascii="Times New Roman" w:hAnsi="Times New Roman" w:cs="Times New Roman"/>
        </w:rPr>
        <w:t xml:space="preserve"> purpose</w:t>
      </w:r>
      <w:r w:rsidR="00BF257E">
        <w:rPr>
          <w:rFonts w:ascii="Times New Roman" w:hAnsi="Times New Roman" w:cs="Times New Roman"/>
        </w:rPr>
        <w:t xml:space="preserve">, </w:t>
      </w:r>
      <w:r w:rsidR="0031025C">
        <w:rPr>
          <w:rFonts w:ascii="Times New Roman" w:hAnsi="Times New Roman" w:cs="Times New Roman"/>
        </w:rPr>
        <w:t xml:space="preserve">performance over </w:t>
      </w:r>
      <w:r w:rsidR="00BF257E">
        <w:rPr>
          <w:rFonts w:ascii="Times New Roman" w:hAnsi="Times New Roman" w:cs="Times New Roman"/>
        </w:rPr>
        <w:t>TDL-A, TDL-B w/ DS = 300, 600, 1000</w:t>
      </w:r>
      <w:r w:rsidR="0031025C" w:rsidRPr="0031025C">
        <w:rPr>
          <w:rFonts w:ascii="Times New Roman" w:hAnsi="Times New Roman" w:cs="Times New Roman"/>
        </w:rPr>
        <w:t xml:space="preserve"> </w:t>
      </w:r>
      <w:r w:rsidR="0031025C">
        <w:rPr>
          <w:rFonts w:ascii="Times New Roman" w:hAnsi="Times New Roman" w:cs="Times New Roman"/>
        </w:rPr>
        <w:t>are also compared</w:t>
      </w:r>
      <w:r w:rsidR="00BF257E">
        <w:rPr>
          <w:rFonts w:ascii="Times New Roman" w:hAnsi="Times New Roman" w:cs="Times New Roman"/>
        </w:rPr>
        <w:t xml:space="preserve">. </w:t>
      </w:r>
      <w:r w:rsidR="0031025C">
        <w:rPr>
          <w:rFonts w:ascii="Times New Roman" w:hAnsi="Times New Roman" w:cs="Times New Roman"/>
        </w:rPr>
        <w:t>However, i</w:t>
      </w:r>
      <w:r w:rsidR="00BF257E">
        <w:rPr>
          <w:rFonts w:ascii="Times New Roman" w:hAnsi="Times New Roman" w:cs="Times New Roman"/>
        </w:rPr>
        <w:t>t is not clear how realistic these channel models are in the context of HST</w:t>
      </w:r>
      <w:r w:rsidR="0031025C">
        <w:rPr>
          <w:rFonts w:ascii="Times New Roman" w:hAnsi="Times New Roman" w:cs="Times New Roman"/>
        </w:rPr>
        <w:t xml:space="preserve"> and is up to further discussion in DMRS design and channel modeling discussions</w:t>
      </w:r>
      <w:r w:rsidR="00BF257E">
        <w:rPr>
          <w:rFonts w:ascii="Times New Roman" w:hAnsi="Times New Roman" w:cs="Times New Roman"/>
        </w:rPr>
        <w:t>)</w:t>
      </w:r>
      <w:r w:rsidR="00B81795">
        <w:rPr>
          <w:rFonts w:ascii="Times New Roman" w:hAnsi="Times New Roman" w:cs="Times New Roman"/>
        </w:rPr>
        <w:t>.</w:t>
      </w:r>
    </w:p>
    <w:p w14:paraId="3699D8A2" w14:textId="47188882" w:rsidR="0030582F" w:rsidRDefault="000012E3" w:rsidP="00B81795">
      <w:pPr>
        <w:jc w:val="both"/>
        <w:rPr>
          <w:rFonts w:ascii="Times New Roman" w:hAnsi="Times New Roman" w:cs="Times New Roman"/>
        </w:rPr>
      </w:pPr>
      <w:r>
        <w:rPr>
          <w:rFonts w:ascii="Times New Roman" w:hAnsi="Times New Roman" w:cs="Times New Roman"/>
        </w:rPr>
        <w:t>Note that ECP12 refers to the LTE ECP (option 1 in the above proposal), and ECP13 refers to option 2.</w:t>
      </w:r>
      <w:r w:rsidR="00BB106F">
        <w:rPr>
          <w:rFonts w:ascii="Times New Roman" w:hAnsi="Times New Roman" w:cs="Times New Roman"/>
        </w:rPr>
        <w:t xml:space="preserve"> Note also that we show simulation results for the high delay spread and Doppler spread </w:t>
      </w:r>
      <w:r w:rsidR="00FE2149">
        <w:rPr>
          <w:rFonts w:ascii="Times New Roman" w:hAnsi="Times New Roman" w:cs="Times New Roman"/>
        </w:rPr>
        <w:t xml:space="preserve">channels </w:t>
      </w:r>
      <w:r w:rsidR="00BB106F">
        <w:rPr>
          <w:rFonts w:ascii="Times New Roman" w:hAnsi="Times New Roman" w:cs="Times New Roman"/>
        </w:rPr>
        <w:t>as agreed in the DMRS simulation assumptions [9]</w:t>
      </w:r>
      <w:r w:rsidR="00FE2149">
        <w:rPr>
          <w:rFonts w:ascii="Times New Roman" w:hAnsi="Times New Roman" w:cs="Times New Roman"/>
        </w:rPr>
        <w:t xml:space="preserve">, i.e., TDL channels with 500 kmh and up to 1000 nsec. </w:t>
      </w:r>
      <w:r w:rsidR="00BC535D">
        <w:rPr>
          <w:rFonts w:ascii="Times New Roman" w:hAnsi="Times New Roman" w:cs="Times New Roman"/>
        </w:rPr>
        <w:t>Note also that the DMRS pattern that we are proposing agrees with the working assumption for DMRS for NR [10].</w:t>
      </w:r>
      <w:bookmarkStart w:id="4" w:name="_GoBack"/>
      <w:bookmarkEnd w:id="4"/>
    </w:p>
    <w:p w14:paraId="23A514C4" w14:textId="1DD2F8C2" w:rsidR="00B81795" w:rsidRDefault="00B81795" w:rsidP="00B81795">
      <w:pPr>
        <w:pStyle w:val="Heading4"/>
        <w:jc w:val="both"/>
      </w:pPr>
      <w:r>
        <w:t>12 DL symbols – 2 UL symbols</w:t>
      </w:r>
    </w:p>
    <w:p w14:paraId="1FDC0EC2" w14:textId="77777777" w:rsidR="00DC3E5B" w:rsidRPr="00B81795" w:rsidRDefault="00DC3E5B" w:rsidP="00DC3E5B">
      <w:pPr>
        <w:jc w:val="both"/>
        <w:rPr>
          <w:lang w:val="en-GB"/>
        </w:rPr>
      </w:pPr>
      <w:r>
        <w:rPr>
          <w:rFonts w:ascii="Times New Roman" w:hAnsi="Times New Roman" w:cs="Times New Roman"/>
        </w:rPr>
        <w:t>In the following tables we present for each channel and 5 SNR points (10 dB, 15 dB, 20 dB, 25 dB, 30 dB)  the CP option that achieves better spectral efficiency. Detailed link curves are shown in the appendix.</w:t>
      </w:r>
    </w:p>
    <w:p w14:paraId="7DAEFB60" w14:textId="4474809D" w:rsidR="006F1BD9" w:rsidRPr="006F1BD9" w:rsidRDefault="00DC3E5B" w:rsidP="006F1BD9">
      <w:pPr>
        <w:pStyle w:val="Heading5"/>
      </w:pPr>
      <w:r>
        <w:t xml:space="preserve"> </w:t>
      </w:r>
      <w:r w:rsidR="00567572">
        <w:t>Three full symbol DMRS</w:t>
      </w:r>
    </w:p>
    <w:tbl>
      <w:tblPr>
        <w:tblStyle w:val="TableGrid"/>
        <w:tblW w:w="0" w:type="auto"/>
        <w:tblLook w:val="04A0" w:firstRow="1" w:lastRow="0" w:firstColumn="1" w:lastColumn="0" w:noHBand="0" w:noVBand="1"/>
      </w:tblPr>
      <w:tblGrid>
        <w:gridCol w:w="1656"/>
        <w:gridCol w:w="1560"/>
        <w:gridCol w:w="1612"/>
        <w:gridCol w:w="1729"/>
        <w:gridCol w:w="1612"/>
        <w:gridCol w:w="1460"/>
      </w:tblGrid>
      <w:tr w:rsidR="00567572" w14:paraId="719ED80B" w14:textId="49FC4134" w:rsidTr="00567572">
        <w:tc>
          <w:tcPr>
            <w:tcW w:w="1656" w:type="dxa"/>
            <w:vAlign w:val="center"/>
          </w:tcPr>
          <w:p w14:paraId="06C3BAFB" w14:textId="0A8FCB5F" w:rsidR="00567572" w:rsidRDefault="00567572" w:rsidP="001227DE">
            <w:pPr>
              <w:jc w:val="center"/>
              <w:rPr>
                <w:lang w:val="en-GB"/>
              </w:rPr>
            </w:pPr>
            <w:r>
              <w:rPr>
                <w:lang w:val="en-GB"/>
              </w:rPr>
              <w:t>Channel / SNR</w:t>
            </w:r>
          </w:p>
        </w:tc>
        <w:tc>
          <w:tcPr>
            <w:tcW w:w="1560" w:type="dxa"/>
            <w:vAlign w:val="center"/>
          </w:tcPr>
          <w:p w14:paraId="1DE8EA74" w14:textId="60E1DC03" w:rsidR="00567572" w:rsidRPr="008E73C3" w:rsidRDefault="00567572" w:rsidP="001227DE">
            <w:pPr>
              <w:jc w:val="center"/>
              <w:rPr>
                <w:b/>
                <w:sz w:val="24"/>
                <w:lang w:val="en-GB"/>
              </w:rPr>
            </w:pPr>
            <w:r w:rsidRPr="008E73C3">
              <w:rPr>
                <w:b/>
                <w:sz w:val="24"/>
                <w:lang w:val="en-GB"/>
              </w:rPr>
              <w:t>10 dB</w:t>
            </w:r>
          </w:p>
        </w:tc>
        <w:tc>
          <w:tcPr>
            <w:tcW w:w="1612" w:type="dxa"/>
            <w:vAlign w:val="center"/>
          </w:tcPr>
          <w:p w14:paraId="0B77319F" w14:textId="2DEBDD36" w:rsidR="00567572" w:rsidRPr="008E73C3" w:rsidRDefault="00567572" w:rsidP="001227DE">
            <w:pPr>
              <w:jc w:val="center"/>
              <w:rPr>
                <w:b/>
                <w:sz w:val="24"/>
                <w:lang w:val="en-GB"/>
              </w:rPr>
            </w:pPr>
            <w:r w:rsidRPr="008E73C3">
              <w:rPr>
                <w:b/>
                <w:sz w:val="24"/>
                <w:lang w:val="en-GB"/>
              </w:rPr>
              <w:t>15 dB</w:t>
            </w:r>
          </w:p>
        </w:tc>
        <w:tc>
          <w:tcPr>
            <w:tcW w:w="1729" w:type="dxa"/>
            <w:vAlign w:val="center"/>
          </w:tcPr>
          <w:p w14:paraId="76B74D31" w14:textId="2D211BF3" w:rsidR="00567572" w:rsidRPr="008E73C3" w:rsidRDefault="00567572" w:rsidP="001227DE">
            <w:pPr>
              <w:jc w:val="center"/>
              <w:rPr>
                <w:b/>
                <w:sz w:val="24"/>
                <w:lang w:val="en-GB"/>
              </w:rPr>
            </w:pPr>
            <w:r w:rsidRPr="008E73C3">
              <w:rPr>
                <w:b/>
                <w:sz w:val="24"/>
                <w:lang w:val="en-GB"/>
              </w:rPr>
              <w:t>20 dB</w:t>
            </w:r>
          </w:p>
        </w:tc>
        <w:tc>
          <w:tcPr>
            <w:tcW w:w="1612" w:type="dxa"/>
            <w:vAlign w:val="center"/>
          </w:tcPr>
          <w:p w14:paraId="711945FC" w14:textId="057925D3" w:rsidR="00567572" w:rsidRPr="008E73C3" w:rsidRDefault="00567572" w:rsidP="001227DE">
            <w:pPr>
              <w:jc w:val="center"/>
              <w:rPr>
                <w:b/>
                <w:sz w:val="24"/>
                <w:lang w:val="en-GB"/>
              </w:rPr>
            </w:pPr>
            <w:r w:rsidRPr="008E73C3">
              <w:rPr>
                <w:b/>
                <w:sz w:val="24"/>
                <w:lang w:val="en-GB"/>
              </w:rPr>
              <w:t>25 dB</w:t>
            </w:r>
          </w:p>
        </w:tc>
        <w:tc>
          <w:tcPr>
            <w:tcW w:w="1460" w:type="dxa"/>
          </w:tcPr>
          <w:p w14:paraId="6D5E4BD8" w14:textId="644BA218" w:rsidR="00567572" w:rsidRPr="008E73C3" w:rsidRDefault="00567572" w:rsidP="001227DE">
            <w:pPr>
              <w:jc w:val="center"/>
              <w:rPr>
                <w:b/>
                <w:sz w:val="24"/>
                <w:lang w:val="en-GB"/>
              </w:rPr>
            </w:pPr>
            <w:r w:rsidRPr="008E73C3">
              <w:rPr>
                <w:b/>
                <w:sz w:val="24"/>
                <w:lang w:val="en-GB"/>
              </w:rPr>
              <w:t>30 dB</w:t>
            </w:r>
          </w:p>
        </w:tc>
      </w:tr>
      <w:tr w:rsidR="00F278B2" w14:paraId="4390BE9E" w14:textId="77777777" w:rsidTr="00567572">
        <w:tc>
          <w:tcPr>
            <w:tcW w:w="1656" w:type="dxa"/>
            <w:vAlign w:val="center"/>
          </w:tcPr>
          <w:p w14:paraId="5C019AAA" w14:textId="3E9C2D7A" w:rsidR="00F278B2" w:rsidRPr="008E73C3" w:rsidRDefault="00F278B2" w:rsidP="00F278B2">
            <w:pPr>
              <w:jc w:val="center"/>
              <w:rPr>
                <w:b/>
                <w:lang w:val="en-GB"/>
              </w:rPr>
            </w:pPr>
            <w:r w:rsidRPr="008E73C3">
              <w:rPr>
                <w:b/>
                <w:lang w:val="en-GB"/>
              </w:rPr>
              <w:t>TDL-C 300</w:t>
            </w:r>
          </w:p>
        </w:tc>
        <w:tc>
          <w:tcPr>
            <w:tcW w:w="1560" w:type="dxa"/>
            <w:vAlign w:val="center"/>
          </w:tcPr>
          <w:p w14:paraId="44975242" w14:textId="088967AF" w:rsidR="00F278B2" w:rsidRDefault="00F278B2" w:rsidP="00F278B2">
            <w:pPr>
              <w:jc w:val="center"/>
              <w:rPr>
                <w:lang w:val="en-GB"/>
              </w:rPr>
            </w:pPr>
            <w:r>
              <w:rPr>
                <w:lang w:val="en-GB"/>
              </w:rPr>
              <w:t>NCP</w:t>
            </w:r>
          </w:p>
        </w:tc>
        <w:tc>
          <w:tcPr>
            <w:tcW w:w="1612" w:type="dxa"/>
            <w:vAlign w:val="center"/>
          </w:tcPr>
          <w:p w14:paraId="7C3B9A65" w14:textId="1A5B4732" w:rsidR="00F278B2" w:rsidRDefault="00F278B2" w:rsidP="00F278B2">
            <w:pPr>
              <w:jc w:val="center"/>
              <w:rPr>
                <w:lang w:val="en-GB"/>
              </w:rPr>
            </w:pPr>
            <w:r>
              <w:rPr>
                <w:lang w:val="en-GB"/>
              </w:rPr>
              <w:t>NCP</w:t>
            </w:r>
          </w:p>
        </w:tc>
        <w:tc>
          <w:tcPr>
            <w:tcW w:w="1729" w:type="dxa"/>
            <w:vAlign w:val="center"/>
          </w:tcPr>
          <w:p w14:paraId="159F0E87" w14:textId="3AC6F97E" w:rsidR="00F278B2" w:rsidRDefault="00F278B2" w:rsidP="00F278B2">
            <w:pPr>
              <w:jc w:val="center"/>
              <w:rPr>
                <w:lang w:val="en-GB"/>
              </w:rPr>
            </w:pPr>
            <w:r>
              <w:rPr>
                <w:lang w:val="en-GB"/>
              </w:rPr>
              <w:t>NCP</w:t>
            </w:r>
          </w:p>
        </w:tc>
        <w:tc>
          <w:tcPr>
            <w:tcW w:w="1612" w:type="dxa"/>
            <w:vAlign w:val="center"/>
          </w:tcPr>
          <w:p w14:paraId="11FD1202" w14:textId="7E5E36AE" w:rsidR="00F278B2" w:rsidRDefault="00F278B2" w:rsidP="00F278B2">
            <w:pPr>
              <w:jc w:val="center"/>
              <w:rPr>
                <w:lang w:val="en-GB"/>
              </w:rPr>
            </w:pPr>
            <w:r>
              <w:rPr>
                <w:lang w:val="en-GB"/>
              </w:rPr>
              <w:t>NCP</w:t>
            </w:r>
          </w:p>
        </w:tc>
        <w:tc>
          <w:tcPr>
            <w:tcW w:w="1460" w:type="dxa"/>
          </w:tcPr>
          <w:p w14:paraId="34A89CB6" w14:textId="7F649E3A" w:rsidR="00F278B2" w:rsidRDefault="00F278B2" w:rsidP="00F278B2">
            <w:pPr>
              <w:jc w:val="center"/>
              <w:rPr>
                <w:lang w:val="en-GB"/>
              </w:rPr>
            </w:pPr>
            <w:r>
              <w:rPr>
                <w:lang w:val="en-GB"/>
              </w:rPr>
              <w:t>NCP</w:t>
            </w:r>
          </w:p>
        </w:tc>
      </w:tr>
      <w:tr w:rsidR="00F278B2" w14:paraId="0D7DEEBF" w14:textId="77777777" w:rsidTr="00567572">
        <w:tc>
          <w:tcPr>
            <w:tcW w:w="1656" w:type="dxa"/>
            <w:vAlign w:val="center"/>
          </w:tcPr>
          <w:p w14:paraId="00FB53D4" w14:textId="5217225C" w:rsidR="00F278B2" w:rsidRPr="008E73C3" w:rsidRDefault="00F278B2" w:rsidP="00F278B2">
            <w:pPr>
              <w:jc w:val="center"/>
              <w:rPr>
                <w:b/>
                <w:lang w:val="en-GB"/>
              </w:rPr>
            </w:pPr>
            <w:r w:rsidRPr="008E73C3">
              <w:rPr>
                <w:b/>
                <w:lang w:val="en-GB"/>
              </w:rPr>
              <w:t>TDL-C 600</w:t>
            </w:r>
          </w:p>
        </w:tc>
        <w:tc>
          <w:tcPr>
            <w:tcW w:w="1560" w:type="dxa"/>
            <w:vAlign w:val="center"/>
          </w:tcPr>
          <w:p w14:paraId="44CB9FFA" w14:textId="5C8E1709" w:rsidR="00F278B2" w:rsidRDefault="00F278B2" w:rsidP="00F278B2">
            <w:pPr>
              <w:jc w:val="center"/>
              <w:rPr>
                <w:lang w:val="en-GB"/>
              </w:rPr>
            </w:pPr>
            <w:r>
              <w:rPr>
                <w:lang w:val="en-GB"/>
              </w:rPr>
              <w:t>NCP</w:t>
            </w:r>
          </w:p>
        </w:tc>
        <w:tc>
          <w:tcPr>
            <w:tcW w:w="1612" w:type="dxa"/>
            <w:vAlign w:val="center"/>
          </w:tcPr>
          <w:p w14:paraId="52C5259B" w14:textId="52169886" w:rsidR="00F278B2" w:rsidRDefault="00F278B2" w:rsidP="00F278B2">
            <w:pPr>
              <w:jc w:val="center"/>
              <w:rPr>
                <w:lang w:val="en-GB"/>
              </w:rPr>
            </w:pPr>
            <w:r>
              <w:rPr>
                <w:lang w:val="en-GB"/>
              </w:rPr>
              <w:t>NCP</w:t>
            </w:r>
          </w:p>
        </w:tc>
        <w:tc>
          <w:tcPr>
            <w:tcW w:w="1729" w:type="dxa"/>
            <w:vAlign w:val="center"/>
          </w:tcPr>
          <w:p w14:paraId="70408897" w14:textId="47E627DE" w:rsidR="00F278B2" w:rsidRDefault="00F278B2" w:rsidP="00F278B2">
            <w:pPr>
              <w:jc w:val="center"/>
              <w:rPr>
                <w:lang w:val="en-GB"/>
              </w:rPr>
            </w:pPr>
            <w:r>
              <w:rPr>
                <w:lang w:val="en-GB"/>
              </w:rPr>
              <w:t>NCP</w:t>
            </w:r>
          </w:p>
        </w:tc>
        <w:tc>
          <w:tcPr>
            <w:tcW w:w="1612" w:type="dxa"/>
            <w:vAlign w:val="center"/>
          </w:tcPr>
          <w:p w14:paraId="76C50E86" w14:textId="63944BA9" w:rsidR="00F278B2" w:rsidRDefault="00F278B2" w:rsidP="00F278B2">
            <w:pPr>
              <w:jc w:val="center"/>
              <w:rPr>
                <w:lang w:val="en-GB"/>
              </w:rPr>
            </w:pPr>
            <w:r>
              <w:rPr>
                <w:lang w:val="en-GB"/>
              </w:rPr>
              <w:t>NCP</w:t>
            </w:r>
          </w:p>
        </w:tc>
        <w:tc>
          <w:tcPr>
            <w:tcW w:w="1460" w:type="dxa"/>
          </w:tcPr>
          <w:p w14:paraId="00CB2CAF" w14:textId="4B276E55" w:rsidR="00F278B2" w:rsidRDefault="00F278B2" w:rsidP="00F278B2">
            <w:pPr>
              <w:jc w:val="center"/>
              <w:rPr>
                <w:lang w:val="en-GB"/>
              </w:rPr>
            </w:pPr>
            <w:r>
              <w:rPr>
                <w:lang w:val="en-GB"/>
              </w:rPr>
              <w:t>ECP13</w:t>
            </w:r>
          </w:p>
        </w:tc>
      </w:tr>
      <w:tr w:rsidR="00F278B2" w14:paraId="0884EED1" w14:textId="77777777" w:rsidTr="00567572">
        <w:tc>
          <w:tcPr>
            <w:tcW w:w="1656" w:type="dxa"/>
            <w:vAlign w:val="center"/>
          </w:tcPr>
          <w:p w14:paraId="7BC607FD" w14:textId="42C087D9" w:rsidR="00F278B2" w:rsidRPr="008E73C3" w:rsidRDefault="00F278B2" w:rsidP="00F278B2">
            <w:pPr>
              <w:jc w:val="center"/>
              <w:rPr>
                <w:b/>
                <w:lang w:val="en-GB"/>
              </w:rPr>
            </w:pPr>
            <w:r w:rsidRPr="008E73C3">
              <w:rPr>
                <w:b/>
                <w:lang w:val="en-GB"/>
              </w:rPr>
              <w:t>TDL-C 1000</w:t>
            </w:r>
          </w:p>
        </w:tc>
        <w:tc>
          <w:tcPr>
            <w:tcW w:w="1560" w:type="dxa"/>
            <w:vAlign w:val="center"/>
          </w:tcPr>
          <w:p w14:paraId="772D6C7E" w14:textId="6F2868EB" w:rsidR="00F278B2" w:rsidRDefault="00F278B2" w:rsidP="00F278B2">
            <w:pPr>
              <w:jc w:val="center"/>
              <w:rPr>
                <w:lang w:val="en-GB"/>
              </w:rPr>
            </w:pPr>
            <w:r>
              <w:rPr>
                <w:lang w:val="en-GB"/>
              </w:rPr>
              <w:t>NCP</w:t>
            </w:r>
          </w:p>
        </w:tc>
        <w:tc>
          <w:tcPr>
            <w:tcW w:w="1612" w:type="dxa"/>
            <w:vAlign w:val="center"/>
          </w:tcPr>
          <w:p w14:paraId="24A81A15" w14:textId="7C4DFE72" w:rsidR="00F278B2" w:rsidRDefault="00F278B2" w:rsidP="00F278B2">
            <w:pPr>
              <w:jc w:val="center"/>
              <w:rPr>
                <w:lang w:val="en-GB"/>
              </w:rPr>
            </w:pPr>
            <w:r>
              <w:rPr>
                <w:lang w:val="en-GB"/>
              </w:rPr>
              <w:t>NCP</w:t>
            </w:r>
          </w:p>
        </w:tc>
        <w:tc>
          <w:tcPr>
            <w:tcW w:w="1729" w:type="dxa"/>
            <w:vAlign w:val="center"/>
          </w:tcPr>
          <w:p w14:paraId="5FFD584A" w14:textId="57275E03" w:rsidR="00F278B2" w:rsidRDefault="00F278B2" w:rsidP="00F278B2">
            <w:pPr>
              <w:jc w:val="center"/>
              <w:rPr>
                <w:lang w:val="en-GB"/>
              </w:rPr>
            </w:pPr>
            <w:r>
              <w:rPr>
                <w:lang w:val="en-GB"/>
              </w:rPr>
              <w:t>NCP</w:t>
            </w:r>
          </w:p>
        </w:tc>
        <w:tc>
          <w:tcPr>
            <w:tcW w:w="1612" w:type="dxa"/>
            <w:vAlign w:val="center"/>
          </w:tcPr>
          <w:p w14:paraId="153105B9" w14:textId="1C4E8A02" w:rsidR="00F278B2" w:rsidRDefault="00F278B2" w:rsidP="00F278B2">
            <w:pPr>
              <w:jc w:val="center"/>
              <w:rPr>
                <w:lang w:val="en-GB"/>
              </w:rPr>
            </w:pPr>
            <w:r>
              <w:rPr>
                <w:lang w:val="en-GB"/>
              </w:rPr>
              <w:t>ECP13,NCP</w:t>
            </w:r>
          </w:p>
        </w:tc>
        <w:tc>
          <w:tcPr>
            <w:tcW w:w="1460" w:type="dxa"/>
          </w:tcPr>
          <w:p w14:paraId="14B540D5" w14:textId="0C113E4E" w:rsidR="00F278B2" w:rsidRDefault="00F278B2" w:rsidP="00F278B2">
            <w:pPr>
              <w:jc w:val="center"/>
              <w:rPr>
                <w:lang w:val="en-GB"/>
              </w:rPr>
            </w:pPr>
            <w:r>
              <w:rPr>
                <w:lang w:val="en-GB"/>
              </w:rPr>
              <w:t>ECP13,NCP</w:t>
            </w:r>
          </w:p>
        </w:tc>
      </w:tr>
      <w:tr w:rsidR="00F278B2" w14:paraId="5E7CD1FE" w14:textId="4AC0C77F" w:rsidTr="00567572">
        <w:tc>
          <w:tcPr>
            <w:tcW w:w="1656" w:type="dxa"/>
            <w:vAlign w:val="center"/>
          </w:tcPr>
          <w:p w14:paraId="495C2677" w14:textId="76F93650" w:rsidR="00F278B2" w:rsidRPr="00660679" w:rsidRDefault="00F278B2" w:rsidP="00F278B2">
            <w:pPr>
              <w:jc w:val="center"/>
              <w:rPr>
                <w:b/>
                <w:color w:val="7F7F7F" w:themeColor="text1" w:themeTint="80"/>
                <w:lang w:val="en-GB"/>
              </w:rPr>
            </w:pPr>
            <w:r w:rsidRPr="00660679">
              <w:rPr>
                <w:b/>
                <w:color w:val="7F7F7F" w:themeColor="text1" w:themeTint="80"/>
                <w:lang w:val="en-GB"/>
              </w:rPr>
              <w:t>TDL-A 300</w:t>
            </w:r>
          </w:p>
        </w:tc>
        <w:tc>
          <w:tcPr>
            <w:tcW w:w="1560" w:type="dxa"/>
            <w:vAlign w:val="center"/>
          </w:tcPr>
          <w:p w14:paraId="6F3C83BC" w14:textId="62F93CA1"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7F96C1B3" w14:textId="4A9F35C5"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729" w:type="dxa"/>
            <w:vAlign w:val="center"/>
          </w:tcPr>
          <w:p w14:paraId="5591DA59" w14:textId="58DE9936"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57727EF1" w14:textId="6EA893DE"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460" w:type="dxa"/>
          </w:tcPr>
          <w:p w14:paraId="60B23212" w14:textId="44965433"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r>
      <w:tr w:rsidR="00F278B2" w14:paraId="52DC0003" w14:textId="171EBA46" w:rsidTr="00567572">
        <w:tc>
          <w:tcPr>
            <w:tcW w:w="1656" w:type="dxa"/>
            <w:vAlign w:val="center"/>
          </w:tcPr>
          <w:p w14:paraId="75D315CE" w14:textId="7734A01A" w:rsidR="00F278B2" w:rsidRPr="00660679" w:rsidRDefault="00F278B2" w:rsidP="00F278B2">
            <w:pPr>
              <w:jc w:val="center"/>
              <w:rPr>
                <w:b/>
                <w:color w:val="7F7F7F" w:themeColor="text1" w:themeTint="80"/>
                <w:lang w:val="en-GB"/>
              </w:rPr>
            </w:pPr>
            <w:r w:rsidRPr="00660679">
              <w:rPr>
                <w:b/>
                <w:color w:val="7F7F7F" w:themeColor="text1" w:themeTint="80"/>
                <w:lang w:val="en-GB"/>
              </w:rPr>
              <w:t>TDL-A 600</w:t>
            </w:r>
          </w:p>
        </w:tc>
        <w:tc>
          <w:tcPr>
            <w:tcW w:w="1560" w:type="dxa"/>
            <w:vAlign w:val="center"/>
          </w:tcPr>
          <w:p w14:paraId="3DF86AC2" w14:textId="69D9C4B5"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7E24761B" w14:textId="69742D0C"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729" w:type="dxa"/>
            <w:vAlign w:val="center"/>
          </w:tcPr>
          <w:p w14:paraId="57D3DDA6" w14:textId="37316713" w:rsidR="00F278B2" w:rsidRPr="00660679" w:rsidRDefault="00F278B2" w:rsidP="00F278B2">
            <w:pPr>
              <w:jc w:val="center"/>
              <w:rPr>
                <w:color w:val="7F7F7F" w:themeColor="text1" w:themeTint="80"/>
                <w:lang w:val="en-GB"/>
              </w:rPr>
            </w:pPr>
            <w:r w:rsidRPr="00660679">
              <w:rPr>
                <w:color w:val="7F7F7F" w:themeColor="text1" w:themeTint="80"/>
                <w:lang w:val="en-GB"/>
              </w:rPr>
              <w:t>ECP13, NCP</w:t>
            </w:r>
          </w:p>
        </w:tc>
        <w:tc>
          <w:tcPr>
            <w:tcW w:w="1612" w:type="dxa"/>
            <w:vAlign w:val="center"/>
          </w:tcPr>
          <w:p w14:paraId="75EAFC3F" w14:textId="393046AB"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c>
          <w:tcPr>
            <w:tcW w:w="1460" w:type="dxa"/>
          </w:tcPr>
          <w:p w14:paraId="10DCD1E5" w14:textId="56290E6E"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r>
      <w:tr w:rsidR="00F278B2" w14:paraId="22DA3B55" w14:textId="3B98F2B0" w:rsidTr="00567572">
        <w:tc>
          <w:tcPr>
            <w:tcW w:w="1656" w:type="dxa"/>
            <w:vAlign w:val="center"/>
          </w:tcPr>
          <w:p w14:paraId="5CF94822" w14:textId="5B81B0F3" w:rsidR="00F278B2" w:rsidRPr="00660679" w:rsidRDefault="00F278B2" w:rsidP="00F278B2">
            <w:pPr>
              <w:jc w:val="center"/>
              <w:rPr>
                <w:b/>
                <w:color w:val="7F7F7F" w:themeColor="text1" w:themeTint="80"/>
                <w:lang w:val="en-GB"/>
              </w:rPr>
            </w:pPr>
            <w:r w:rsidRPr="00660679">
              <w:rPr>
                <w:b/>
                <w:color w:val="7F7F7F" w:themeColor="text1" w:themeTint="80"/>
                <w:lang w:val="en-GB"/>
              </w:rPr>
              <w:t>TDL-A 1000</w:t>
            </w:r>
          </w:p>
        </w:tc>
        <w:tc>
          <w:tcPr>
            <w:tcW w:w="1560" w:type="dxa"/>
            <w:vAlign w:val="center"/>
          </w:tcPr>
          <w:p w14:paraId="62512068" w14:textId="0C13DFA6"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5D5530BD" w14:textId="60E7B2E6"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c>
          <w:tcPr>
            <w:tcW w:w="1729" w:type="dxa"/>
            <w:vAlign w:val="center"/>
          </w:tcPr>
          <w:p w14:paraId="283B9F46" w14:textId="33C70549"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c>
          <w:tcPr>
            <w:tcW w:w="1612" w:type="dxa"/>
            <w:vAlign w:val="center"/>
          </w:tcPr>
          <w:p w14:paraId="125A0764" w14:textId="7522924A"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c>
          <w:tcPr>
            <w:tcW w:w="1460" w:type="dxa"/>
          </w:tcPr>
          <w:p w14:paraId="75A31EE7" w14:textId="001B6D01" w:rsidR="00F278B2" w:rsidRPr="00660679" w:rsidRDefault="00F278B2" w:rsidP="00F278B2">
            <w:pPr>
              <w:jc w:val="center"/>
              <w:rPr>
                <w:color w:val="7F7F7F" w:themeColor="text1" w:themeTint="80"/>
                <w:lang w:val="en-GB"/>
              </w:rPr>
            </w:pPr>
            <w:r w:rsidRPr="00660679">
              <w:rPr>
                <w:color w:val="7F7F7F" w:themeColor="text1" w:themeTint="80"/>
                <w:lang w:val="en-GB"/>
              </w:rPr>
              <w:t>ECP12</w:t>
            </w:r>
          </w:p>
        </w:tc>
      </w:tr>
      <w:tr w:rsidR="00F278B2" w14:paraId="75816771" w14:textId="10F7E92E" w:rsidTr="00567572">
        <w:tc>
          <w:tcPr>
            <w:tcW w:w="1656" w:type="dxa"/>
            <w:vAlign w:val="center"/>
          </w:tcPr>
          <w:p w14:paraId="2922E19B" w14:textId="442E8942" w:rsidR="00F278B2" w:rsidRPr="00660679" w:rsidRDefault="00F278B2" w:rsidP="00F278B2">
            <w:pPr>
              <w:jc w:val="center"/>
              <w:rPr>
                <w:b/>
                <w:color w:val="7F7F7F" w:themeColor="text1" w:themeTint="80"/>
                <w:lang w:val="en-GB"/>
              </w:rPr>
            </w:pPr>
            <w:r w:rsidRPr="00660679">
              <w:rPr>
                <w:b/>
                <w:color w:val="7F7F7F" w:themeColor="text1" w:themeTint="80"/>
                <w:lang w:val="en-GB"/>
              </w:rPr>
              <w:t>TDL-B 300</w:t>
            </w:r>
          </w:p>
        </w:tc>
        <w:tc>
          <w:tcPr>
            <w:tcW w:w="1560" w:type="dxa"/>
            <w:vAlign w:val="center"/>
          </w:tcPr>
          <w:p w14:paraId="3A35B3DA" w14:textId="28F10651"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3941830B" w14:textId="7192070C"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729" w:type="dxa"/>
            <w:vAlign w:val="center"/>
          </w:tcPr>
          <w:p w14:paraId="214D1676" w14:textId="0A254D9A"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25638210" w14:textId="541EB255"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460" w:type="dxa"/>
          </w:tcPr>
          <w:p w14:paraId="11B95012" w14:textId="38AC5938"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r>
      <w:tr w:rsidR="00F278B2" w14:paraId="713AF98A" w14:textId="5447E0A2" w:rsidTr="00567572">
        <w:tc>
          <w:tcPr>
            <w:tcW w:w="1656" w:type="dxa"/>
            <w:vAlign w:val="center"/>
          </w:tcPr>
          <w:p w14:paraId="006A4CC5" w14:textId="48548F54" w:rsidR="00F278B2" w:rsidRPr="00660679" w:rsidRDefault="00F278B2" w:rsidP="00F278B2">
            <w:pPr>
              <w:jc w:val="center"/>
              <w:rPr>
                <w:b/>
                <w:color w:val="7F7F7F" w:themeColor="text1" w:themeTint="80"/>
                <w:lang w:val="en-GB"/>
              </w:rPr>
            </w:pPr>
            <w:r w:rsidRPr="00660679">
              <w:rPr>
                <w:b/>
                <w:color w:val="7F7F7F" w:themeColor="text1" w:themeTint="80"/>
                <w:lang w:val="en-GB"/>
              </w:rPr>
              <w:t>TDL-B 600</w:t>
            </w:r>
          </w:p>
        </w:tc>
        <w:tc>
          <w:tcPr>
            <w:tcW w:w="1560" w:type="dxa"/>
            <w:vAlign w:val="center"/>
          </w:tcPr>
          <w:p w14:paraId="090FD8A4" w14:textId="418C2CEA"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3FF6D276" w14:textId="027EAD2D"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729" w:type="dxa"/>
            <w:vAlign w:val="center"/>
          </w:tcPr>
          <w:p w14:paraId="7AF4D7C3" w14:textId="6DAA31DA"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1E0642BC" w14:textId="295120D0"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c>
          <w:tcPr>
            <w:tcW w:w="1460" w:type="dxa"/>
          </w:tcPr>
          <w:p w14:paraId="648193DF" w14:textId="074731C4"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r>
      <w:tr w:rsidR="00F278B2" w14:paraId="624D6D03" w14:textId="23723AF8" w:rsidTr="00567572">
        <w:tc>
          <w:tcPr>
            <w:tcW w:w="1656" w:type="dxa"/>
            <w:vAlign w:val="center"/>
          </w:tcPr>
          <w:p w14:paraId="7E841BC4" w14:textId="6F0B67FF" w:rsidR="00F278B2" w:rsidRPr="00660679" w:rsidRDefault="00F278B2" w:rsidP="00F278B2">
            <w:pPr>
              <w:jc w:val="center"/>
              <w:rPr>
                <w:b/>
                <w:color w:val="7F7F7F" w:themeColor="text1" w:themeTint="80"/>
                <w:lang w:val="en-GB"/>
              </w:rPr>
            </w:pPr>
            <w:r w:rsidRPr="00660679">
              <w:rPr>
                <w:b/>
                <w:color w:val="7F7F7F" w:themeColor="text1" w:themeTint="80"/>
                <w:lang w:val="en-GB"/>
              </w:rPr>
              <w:t>TDL-B 1000</w:t>
            </w:r>
          </w:p>
        </w:tc>
        <w:tc>
          <w:tcPr>
            <w:tcW w:w="1560" w:type="dxa"/>
            <w:vAlign w:val="center"/>
          </w:tcPr>
          <w:p w14:paraId="2D2A1921" w14:textId="39A3DE88"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612" w:type="dxa"/>
            <w:vAlign w:val="center"/>
          </w:tcPr>
          <w:p w14:paraId="4312C242" w14:textId="4B878600" w:rsidR="00F278B2" w:rsidRPr="00660679" w:rsidRDefault="00F278B2" w:rsidP="00F278B2">
            <w:pPr>
              <w:jc w:val="center"/>
              <w:rPr>
                <w:color w:val="7F7F7F" w:themeColor="text1" w:themeTint="80"/>
                <w:lang w:val="en-GB"/>
              </w:rPr>
            </w:pPr>
            <w:r w:rsidRPr="00660679">
              <w:rPr>
                <w:color w:val="7F7F7F" w:themeColor="text1" w:themeTint="80"/>
                <w:lang w:val="en-GB"/>
              </w:rPr>
              <w:t>NCP</w:t>
            </w:r>
          </w:p>
        </w:tc>
        <w:tc>
          <w:tcPr>
            <w:tcW w:w="1729" w:type="dxa"/>
            <w:vAlign w:val="center"/>
          </w:tcPr>
          <w:p w14:paraId="41B32B74" w14:textId="685B0AFB"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c>
          <w:tcPr>
            <w:tcW w:w="1612" w:type="dxa"/>
            <w:vAlign w:val="center"/>
          </w:tcPr>
          <w:p w14:paraId="1196D3F1" w14:textId="16FF73BE" w:rsidR="00F278B2" w:rsidRPr="00660679" w:rsidRDefault="00F278B2" w:rsidP="00F278B2">
            <w:pPr>
              <w:jc w:val="center"/>
              <w:rPr>
                <w:color w:val="7F7F7F" w:themeColor="text1" w:themeTint="80"/>
                <w:lang w:val="en-GB"/>
              </w:rPr>
            </w:pPr>
            <w:r w:rsidRPr="00660679">
              <w:rPr>
                <w:color w:val="7F7F7F" w:themeColor="text1" w:themeTint="80"/>
                <w:lang w:val="en-GB"/>
              </w:rPr>
              <w:t>ECP13,ECP12</w:t>
            </w:r>
          </w:p>
        </w:tc>
        <w:tc>
          <w:tcPr>
            <w:tcW w:w="1460" w:type="dxa"/>
          </w:tcPr>
          <w:p w14:paraId="704CF4A9" w14:textId="2F1D6D86" w:rsidR="00F278B2" w:rsidRPr="00660679" w:rsidRDefault="00F278B2" w:rsidP="00F278B2">
            <w:pPr>
              <w:jc w:val="center"/>
              <w:rPr>
                <w:color w:val="7F7F7F" w:themeColor="text1" w:themeTint="80"/>
                <w:lang w:val="en-GB"/>
              </w:rPr>
            </w:pPr>
            <w:r w:rsidRPr="00660679">
              <w:rPr>
                <w:color w:val="7F7F7F" w:themeColor="text1" w:themeTint="80"/>
                <w:lang w:val="en-GB"/>
              </w:rPr>
              <w:t>ECP13</w:t>
            </w:r>
          </w:p>
        </w:tc>
      </w:tr>
    </w:tbl>
    <w:p w14:paraId="17F774AE" w14:textId="77777777" w:rsidR="00F278B2" w:rsidRDefault="00F278B2" w:rsidP="00F278B2">
      <w:pPr>
        <w:pStyle w:val="Heading5"/>
        <w:numPr>
          <w:ilvl w:val="0"/>
          <w:numId w:val="0"/>
        </w:numPr>
        <w:ind w:left="1008" w:hanging="1008"/>
      </w:pPr>
    </w:p>
    <w:p w14:paraId="348248E0" w14:textId="48D6A72A" w:rsidR="00567572" w:rsidRPr="001227DE" w:rsidRDefault="00567572" w:rsidP="00B81795">
      <w:pPr>
        <w:pStyle w:val="Heading5"/>
      </w:pPr>
      <w:r>
        <w:t>Three half symbol DMRS</w:t>
      </w:r>
    </w:p>
    <w:tbl>
      <w:tblPr>
        <w:tblStyle w:val="TableGrid"/>
        <w:tblW w:w="0" w:type="auto"/>
        <w:tblLook w:val="04A0" w:firstRow="1" w:lastRow="0" w:firstColumn="1" w:lastColumn="0" w:noHBand="0" w:noVBand="1"/>
      </w:tblPr>
      <w:tblGrid>
        <w:gridCol w:w="1656"/>
        <w:gridCol w:w="1560"/>
        <w:gridCol w:w="1612"/>
        <w:gridCol w:w="1729"/>
        <w:gridCol w:w="1612"/>
        <w:gridCol w:w="1460"/>
      </w:tblGrid>
      <w:tr w:rsidR="008E73C3" w14:paraId="2B2D880D" w14:textId="77777777" w:rsidTr="007A2FEA">
        <w:tc>
          <w:tcPr>
            <w:tcW w:w="1656" w:type="dxa"/>
            <w:vAlign w:val="center"/>
          </w:tcPr>
          <w:p w14:paraId="7FD0BECA" w14:textId="77777777" w:rsidR="008E73C3" w:rsidRDefault="008E73C3" w:rsidP="00C63993">
            <w:pPr>
              <w:jc w:val="center"/>
              <w:rPr>
                <w:lang w:val="en-GB"/>
              </w:rPr>
            </w:pPr>
            <w:r>
              <w:rPr>
                <w:lang w:val="en-GB"/>
              </w:rPr>
              <w:t>Channel / SNR</w:t>
            </w:r>
          </w:p>
        </w:tc>
        <w:tc>
          <w:tcPr>
            <w:tcW w:w="1560" w:type="dxa"/>
            <w:vAlign w:val="center"/>
          </w:tcPr>
          <w:p w14:paraId="06345375" w14:textId="77777777" w:rsidR="008E73C3" w:rsidRPr="008E73C3" w:rsidRDefault="008E73C3" w:rsidP="00C63993">
            <w:pPr>
              <w:jc w:val="center"/>
              <w:rPr>
                <w:b/>
                <w:sz w:val="24"/>
                <w:lang w:val="en-GB"/>
              </w:rPr>
            </w:pPr>
            <w:r w:rsidRPr="008E73C3">
              <w:rPr>
                <w:b/>
                <w:sz w:val="24"/>
                <w:lang w:val="en-GB"/>
              </w:rPr>
              <w:t>10 dB</w:t>
            </w:r>
          </w:p>
        </w:tc>
        <w:tc>
          <w:tcPr>
            <w:tcW w:w="1612" w:type="dxa"/>
            <w:vAlign w:val="center"/>
          </w:tcPr>
          <w:p w14:paraId="20725D96" w14:textId="77777777" w:rsidR="008E73C3" w:rsidRPr="008E73C3" w:rsidRDefault="008E73C3" w:rsidP="00C63993">
            <w:pPr>
              <w:jc w:val="center"/>
              <w:rPr>
                <w:b/>
                <w:sz w:val="24"/>
                <w:lang w:val="en-GB"/>
              </w:rPr>
            </w:pPr>
            <w:r w:rsidRPr="008E73C3">
              <w:rPr>
                <w:b/>
                <w:sz w:val="24"/>
                <w:lang w:val="en-GB"/>
              </w:rPr>
              <w:t>15 dB</w:t>
            </w:r>
          </w:p>
        </w:tc>
        <w:tc>
          <w:tcPr>
            <w:tcW w:w="1729" w:type="dxa"/>
            <w:vAlign w:val="center"/>
          </w:tcPr>
          <w:p w14:paraId="5E7D122A" w14:textId="77777777" w:rsidR="008E73C3" w:rsidRPr="008E73C3" w:rsidRDefault="008E73C3" w:rsidP="00C63993">
            <w:pPr>
              <w:jc w:val="center"/>
              <w:rPr>
                <w:b/>
                <w:sz w:val="24"/>
                <w:lang w:val="en-GB"/>
              </w:rPr>
            </w:pPr>
            <w:r w:rsidRPr="008E73C3">
              <w:rPr>
                <w:b/>
                <w:sz w:val="24"/>
                <w:lang w:val="en-GB"/>
              </w:rPr>
              <w:t>20 dB</w:t>
            </w:r>
          </w:p>
        </w:tc>
        <w:tc>
          <w:tcPr>
            <w:tcW w:w="1612" w:type="dxa"/>
            <w:vAlign w:val="center"/>
          </w:tcPr>
          <w:p w14:paraId="7F2ECAD1" w14:textId="77777777" w:rsidR="008E73C3" w:rsidRPr="008E73C3" w:rsidRDefault="008E73C3" w:rsidP="00C63993">
            <w:pPr>
              <w:jc w:val="center"/>
              <w:rPr>
                <w:b/>
                <w:sz w:val="24"/>
                <w:lang w:val="en-GB"/>
              </w:rPr>
            </w:pPr>
            <w:r w:rsidRPr="008E73C3">
              <w:rPr>
                <w:b/>
                <w:sz w:val="24"/>
                <w:lang w:val="en-GB"/>
              </w:rPr>
              <w:t>25 dB</w:t>
            </w:r>
          </w:p>
        </w:tc>
        <w:tc>
          <w:tcPr>
            <w:tcW w:w="1460" w:type="dxa"/>
          </w:tcPr>
          <w:p w14:paraId="4127B3E7" w14:textId="77777777" w:rsidR="008E73C3" w:rsidRPr="008E73C3" w:rsidRDefault="008E73C3" w:rsidP="00C63993">
            <w:pPr>
              <w:jc w:val="center"/>
              <w:rPr>
                <w:b/>
                <w:sz w:val="24"/>
                <w:lang w:val="en-GB"/>
              </w:rPr>
            </w:pPr>
            <w:r w:rsidRPr="008E73C3">
              <w:rPr>
                <w:b/>
                <w:sz w:val="24"/>
                <w:lang w:val="en-GB"/>
              </w:rPr>
              <w:t>30 dB</w:t>
            </w:r>
          </w:p>
        </w:tc>
      </w:tr>
      <w:tr w:rsidR="008E73C3" w14:paraId="3D6133C9" w14:textId="77777777" w:rsidTr="007A2FEA">
        <w:tc>
          <w:tcPr>
            <w:tcW w:w="1656" w:type="dxa"/>
            <w:vAlign w:val="center"/>
          </w:tcPr>
          <w:p w14:paraId="0CC91A1E" w14:textId="77777777" w:rsidR="008E73C3" w:rsidRPr="00660679" w:rsidRDefault="008E73C3" w:rsidP="00C63993">
            <w:pPr>
              <w:jc w:val="center"/>
              <w:rPr>
                <w:b/>
                <w:color w:val="7F7F7F" w:themeColor="text1" w:themeTint="80"/>
                <w:sz w:val="24"/>
                <w:lang w:val="en-GB"/>
              </w:rPr>
            </w:pPr>
            <w:r w:rsidRPr="00660679">
              <w:rPr>
                <w:b/>
                <w:color w:val="7F7F7F" w:themeColor="text1" w:themeTint="80"/>
                <w:sz w:val="24"/>
                <w:lang w:val="en-GB"/>
              </w:rPr>
              <w:t>TDL-A 300</w:t>
            </w:r>
          </w:p>
        </w:tc>
        <w:tc>
          <w:tcPr>
            <w:tcW w:w="1560" w:type="dxa"/>
            <w:vAlign w:val="center"/>
          </w:tcPr>
          <w:p w14:paraId="19FB97A4" w14:textId="77777777" w:rsidR="008E73C3" w:rsidRPr="00660679" w:rsidRDefault="008E73C3" w:rsidP="00C63993">
            <w:pPr>
              <w:jc w:val="center"/>
              <w:rPr>
                <w:color w:val="7F7F7F" w:themeColor="text1" w:themeTint="80"/>
                <w:lang w:val="en-GB"/>
              </w:rPr>
            </w:pPr>
            <w:r w:rsidRPr="00660679">
              <w:rPr>
                <w:color w:val="7F7F7F" w:themeColor="text1" w:themeTint="80"/>
                <w:lang w:val="en-GB"/>
              </w:rPr>
              <w:t>NCP</w:t>
            </w:r>
          </w:p>
        </w:tc>
        <w:tc>
          <w:tcPr>
            <w:tcW w:w="1612" w:type="dxa"/>
            <w:vAlign w:val="center"/>
          </w:tcPr>
          <w:p w14:paraId="63F51E88" w14:textId="77777777" w:rsidR="008E73C3" w:rsidRPr="00660679" w:rsidRDefault="008E73C3" w:rsidP="00C63993">
            <w:pPr>
              <w:jc w:val="center"/>
              <w:rPr>
                <w:color w:val="7F7F7F" w:themeColor="text1" w:themeTint="80"/>
                <w:lang w:val="en-GB"/>
              </w:rPr>
            </w:pPr>
            <w:r w:rsidRPr="00660679">
              <w:rPr>
                <w:color w:val="7F7F7F" w:themeColor="text1" w:themeTint="80"/>
                <w:lang w:val="en-GB"/>
              </w:rPr>
              <w:t>NCP</w:t>
            </w:r>
          </w:p>
        </w:tc>
        <w:tc>
          <w:tcPr>
            <w:tcW w:w="1729" w:type="dxa"/>
            <w:vAlign w:val="center"/>
          </w:tcPr>
          <w:p w14:paraId="4DA12AD6" w14:textId="77777777" w:rsidR="008E73C3" w:rsidRPr="00660679" w:rsidRDefault="008E73C3" w:rsidP="00C63993">
            <w:pPr>
              <w:jc w:val="center"/>
              <w:rPr>
                <w:color w:val="7F7F7F" w:themeColor="text1" w:themeTint="80"/>
                <w:lang w:val="en-GB"/>
              </w:rPr>
            </w:pPr>
            <w:r w:rsidRPr="00660679">
              <w:rPr>
                <w:color w:val="7F7F7F" w:themeColor="text1" w:themeTint="80"/>
                <w:lang w:val="en-GB"/>
              </w:rPr>
              <w:t>NCP</w:t>
            </w:r>
          </w:p>
        </w:tc>
        <w:tc>
          <w:tcPr>
            <w:tcW w:w="1612" w:type="dxa"/>
            <w:vAlign w:val="center"/>
          </w:tcPr>
          <w:p w14:paraId="3AF52F01" w14:textId="77777777" w:rsidR="008E73C3" w:rsidRPr="00660679" w:rsidRDefault="008E73C3" w:rsidP="00C63993">
            <w:pPr>
              <w:jc w:val="center"/>
              <w:rPr>
                <w:color w:val="7F7F7F" w:themeColor="text1" w:themeTint="80"/>
                <w:lang w:val="en-GB"/>
              </w:rPr>
            </w:pPr>
            <w:r w:rsidRPr="00660679">
              <w:rPr>
                <w:color w:val="7F7F7F" w:themeColor="text1" w:themeTint="80"/>
                <w:lang w:val="en-GB"/>
              </w:rPr>
              <w:t>NCP</w:t>
            </w:r>
          </w:p>
        </w:tc>
        <w:tc>
          <w:tcPr>
            <w:tcW w:w="1460" w:type="dxa"/>
          </w:tcPr>
          <w:p w14:paraId="6B191C57" w14:textId="77777777" w:rsidR="008E73C3" w:rsidRPr="00660679" w:rsidRDefault="008E73C3" w:rsidP="00C63993">
            <w:pPr>
              <w:jc w:val="center"/>
              <w:rPr>
                <w:color w:val="7F7F7F" w:themeColor="text1" w:themeTint="80"/>
                <w:lang w:val="en-GB"/>
              </w:rPr>
            </w:pPr>
            <w:r w:rsidRPr="00660679">
              <w:rPr>
                <w:color w:val="7F7F7F" w:themeColor="text1" w:themeTint="80"/>
                <w:lang w:val="en-GB"/>
              </w:rPr>
              <w:t>NCP</w:t>
            </w:r>
          </w:p>
        </w:tc>
      </w:tr>
      <w:tr w:rsidR="007A2FEA" w14:paraId="065D3B77" w14:textId="77777777" w:rsidTr="007A2FEA">
        <w:tc>
          <w:tcPr>
            <w:tcW w:w="1656" w:type="dxa"/>
            <w:vAlign w:val="center"/>
          </w:tcPr>
          <w:p w14:paraId="550C7B5D" w14:textId="766700C5" w:rsidR="007A2FEA" w:rsidRPr="00660679" w:rsidRDefault="007A2FEA" w:rsidP="00C63993">
            <w:pPr>
              <w:jc w:val="center"/>
              <w:rPr>
                <w:b/>
                <w:color w:val="7F7F7F" w:themeColor="text1" w:themeTint="80"/>
                <w:sz w:val="24"/>
                <w:lang w:val="en-GB"/>
              </w:rPr>
            </w:pPr>
            <w:r w:rsidRPr="00660679">
              <w:rPr>
                <w:b/>
                <w:color w:val="7F7F7F" w:themeColor="text1" w:themeTint="80"/>
                <w:sz w:val="24"/>
                <w:lang w:val="en-GB"/>
              </w:rPr>
              <w:t>TDL-B 300</w:t>
            </w:r>
          </w:p>
        </w:tc>
        <w:tc>
          <w:tcPr>
            <w:tcW w:w="1560" w:type="dxa"/>
            <w:vAlign w:val="center"/>
          </w:tcPr>
          <w:p w14:paraId="5AE5745A" w14:textId="4B8FE46F" w:rsidR="007A2FEA" w:rsidRPr="00660679" w:rsidRDefault="007A2FEA" w:rsidP="00C63993">
            <w:pPr>
              <w:jc w:val="center"/>
              <w:rPr>
                <w:color w:val="7F7F7F" w:themeColor="text1" w:themeTint="80"/>
                <w:lang w:val="en-GB"/>
              </w:rPr>
            </w:pPr>
            <w:r w:rsidRPr="00660679">
              <w:rPr>
                <w:color w:val="7F7F7F" w:themeColor="text1" w:themeTint="80"/>
                <w:lang w:val="en-GB"/>
              </w:rPr>
              <w:t>NCP</w:t>
            </w:r>
          </w:p>
        </w:tc>
        <w:tc>
          <w:tcPr>
            <w:tcW w:w="1612" w:type="dxa"/>
            <w:vAlign w:val="center"/>
          </w:tcPr>
          <w:p w14:paraId="2FAD8B2B" w14:textId="0031906D" w:rsidR="007A2FEA" w:rsidRPr="00660679" w:rsidRDefault="007A2FEA" w:rsidP="00C63993">
            <w:pPr>
              <w:jc w:val="center"/>
              <w:rPr>
                <w:color w:val="7F7F7F" w:themeColor="text1" w:themeTint="80"/>
                <w:lang w:val="en-GB"/>
              </w:rPr>
            </w:pPr>
            <w:r w:rsidRPr="00660679">
              <w:rPr>
                <w:color w:val="7F7F7F" w:themeColor="text1" w:themeTint="80"/>
                <w:lang w:val="en-GB"/>
              </w:rPr>
              <w:t>NCP</w:t>
            </w:r>
          </w:p>
        </w:tc>
        <w:tc>
          <w:tcPr>
            <w:tcW w:w="1729" w:type="dxa"/>
            <w:vAlign w:val="center"/>
          </w:tcPr>
          <w:p w14:paraId="2FC0CEBB" w14:textId="718826F2" w:rsidR="007A2FEA" w:rsidRPr="00660679" w:rsidRDefault="007A2FEA" w:rsidP="00C63993">
            <w:pPr>
              <w:jc w:val="center"/>
              <w:rPr>
                <w:color w:val="7F7F7F" w:themeColor="text1" w:themeTint="80"/>
                <w:lang w:val="en-GB"/>
              </w:rPr>
            </w:pPr>
            <w:r w:rsidRPr="00660679">
              <w:rPr>
                <w:color w:val="7F7F7F" w:themeColor="text1" w:themeTint="80"/>
                <w:lang w:val="en-GB"/>
              </w:rPr>
              <w:t>NCP, ECP13</w:t>
            </w:r>
          </w:p>
        </w:tc>
        <w:tc>
          <w:tcPr>
            <w:tcW w:w="1612" w:type="dxa"/>
            <w:vAlign w:val="center"/>
          </w:tcPr>
          <w:p w14:paraId="12C7BB2C" w14:textId="4B0E80B8" w:rsidR="007A2FEA" w:rsidRPr="00660679" w:rsidRDefault="007A2FEA" w:rsidP="00C63993">
            <w:pPr>
              <w:jc w:val="center"/>
              <w:rPr>
                <w:color w:val="7F7F7F" w:themeColor="text1" w:themeTint="80"/>
                <w:lang w:val="en-GB"/>
              </w:rPr>
            </w:pPr>
            <w:r w:rsidRPr="00660679">
              <w:rPr>
                <w:color w:val="7F7F7F" w:themeColor="text1" w:themeTint="80"/>
                <w:lang w:val="en-GB"/>
              </w:rPr>
              <w:t>ECP13</w:t>
            </w:r>
          </w:p>
        </w:tc>
        <w:tc>
          <w:tcPr>
            <w:tcW w:w="1460" w:type="dxa"/>
          </w:tcPr>
          <w:p w14:paraId="1364354B" w14:textId="1EE882E8" w:rsidR="007A2FEA" w:rsidRPr="00660679" w:rsidRDefault="007A2FEA" w:rsidP="00C63993">
            <w:pPr>
              <w:jc w:val="center"/>
              <w:rPr>
                <w:color w:val="7F7F7F" w:themeColor="text1" w:themeTint="80"/>
                <w:lang w:val="en-GB"/>
              </w:rPr>
            </w:pPr>
            <w:r w:rsidRPr="00660679">
              <w:rPr>
                <w:color w:val="7F7F7F" w:themeColor="text1" w:themeTint="80"/>
                <w:lang w:val="en-GB"/>
              </w:rPr>
              <w:t>EXP13</w:t>
            </w:r>
          </w:p>
        </w:tc>
      </w:tr>
      <w:tr w:rsidR="007A2FEA" w14:paraId="55012BE3" w14:textId="77777777" w:rsidTr="007A2FEA">
        <w:tc>
          <w:tcPr>
            <w:tcW w:w="1656" w:type="dxa"/>
            <w:vAlign w:val="center"/>
          </w:tcPr>
          <w:p w14:paraId="5F9CBFE1" w14:textId="51E71E51" w:rsidR="007A2FEA" w:rsidRPr="00660679" w:rsidRDefault="007A2FEA" w:rsidP="00C63993">
            <w:pPr>
              <w:jc w:val="center"/>
              <w:rPr>
                <w:b/>
                <w:color w:val="7F7F7F" w:themeColor="text1" w:themeTint="80"/>
                <w:sz w:val="24"/>
                <w:lang w:val="en-GB"/>
              </w:rPr>
            </w:pPr>
            <w:r w:rsidRPr="00660679">
              <w:rPr>
                <w:b/>
                <w:color w:val="7F7F7F" w:themeColor="text1" w:themeTint="80"/>
                <w:sz w:val="24"/>
                <w:lang w:val="en-GB"/>
              </w:rPr>
              <w:t>TDL-C 300</w:t>
            </w:r>
          </w:p>
        </w:tc>
        <w:tc>
          <w:tcPr>
            <w:tcW w:w="1560" w:type="dxa"/>
            <w:vAlign w:val="center"/>
          </w:tcPr>
          <w:p w14:paraId="1B79FD7F" w14:textId="79D13F52" w:rsidR="007A2FEA" w:rsidRPr="00660679" w:rsidRDefault="007A2FEA" w:rsidP="00C63993">
            <w:pPr>
              <w:jc w:val="center"/>
              <w:rPr>
                <w:color w:val="7F7F7F" w:themeColor="text1" w:themeTint="80"/>
                <w:lang w:val="en-GB"/>
              </w:rPr>
            </w:pPr>
            <w:r w:rsidRPr="00660679">
              <w:rPr>
                <w:color w:val="7F7F7F" w:themeColor="text1" w:themeTint="80"/>
                <w:lang w:val="en-GB"/>
              </w:rPr>
              <w:t>NCP</w:t>
            </w:r>
          </w:p>
        </w:tc>
        <w:tc>
          <w:tcPr>
            <w:tcW w:w="1612" w:type="dxa"/>
            <w:vAlign w:val="center"/>
          </w:tcPr>
          <w:p w14:paraId="31FEB40D" w14:textId="559E62AD" w:rsidR="007A2FEA" w:rsidRPr="00660679" w:rsidRDefault="007A2FEA" w:rsidP="00C63993">
            <w:pPr>
              <w:jc w:val="center"/>
              <w:rPr>
                <w:color w:val="7F7F7F" w:themeColor="text1" w:themeTint="80"/>
                <w:lang w:val="en-GB"/>
              </w:rPr>
            </w:pPr>
            <w:r w:rsidRPr="00660679">
              <w:rPr>
                <w:color w:val="7F7F7F" w:themeColor="text1" w:themeTint="80"/>
                <w:lang w:val="en-GB"/>
              </w:rPr>
              <w:t>NCP</w:t>
            </w:r>
          </w:p>
        </w:tc>
        <w:tc>
          <w:tcPr>
            <w:tcW w:w="1729" w:type="dxa"/>
            <w:vAlign w:val="center"/>
          </w:tcPr>
          <w:p w14:paraId="134E1212" w14:textId="7F8F8F05" w:rsidR="007A2FEA" w:rsidRPr="00660679" w:rsidRDefault="007A2FEA" w:rsidP="00C63993">
            <w:pPr>
              <w:jc w:val="center"/>
              <w:rPr>
                <w:color w:val="7F7F7F" w:themeColor="text1" w:themeTint="80"/>
                <w:lang w:val="en-GB"/>
              </w:rPr>
            </w:pPr>
            <w:r w:rsidRPr="00660679">
              <w:rPr>
                <w:color w:val="7F7F7F" w:themeColor="text1" w:themeTint="80"/>
                <w:lang w:val="en-GB"/>
              </w:rPr>
              <w:t>NCP</w:t>
            </w:r>
          </w:p>
        </w:tc>
        <w:tc>
          <w:tcPr>
            <w:tcW w:w="1612" w:type="dxa"/>
            <w:vAlign w:val="center"/>
          </w:tcPr>
          <w:p w14:paraId="3517EA9F" w14:textId="4DEAE32B" w:rsidR="007A2FEA" w:rsidRPr="00660679" w:rsidRDefault="007A2FEA" w:rsidP="008E73C3">
            <w:pPr>
              <w:jc w:val="center"/>
              <w:rPr>
                <w:color w:val="7F7F7F" w:themeColor="text1" w:themeTint="80"/>
                <w:lang w:val="en-GB"/>
              </w:rPr>
            </w:pPr>
            <w:r w:rsidRPr="00660679">
              <w:rPr>
                <w:color w:val="7F7F7F" w:themeColor="text1" w:themeTint="80"/>
                <w:lang w:val="en-GB"/>
              </w:rPr>
              <w:t>NCP</w:t>
            </w:r>
          </w:p>
        </w:tc>
        <w:tc>
          <w:tcPr>
            <w:tcW w:w="1460" w:type="dxa"/>
          </w:tcPr>
          <w:p w14:paraId="7190A46F" w14:textId="42265BF6" w:rsidR="007A2FEA" w:rsidRPr="00660679" w:rsidRDefault="007A2FEA" w:rsidP="00C63993">
            <w:pPr>
              <w:jc w:val="center"/>
              <w:rPr>
                <w:color w:val="7F7F7F" w:themeColor="text1" w:themeTint="80"/>
                <w:lang w:val="en-GB"/>
              </w:rPr>
            </w:pPr>
            <w:r w:rsidRPr="00660679">
              <w:rPr>
                <w:color w:val="7F7F7F" w:themeColor="text1" w:themeTint="80"/>
                <w:lang w:val="en-GB"/>
              </w:rPr>
              <w:t>NCP</w:t>
            </w:r>
          </w:p>
        </w:tc>
      </w:tr>
    </w:tbl>
    <w:p w14:paraId="15568A15" w14:textId="77777777" w:rsidR="00AC4A79" w:rsidRPr="00CD2FDF" w:rsidRDefault="00AC4A79" w:rsidP="00AC4A79">
      <w:pPr>
        <w:rPr>
          <w:rFonts w:ascii="Times New Roman" w:hAnsi="Times New Roman" w:cs="Times New Roman"/>
        </w:rPr>
      </w:pPr>
    </w:p>
    <w:p w14:paraId="7922F087" w14:textId="77777777" w:rsidR="00660679" w:rsidRDefault="00E71F75" w:rsidP="00824610">
      <w:pPr>
        <w:jc w:val="both"/>
        <w:rPr>
          <w:rFonts w:ascii="Times New Roman" w:hAnsi="Times New Roman" w:cs="Times New Roman"/>
        </w:rPr>
      </w:pPr>
      <w:r>
        <w:rPr>
          <w:rFonts w:ascii="Times New Roman" w:hAnsi="Times New Roman" w:cs="Times New Roman"/>
        </w:rPr>
        <w:t xml:space="preserve">It can be seen that, which case NCP or ECP is better quite dependent on channel condition. </w:t>
      </w:r>
      <w:r w:rsidR="00BF257E">
        <w:rPr>
          <w:rFonts w:ascii="Times New Roman" w:hAnsi="Times New Roman" w:cs="Times New Roman"/>
        </w:rPr>
        <w:t xml:space="preserve">In </w:t>
      </w:r>
      <w:r>
        <w:rPr>
          <w:rFonts w:ascii="Times New Roman" w:hAnsi="Times New Roman" w:cs="Times New Roman"/>
        </w:rPr>
        <w:t xml:space="preserve">most </w:t>
      </w:r>
      <w:r w:rsidR="00BF257E">
        <w:rPr>
          <w:rFonts w:ascii="Times New Roman" w:hAnsi="Times New Roman" w:cs="Times New Roman"/>
        </w:rPr>
        <w:t xml:space="preserve">cases, LTE ECP is not a good </w:t>
      </w:r>
      <w:r>
        <w:rPr>
          <w:rFonts w:ascii="Times New Roman" w:hAnsi="Times New Roman" w:cs="Times New Roman"/>
        </w:rPr>
        <w:t>option</w:t>
      </w:r>
      <w:r w:rsidR="00BF257E">
        <w:rPr>
          <w:rFonts w:ascii="Times New Roman" w:hAnsi="Times New Roman" w:cs="Times New Roman"/>
        </w:rPr>
        <w:t>.</w:t>
      </w:r>
    </w:p>
    <w:p w14:paraId="0D6F82E5" w14:textId="4C72518B" w:rsidR="00F278B2" w:rsidRDefault="00F278B2" w:rsidP="00824610">
      <w:pPr>
        <w:jc w:val="both"/>
        <w:rPr>
          <w:rFonts w:ascii="Times New Roman" w:hAnsi="Times New Roman" w:cs="Times New Roman"/>
        </w:rPr>
      </w:pPr>
      <w:r>
        <w:rPr>
          <w:rFonts w:ascii="Times New Roman" w:hAnsi="Times New Roman" w:cs="Times New Roman"/>
        </w:rPr>
        <w:t>Finally, to re-iterate our previous observations, in all these scenarios even when DMRS overhead is not considered, SCS = 30kHz gives substantial performance gain over SCS = 60kHz scenario.</w:t>
      </w:r>
    </w:p>
    <w:p w14:paraId="4DB95415" w14:textId="59DB996C" w:rsidR="00E707C9" w:rsidRDefault="00E707C9" w:rsidP="008D03A9">
      <w:pPr>
        <w:jc w:val="center"/>
        <w:rPr>
          <w:rFonts w:ascii="Times New Roman" w:hAnsi="Times New Roman" w:cs="Times New Roman"/>
        </w:rPr>
      </w:pPr>
      <w:r>
        <w:rPr>
          <w:rFonts w:ascii="Times New Roman" w:hAnsi="Times New Roman" w:cs="Times New Roman"/>
          <w:noProof/>
        </w:rPr>
        <w:drawing>
          <wp:inline distT="0" distB="0" distL="0" distR="0" wp14:anchorId="58999E5F" wp14:editId="185D900F">
            <wp:extent cx="5718810" cy="1584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8810" cy="1584960"/>
                    </a:xfrm>
                    <a:prstGeom prst="rect">
                      <a:avLst/>
                    </a:prstGeom>
                    <a:noFill/>
                  </pic:spPr>
                </pic:pic>
              </a:graphicData>
            </a:graphic>
          </wp:inline>
        </w:drawing>
      </w:r>
    </w:p>
    <w:p w14:paraId="09CE22E9" w14:textId="3A4733EB" w:rsidR="00696363" w:rsidRDefault="00BF257E" w:rsidP="00696363">
      <w:pPr>
        <w:pStyle w:val="Heading4"/>
        <w:jc w:val="both"/>
      </w:pPr>
      <w:r>
        <w:t xml:space="preserve">ECP joint design with </w:t>
      </w:r>
      <w:r w:rsidR="00696363">
        <w:t xml:space="preserve">DMRS </w:t>
      </w:r>
      <w:r>
        <w:t xml:space="preserve">design for </w:t>
      </w:r>
      <w:r w:rsidR="00696363">
        <w:t>long DS and high speed channels</w:t>
      </w:r>
    </w:p>
    <w:p w14:paraId="6F8F1D4F" w14:textId="1D29D1DF" w:rsidR="0069599F" w:rsidRPr="00B81795" w:rsidRDefault="00027F45" w:rsidP="006A1C12">
      <w:pPr>
        <w:jc w:val="both"/>
        <w:rPr>
          <w:lang w:val="en-GB"/>
        </w:rPr>
      </w:pPr>
      <w:r>
        <w:rPr>
          <w:rFonts w:ascii="Times New Roman" w:hAnsi="Times New Roman" w:cs="Times New Roman"/>
        </w:rPr>
        <w:t xml:space="preserve">It is well known that throughput performance is much more sensitive to pilot pattern over long DS and high speed scenario. </w:t>
      </w:r>
      <w:r w:rsidR="000B12A5">
        <w:rPr>
          <w:rFonts w:ascii="Times New Roman" w:hAnsi="Times New Roman" w:cs="Times New Roman"/>
        </w:rPr>
        <w:t xml:space="preserve">Companies interested in handling of long DS and high speed channels, not only should pay attention to ECP design, but more importantly, to concern the design and evaluation of the corresponding DMRS pattern. </w:t>
      </w:r>
      <w:r w:rsidR="00BF257E">
        <w:rPr>
          <w:rFonts w:ascii="Times New Roman" w:hAnsi="Times New Roman" w:cs="Times New Roman"/>
        </w:rPr>
        <w:t xml:space="preserve">It is concerning that, </w:t>
      </w:r>
      <w:r>
        <w:rPr>
          <w:rFonts w:ascii="Times New Roman" w:hAnsi="Times New Roman" w:cs="Times New Roman"/>
        </w:rPr>
        <w:t xml:space="preserve">for now, in the DMRS evaluation, </w:t>
      </w:r>
      <w:r w:rsidR="00FE66DA">
        <w:rPr>
          <w:rFonts w:ascii="Times New Roman" w:hAnsi="Times New Roman" w:cs="Times New Roman"/>
        </w:rPr>
        <w:t xml:space="preserve">the only </w:t>
      </w:r>
      <w:r w:rsidR="00BF257E">
        <w:rPr>
          <w:rFonts w:ascii="Times New Roman" w:hAnsi="Times New Roman" w:cs="Times New Roman"/>
        </w:rPr>
        <w:t xml:space="preserve">HST </w:t>
      </w:r>
      <w:r w:rsidR="00FE66DA">
        <w:rPr>
          <w:rFonts w:ascii="Times New Roman" w:hAnsi="Times New Roman" w:cs="Times New Roman"/>
        </w:rPr>
        <w:t xml:space="preserve">channels considered for DMRS is </w:t>
      </w:r>
      <w:r w:rsidR="00BF257E">
        <w:rPr>
          <w:rFonts w:ascii="Times New Roman" w:hAnsi="Times New Roman" w:cs="Times New Roman"/>
        </w:rPr>
        <w:t>of low DS (TDL-E 50us, which was considered sufficient for HST scenario)</w:t>
      </w:r>
      <w:r w:rsidR="006B7CC8">
        <w:rPr>
          <w:rFonts w:ascii="Times New Roman" w:hAnsi="Times New Roman" w:cs="Times New Roman"/>
        </w:rPr>
        <w:t>.</w:t>
      </w:r>
      <w:r w:rsidR="000B12A5">
        <w:rPr>
          <w:rFonts w:ascii="Times New Roman" w:hAnsi="Times New Roman" w:cs="Times New Roman"/>
        </w:rPr>
        <w:t xml:space="preserve"> Companies </w:t>
      </w:r>
      <w:r w:rsidR="0069599F">
        <w:rPr>
          <w:rFonts w:ascii="Times New Roman" w:hAnsi="Times New Roman" w:cs="Times New Roman"/>
        </w:rPr>
        <w:t xml:space="preserve">are </w:t>
      </w:r>
      <w:r w:rsidR="000B12A5">
        <w:rPr>
          <w:rFonts w:ascii="Times New Roman" w:hAnsi="Times New Roman" w:cs="Times New Roman"/>
        </w:rPr>
        <w:t>encouraged to consider DMRS design for long DS and high speed channels and ECP design could be done jointly with that effort.</w:t>
      </w:r>
    </w:p>
    <w:p w14:paraId="2D0538BE" w14:textId="77777777" w:rsidR="00D00AE7" w:rsidRPr="00825711" w:rsidRDefault="00D00AE7" w:rsidP="00D00AE7">
      <w:pPr>
        <w:pStyle w:val="Heading1"/>
        <w:rPr>
          <w:rFonts w:ascii="Times New Roman" w:hAnsi="Times New Roman" w:cs="Times New Roman"/>
          <w:lang w:val="en-US"/>
        </w:rPr>
      </w:pPr>
      <w:r w:rsidRPr="00825711">
        <w:rPr>
          <w:rFonts w:ascii="Times New Roman" w:hAnsi="Times New Roman" w:cs="Times New Roman"/>
          <w:lang w:val="en-US"/>
        </w:rPr>
        <w:t>Conclusion</w:t>
      </w:r>
    </w:p>
    <w:p w14:paraId="51F11795" w14:textId="77777777" w:rsidR="005B0F66" w:rsidRPr="000B3ADB" w:rsidRDefault="005B0F66" w:rsidP="005B0F66">
      <w:pPr>
        <w:autoSpaceDE w:val="0"/>
        <w:autoSpaceDN w:val="0"/>
        <w:spacing w:before="40" w:after="40" w:line="240" w:lineRule="auto"/>
        <w:jc w:val="both"/>
        <w:rPr>
          <w:rFonts w:ascii="Times New Roman" w:hAnsi="Times New Roman" w:cs="Times New Roman"/>
          <w:b/>
          <w:i/>
        </w:rPr>
      </w:pPr>
      <w:r w:rsidRPr="000B3ADB">
        <w:rPr>
          <w:rFonts w:ascii="Times New Roman" w:hAnsi="Times New Roman" w:cs="Times New Roman"/>
          <w:b/>
          <w:i/>
        </w:rPr>
        <w:t xml:space="preserve">Observation 1: </w:t>
      </w:r>
      <w:r>
        <w:rPr>
          <w:rFonts w:ascii="Times New Roman" w:hAnsi="Times New Roman" w:cs="Times New Roman"/>
          <w:b/>
          <w:i/>
        </w:rPr>
        <w:t>in the low to moderate SNR region (SNR &lt;= 15~20dB), LTE-type ECP only incurs performance loss.</w:t>
      </w:r>
    </w:p>
    <w:p w14:paraId="292281C7" w14:textId="77777777" w:rsidR="005B0F66" w:rsidRDefault="005B0F66" w:rsidP="005B0F66">
      <w:pPr>
        <w:autoSpaceDE w:val="0"/>
        <w:autoSpaceDN w:val="0"/>
        <w:spacing w:after="0" w:line="240" w:lineRule="auto"/>
        <w:rPr>
          <w:rFonts w:ascii="Times New Roman" w:hAnsi="Times New Roman" w:cs="Times New Roman"/>
        </w:rPr>
      </w:pPr>
    </w:p>
    <w:p w14:paraId="2BD9702F" w14:textId="77777777" w:rsidR="005B0F66" w:rsidRPr="000B3ADB" w:rsidRDefault="005B0F66" w:rsidP="005B0F66">
      <w:pPr>
        <w:autoSpaceDE w:val="0"/>
        <w:autoSpaceDN w:val="0"/>
        <w:spacing w:after="0" w:line="240" w:lineRule="auto"/>
        <w:rPr>
          <w:rFonts w:ascii="Times New Roman" w:hAnsi="Times New Roman" w:cs="Times New Roman"/>
          <w:b/>
          <w:i/>
        </w:rPr>
      </w:pPr>
      <w:r w:rsidRPr="000B3ADB">
        <w:rPr>
          <w:rFonts w:ascii="Times New Roman" w:hAnsi="Times New Roman" w:cs="Times New Roman"/>
          <w:b/>
          <w:i/>
        </w:rPr>
        <w:t xml:space="preserve">Observation 2: CP length is not expected to </w:t>
      </w:r>
      <w:r>
        <w:rPr>
          <w:rFonts w:ascii="Times New Roman" w:hAnsi="Times New Roman" w:cs="Times New Roman"/>
          <w:b/>
          <w:i/>
        </w:rPr>
        <w:t xml:space="preserve">have noticeable performance </w:t>
      </w:r>
      <w:r w:rsidRPr="000B3ADB">
        <w:rPr>
          <w:rFonts w:ascii="Times New Roman" w:hAnsi="Times New Roman" w:cs="Times New Roman"/>
          <w:b/>
          <w:i/>
        </w:rPr>
        <w:t xml:space="preserve">impact </w:t>
      </w:r>
      <w:r>
        <w:rPr>
          <w:rFonts w:ascii="Times New Roman" w:hAnsi="Times New Roman" w:cs="Times New Roman"/>
          <w:b/>
          <w:i/>
        </w:rPr>
        <w:t xml:space="preserve">on </w:t>
      </w:r>
      <w:r w:rsidRPr="000B3ADB">
        <w:rPr>
          <w:rFonts w:ascii="Times New Roman" w:hAnsi="Times New Roman" w:cs="Times New Roman"/>
          <w:b/>
          <w:i/>
        </w:rPr>
        <w:t>ctrl channel due to its low rank/modulation order and low geometry operating region</w:t>
      </w:r>
      <w:r>
        <w:rPr>
          <w:rFonts w:ascii="Times New Roman" w:hAnsi="Times New Roman" w:cs="Times New Roman"/>
          <w:b/>
          <w:i/>
        </w:rPr>
        <w:t>.</w:t>
      </w:r>
    </w:p>
    <w:p w14:paraId="4FB17A17" w14:textId="77777777" w:rsidR="005B0F66" w:rsidRDefault="005B0F66" w:rsidP="005B0F66">
      <w:pPr>
        <w:autoSpaceDE w:val="0"/>
        <w:autoSpaceDN w:val="0"/>
        <w:spacing w:after="0" w:line="240" w:lineRule="auto"/>
        <w:rPr>
          <w:rFonts w:ascii="Times New Roman" w:hAnsi="Times New Roman" w:cs="Times New Roman"/>
        </w:rPr>
      </w:pPr>
    </w:p>
    <w:p w14:paraId="66A594FA" w14:textId="77777777" w:rsidR="005B0F66" w:rsidRPr="000B3ADB" w:rsidRDefault="005B0F66" w:rsidP="005B0F66">
      <w:pPr>
        <w:autoSpaceDE w:val="0"/>
        <w:autoSpaceDN w:val="0"/>
        <w:spacing w:after="0" w:line="240" w:lineRule="auto"/>
        <w:rPr>
          <w:rFonts w:ascii="Times New Roman" w:hAnsi="Times New Roman" w:cs="Times New Roman"/>
          <w:b/>
          <w:i/>
        </w:rPr>
      </w:pPr>
      <w:r>
        <w:rPr>
          <w:rFonts w:ascii="Times New Roman" w:hAnsi="Times New Roman" w:cs="Times New Roman"/>
          <w:b/>
          <w:i/>
        </w:rPr>
        <w:t>Observation 3</w:t>
      </w:r>
      <w:r w:rsidRPr="000B3ADB">
        <w:rPr>
          <w:rFonts w:ascii="Times New Roman" w:hAnsi="Times New Roman" w:cs="Times New Roman"/>
          <w:b/>
          <w:i/>
        </w:rPr>
        <w:t xml:space="preserve">: </w:t>
      </w:r>
      <w:r>
        <w:rPr>
          <w:rFonts w:ascii="Times New Roman" w:hAnsi="Times New Roman" w:cs="Times New Roman"/>
          <w:b/>
          <w:i/>
        </w:rPr>
        <w:t>F</w:t>
      </w:r>
      <w:r w:rsidRPr="000B3ADB">
        <w:rPr>
          <w:rFonts w:ascii="Times New Roman" w:hAnsi="Times New Roman" w:cs="Times New Roman"/>
          <w:b/>
          <w:i/>
        </w:rPr>
        <w:t>orcing all the users in the cell to use ECP (particularly LTE ECP) is</w:t>
      </w:r>
      <w:r>
        <w:rPr>
          <w:rFonts w:ascii="Times New Roman" w:hAnsi="Times New Roman" w:cs="Times New Roman"/>
          <w:b/>
          <w:i/>
        </w:rPr>
        <w:t xml:space="preserve"> going to be highly inefficient.</w:t>
      </w:r>
    </w:p>
    <w:p w14:paraId="795125BD" w14:textId="77777777" w:rsidR="005B0F66" w:rsidRDefault="005B0F66" w:rsidP="006E1928">
      <w:pPr>
        <w:spacing w:after="0"/>
        <w:jc w:val="both"/>
        <w:rPr>
          <w:rFonts w:ascii="Times New Roman" w:hAnsi="Times New Roman" w:cs="Times New Roman"/>
          <w:b/>
          <w:i/>
          <w:u w:val="single"/>
        </w:rPr>
      </w:pPr>
    </w:p>
    <w:p w14:paraId="312FB0F3" w14:textId="5F4974CE" w:rsidR="006E1928" w:rsidRPr="00AF4041" w:rsidRDefault="006E1928" w:rsidP="006E1928">
      <w:pPr>
        <w:spacing w:after="0"/>
        <w:jc w:val="both"/>
        <w:rPr>
          <w:rFonts w:eastAsia="Times New Roman"/>
          <w:b/>
          <w:i/>
        </w:rPr>
      </w:pPr>
      <w:r w:rsidRPr="00AF4041">
        <w:rPr>
          <w:rFonts w:ascii="Times New Roman" w:hAnsi="Times New Roman" w:cs="Times New Roman"/>
          <w:b/>
          <w:i/>
          <w:u w:val="single"/>
        </w:rPr>
        <w:t>Proposal</w:t>
      </w:r>
      <w:r w:rsidRPr="00AF4041">
        <w:rPr>
          <w:rFonts w:ascii="Times New Roman" w:hAnsi="Times New Roman" w:cs="Times New Roman"/>
          <w:b/>
          <w:i/>
        </w:rPr>
        <w:t xml:space="preserve">: </w:t>
      </w:r>
      <w:r>
        <w:rPr>
          <w:rFonts w:eastAsia="Times New Roman"/>
          <w:b/>
          <w:i/>
        </w:rPr>
        <w:t>I</w:t>
      </w:r>
      <w:r w:rsidRPr="00AF4041">
        <w:rPr>
          <w:rFonts w:eastAsia="Times New Roman"/>
          <w:b/>
          <w:i/>
        </w:rPr>
        <w:t xml:space="preserve">f further agreement on </w:t>
      </w:r>
      <w:r>
        <w:rPr>
          <w:rFonts w:eastAsia="Times New Roman"/>
          <w:b/>
          <w:i/>
        </w:rPr>
        <w:t xml:space="preserve">60 KHz </w:t>
      </w:r>
      <w:r w:rsidRPr="00AF4041">
        <w:rPr>
          <w:rFonts w:eastAsia="Times New Roman"/>
          <w:b/>
          <w:i/>
        </w:rPr>
        <w:t>ECP is to be made</w:t>
      </w:r>
      <w:r w:rsidR="000B3ADB">
        <w:rPr>
          <w:rFonts w:eastAsia="Times New Roman"/>
          <w:b/>
          <w:i/>
        </w:rPr>
        <w:t xml:space="preserve"> for the </w:t>
      </w:r>
      <w:r w:rsidR="00A13B0D">
        <w:rPr>
          <w:rFonts w:eastAsia="Times New Roman"/>
          <w:b/>
          <w:i/>
        </w:rPr>
        <w:t>high speed</w:t>
      </w:r>
      <w:r w:rsidR="000B3ADB">
        <w:rPr>
          <w:rFonts w:eastAsia="Times New Roman"/>
          <w:b/>
          <w:i/>
        </w:rPr>
        <w:t xml:space="preserve"> use case</w:t>
      </w:r>
      <w:r>
        <w:rPr>
          <w:rFonts w:eastAsia="Times New Roman"/>
          <w:b/>
          <w:i/>
        </w:rPr>
        <w:t>,</w:t>
      </w:r>
      <w:r w:rsidRPr="00AF4041">
        <w:rPr>
          <w:rFonts w:eastAsia="Times New Roman"/>
          <w:b/>
          <w:i/>
        </w:rPr>
        <w:t xml:space="preserve"> we propose the following:</w:t>
      </w:r>
    </w:p>
    <w:p w14:paraId="0DA42356" w14:textId="0309804D" w:rsidR="006E1928" w:rsidRDefault="006E1928" w:rsidP="006E1928">
      <w:pPr>
        <w:pStyle w:val="ListParagraph"/>
        <w:numPr>
          <w:ilvl w:val="0"/>
          <w:numId w:val="42"/>
        </w:numPr>
        <w:spacing w:after="0"/>
        <w:jc w:val="both"/>
        <w:rPr>
          <w:rFonts w:asciiTheme="minorHAnsi" w:eastAsia="Times New Roman" w:hAnsiTheme="minorHAnsi"/>
          <w:b/>
          <w:i/>
        </w:rPr>
      </w:pPr>
      <w:r w:rsidRPr="00AF4041">
        <w:rPr>
          <w:rFonts w:asciiTheme="minorHAnsi" w:eastAsia="Times New Roman" w:hAnsiTheme="minorHAnsi"/>
          <w:b/>
          <w:i/>
        </w:rPr>
        <w:t xml:space="preserve">OFDM symbols carrying control channels are always NCP, while data symbols can either be configured/indicated to use NCP/ECP </w:t>
      </w:r>
      <w:r w:rsidR="00047080">
        <w:rPr>
          <w:rFonts w:asciiTheme="minorHAnsi" w:eastAsia="Times New Roman" w:hAnsiTheme="minorHAnsi"/>
          <w:b/>
          <w:i/>
        </w:rPr>
        <w:t xml:space="preserve">based </w:t>
      </w:r>
      <w:r w:rsidRPr="00AF4041">
        <w:rPr>
          <w:rFonts w:asciiTheme="minorHAnsi" w:eastAsia="Times New Roman" w:hAnsiTheme="minorHAnsi"/>
          <w:b/>
          <w:i/>
        </w:rPr>
        <w:t>on UE capability</w:t>
      </w:r>
      <w:r w:rsidR="00C9431A">
        <w:rPr>
          <w:rFonts w:asciiTheme="minorHAnsi" w:eastAsia="Times New Roman" w:hAnsiTheme="minorHAnsi"/>
          <w:b/>
          <w:i/>
        </w:rPr>
        <w:t xml:space="preserve"> on a per UE basis</w:t>
      </w:r>
      <w:r w:rsidRPr="00AF4041">
        <w:rPr>
          <w:rFonts w:asciiTheme="minorHAnsi" w:eastAsia="Times New Roman" w:hAnsiTheme="minorHAnsi"/>
          <w:b/>
          <w:i/>
        </w:rPr>
        <w:t>.</w:t>
      </w:r>
    </w:p>
    <w:p w14:paraId="6CEC5189" w14:textId="3FDB3460" w:rsidR="006E1928" w:rsidRDefault="006E1928" w:rsidP="006E1928">
      <w:pPr>
        <w:pStyle w:val="ListParagraph"/>
        <w:numPr>
          <w:ilvl w:val="0"/>
          <w:numId w:val="42"/>
        </w:numPr>
        <w:jc w:val="both"/>
        <w:rPr>
          <w:rFonts w:asciiTheme="minorHAnsi" w:eastAsia="Times New Roman" w:hAnsiTheme="minorHAnsi"/>
          <w:b/>
          <w:i/>
        </w:rPr>
      </w:pPr>
      <w:r>
        <w:rPr>
          <w:rFonts w:asciiTheme="minorHAnsi" w:eastAsia="Times New Roman" w:hAnsiTheme="minorHAnsi"/>
          <w:b/>
          <w:i/>
        </w:rPr>
        <w:lastRenderedPageBreak/>
        <w:t>Data channel CP type</w:t>
      </w:r>
      <w:r w:rsidRPr="00AF4041">
        <w:rPr>
          <w:rFonts w:asciiTheme="minorHAnsi" w:eastAsia="Times New Roman" w:hAnsiTheme="minorHAnsi"/>
          <w:b/>
          <w:i/>
        </w:rPr>
        <w:t xml:space="preserve"> is semi-statically configured via RRC signaling</w:t>
      </w:r>
      <w:r w:rsidR="002F2CB3">
        <w:rPr>
          <w:rFonts w:asciiTheme="minorHAnsi" w:eastAsia="Times New Roman" w:hAnsiTheme="minorHAnsi"/>
          <w:b/>
          <w:i/>
        </w:rPr>
        <w:t xml:space="preserve"> per UE</w:t>
      </w:r>
      <w:r w:rsidR="000E7E65">
        <w:rPr>
          <w:rFonts w:asciiTheme="minorHAnsi" w:eastAsia="Times New Roman" w:hAnsiTheme="minorHAnsi"/>
          <w:b/>
          <w:i/>
        </w:rPr>
        <w:t xml:space="preserve"> based on UE capability</w:t>
      </w:r>
      <w:r>
        <w:rPr>
          <w:rFonts w:asciiTheme="minorHAnsi" w:eastAsia="Times New Roman" w:hAnsiTheme="minorHAnsi"/>
          <w:b/>
          <w:i/>
        </w:rPr>
        <w:t>.</w:t>
      </w:r>
    </w:p>
    <w:p w14:paraId="0BA21D45" w14:textId="77777777" w:rsidR="003318B9" w:rsidRDefault="003318B9" w:rsidP="003318B9">
      <w:pPr>
        <w:pStyle w:val="ListParagraph"/>
        <w:numPr>
          <w:ilvl w:val="0"/>
          <w:numId w:val="42"/>
        </w:numPr>
        <w:spacing w:line="256" w:lineRule="auto"/>
        <w:jc w:val="both"/>
        <w:rPr>
          <w:rFonts w:asciiTheme="minorHAnsi" w:eastAsia="Times New Roman" w:hAnsiTheme="minorHAnsi"/>
          <w:b/>
          <w:i/>
        </w:rPr>
      </w:pPr>
      <w:r>
        <w:rPr>
          <w:rFonts w:asciiTheme="minorHAnsi" w:eastAsia="Times New Roman" w:hAnsiTheme="minorHAnsi"/>
          <w:b/>
          <w:i/>
        </w:rPr>
        <w:t>The length of 60 KHz ECP is can be from one of the following alternatives:</w:t>
      </w:r>
    </w:p>
    <w:p w14:paraId="65499411" w14:textId="77777777" w:rsidR="003318B9" w:rsidRDefault="003318B9" w:rsidP="003318B9">
      <w:pPr>
        <w:pStyle w:val="ListParagraph"/>
        <w:numPr>
          <w:ilvl w:val="1"/>
          <w:numId w:val="42"/>
        </w:numPr>
        <w:spacing w:line="256" w:lineRule="auto"/>
        <w:jc w:val="both"/>
        <w:rPr>
          <w:rFonts w:asciiTheme="minorHAnsi" w:eastAsia="Times New Roman" w:hAnsiTheme="minorHAnsi"/>
          <w:b/>
          <w:i/>
        </w:rPr>
      </w:pPr>
      <w:r>
        <w:rPr>
          <w:rFonts w:asciiTheme="minorHAnsi" w:eastAsia="Times New Roman" w:hAnsiTheme="minorHAnsi"/>
          <w:b/>
          <w:i/>
        </w:rPr>
        <w:t>ECP length is such that 48 OFDM symbols fit in 1 msec (i.e., scaled LTE ECP with approximately 4.17 usec length).</w:t>
      </w:r>
    </w:p>
    <w:p w14:paraId="52C22C43" w14:textId="77777777" w:rsidR="003318B9" w:rsidRDefault="003318B9" w:rsidP="003318B9">
      <w:pPr>
        <w:pStyle w:val="ListParagraph"/>
        <w:numPr>
          <w:ilvl w:val="1"/>
          <w:numId w:val="42"/>
        </w:numPr>
        <w:spacing w:line="256" w:lineRule="auto"/>
        <w:jc w:val="both"/>
        <w:rPr>
          <w:rFonts w:asciiTheme="minorHAnsi" w:eastAsia="Times New Roman" w:hAnsiTheme="minorHAnsi"/>
          <w:b/>
          <w:i/>
        </w:rPr>
      </w:pPr>
      <w:r>
        <w:rPr>
          <w:rFonts w:asciiTheme="minorHAnsi" w:eastAsia="Times New Roman" w:hAnsiTheme="minorHAnsi"/>
          <w:b/>
          <w:i/>
        </w:rPr>
        <w:t>ECP length is such that 52 OFDM symbols fit in 1 msec (i.e., ECP with approximately 2.56 usec length).</w:t>
      </w:r>
    </w:p>
    <w:p w14:paraId="7E28E93E" w14:textId="77777777" w:rsidR="003318B9" w:rsidRDefault="003318B9" w:rsidP="003318B9">
      <w:pPr>
        <w:pStyle w:val="ListParagraph"/>
        <w:numPr>
          <w:ilvl w:val="1"/>
          <w:numId w:val="42"/>
        </w:numPr>
        <w:spacing w:line="256" w:lineRule="auto"/>
        <w:jc w:val="both"/>
        <w:rPr>
          <w:rFonts w:asciiTheme="minorHAnsi" w:eastAsia="Times New Roman" w:hAnsiTheme="minorHAnsi"/>
          <w:b/>
          <w:i/>
        </w:rPr>
      </w:pPr>
      <w:r>
        <w:rPr>
          <w:rFonts w:asciiTheme="minorHAnsi" w:eastAsia="Times New Roman" w:hAnsiTheme="minorHAnsi"/>
          <w:b/>
          <w:i/>
        </w:rPr>
        <w:t>Other ECP options where use case is clearly identified.</w:t>
      </w:r>
    </w:p>
    <w:p w14:paraId="0288E6BD" w14:textId="77777777" w:rsidR="003318B9" w:rsidRPr="003318B9" w:rsidRDefault="003318B9" w:rsidP="003318B9">
      <w:pPr>
        <w:pStyle w:val="ListParagraph"/>
        <w:numPr>
          <w:ilvl w:val="0"/>
          <w:numId w:val="42"/>
        </w:numPr>
        <w:spacing w:line="256" w:lineRule="auto"/>
        <w:jc w:val="both"/>
        <w:rPr>
          <w:rFonts w:asciiTheme="minorHAnsi" w:eastAsia="Times New Roman" w:hAnsiTheme="minorHAnsi"/>
          <w:b/>
          <w:i/>
          <w:highlight w:val="yellow"/>
        </w:rPr>
      </w:pPr>
      <w:r w:rsidRPr="003318B9">
        <w:rPr>
          <w:rFonts w:asciiTheme="minorHAnsi" w:eastAsia="Times New Roman" w:hAnsiTheme="minorHAnsi"/>
          <w:b/>
          <w:i/>
          <w:highlight w:val="yellow"/>
        </w:rPr>
        <w:t>ECP design choice should be considered jointly with DMRS pattern design over HST-specific channel models (at least), and realistic DMRS channel estimation.</w:t>
      </w:r>
    </w:p>
    <w:p w14:paraId="71324A1B" w14:textId="33D61BA1" w:rsidR="00D00AE7" w:rsidRPr="00825711" w:rsidRDefault="006E1928" w:rsidP="006E1928">
      <w:pPr>
        <w:pStyle w:val="Heading1"/>
        <w:rPr>
          <w:rFonts w:ascii="Times New Roman" w:hAnsi="Times New Roman" w:cs="Times New Roman"/>
          <w:lang w:val="en-US"/>
        </w:rPr>
      </w:pPr>
      <w:r w:rsidRPr="00825711">
        <w:rPr>
          <w:rFonts w:ascii="Times New Roman" w:hAnsi="Times New Roman" w:cs="Times New Roman"/>
          <w:lang w:val="en-US"/>
        </w:rPr>
        <w:t xml:space="preserve"> </w:t>
      </w:r>
      <w:r w:rsidR="00D00AE7" w:rsidRPr="00825711">
        <w:rPr>
          <w:rFonts w:ascii="Times New Roman" w:hAnsi="Times New Roman" w:cs="Times New Roman"/>
          <w:lang w:val="en-US"/>
        </w:rPr>
        <w:t>References</w:t>
      </w:r>
    </w:p>
    <w:p w14:paraId="5C654690" w14:textId="3EB35270" w:rsidR="00237573" w:rsidRDefault="00F210A7" w:rsidP="002F677B">
      <w:pPr>
        <w:pStyle w:val="Reference"/>
        <w:spacing w:after="0" w:line="240" w:lineRule="auto"/>
        <w:ind w:left="562" w:hanging="562"/>
        <w:jc w:val="both"/>
        <w:rPr>
          <w:rFonts w:ascii="Times New Roman" w:hAnsi="Times New Roman" w:cs="Times New Roman"/>
          <w:iCs/>
        </w:rPr>
      </w:pPr>
      <w:bookmarkStart w:id="5" w:name="_Ref458786952"/>
      <w:bookmarkStart w:id="6" w:name="_Ref442441852"/>
      <w:bookmarkStart w:id="7" w:name="_Ref441562466"/>
      <w:r>
        <w:rPr>
          <w:rFonts w:ascii="Times New Roman" w:hAnsi="Times New Roman" w:cs="Times New Roman"/>
          <w:iCs/>
        </w:rPr>
        <w:t>RAN1-86b</w:t>
      </w:r>
      <w:r w:rsidR="00237573" w:rsidRPr="009D0F73">
        <w:rPr>
          <w:rFonts w:ascii="Times New Roman" w:hAnsi="Times New Roman" w:cs="Times New Roman"/>
          <w:iCs/>
        </w:rPr>
        <w:t xml:space="preserve"> Chairman’s notes</w:t>
      </w:r>
      <w:bookmarkEnd w:id="5"/>
    </w:p>
    <w:p w14:paraId="5B758FAB" w14:textId="6D16E42A" w:rsidR="002F4107" w:rsidRPr="002F4107" w:rsidRDefault="002F4107" w:rsidP="002F4107">
      <w:pPr>
        <w:pStyle w:val="Reference"/>
        <w:spacing w:after="0" w:line="240" w:lineRule="auto"/>
        <w:ind w:left="562" w:hanging="562"/>
        <w:jc w:val="both"/>
        <w:rPr>
          <w:rFonts w:ascii="Times New Roman" w:hAnsi="Times New Roman" w:cs="Times New Roman"/>
          <w:iCs/>
        </w:rPr>
      </w:pPr>
      <w:r w:rsidRPr="009D0F73">
        <w:rPr>
          <w:rFonts w:ascii="Times New Roman" w:hAnsi="Times New Roman" w:cs="Times New Roman"/>
          <w:iCs/>
        </w:rPr>
        <w:t>RAN1-87 Chairman’s notes</w:t>
      </w:r>
    </w:p>
    <w:p w14:paraId="3F4D6D72" w14:textId="7AC072E9" w:rsidR="00914536" w:rsidRDefault="00F60E22" w:rsidP="002F677B">
      <w:pPr>
        <w:pStyle w:val="Reference"/>
        <w:spacing w:after="0"/>
        <w:jc w:val="both"/>
        <w:rPr>
          <w:rFonts w:ascii="Times New Roman" w:hAnsi="Times New Roman" w:cs="Times New Roman"/>
          <w:iCs/>
        </w:rPr>
      </w:pPr>
      <w:r w:rsidRPr="00EE6E75">
        <w:rPr>
          <w:rFonts w:ascii="Times New Roman" w:hAnsi="Times New Roman" w:cs="Times New Roman"/>
          <w:iCs/>
        </w:rPr>
        <w:t xml:space="preserve">R1-1610127, “Numerology tradeoff case study”, </w:t>
      </w:r>
      <w:r w:rsidR="007F5412">
        <w:rPr>
          <w:rFonts w:ascii="Times New Roman" w:hAnsi="Times New Roman" w:cs="Times New Roman"/>
          <w:iCs/>
        </w:rPr>
        <w:t xml:space="preserve"> </w:t>
      </w:r>
      <w:r w:rsidR="00F33C74" w:rsidRPr="009D0F73">
        <w:rPr>
          <w:rFonts w:ascii="Times New Roman" w:hAnsi="Times New Roman" w:cs="Times New Roman"/>
          <w:iCs/>
        </w:rPr>
        <w:t xml:space="preserve">3GPP </w:t>
      </w:r>
      <w:r w:rsidRPr="00EE6E75">
        <w:rPr>
          <w:rFonts w:ascii="Times New Roman" w:hAnsi="Times New Roman" w:cs="Times New Roman"/>
          <w:iCs/>
        </w:rPr>
        <w:t>TSG RAN WG1 Meeting #86bis</w:t>
      </w:r>
    </w:p>
    <w:p w14:paraId="646EEEE5" w14:textId="4405597E" w:rsidR="00237573" w:rsidRDefault="00237573" w:rsidP="00EB0A9E">
      <w:pPr>
        <w:pStyle w:val="Reference"/>
        <w:spacing w:after="0" w:line="240" w:lineRule="auto"/>
        <w:ind w:left="562" w:hanging="562"/>
        <w:jc w:val="both"/>
        <w:rPr>
          <w:rFonts w:ascii="Times New Roman" w:hAnsi="Times New Roman" w:cs="Times New Roman"/>
          <w:iCs/>
        </w:rPr>
      </w:pPr>
      <w:r w:rsidRPr="009D0F73">
        <w:rPr>
          <w:rFonts w:ascii="Times New Roman" w:hAnsi="Times New Roman" w:cs="Times New Roman"/>
          <w:iCs/>
        </w:rPr>
        <w:t xml:space="preserve">R1-1612017, “ Tone spacing and CP type for mmW”, </w:t>
      </w:r>
      <w:r w:rsidR="00F33C74" w:rsidRPr="009D0F73">
        <w:rPr>
          <w:rFonts w:ascii="Times New Roman" w:hAnsi="Times New Roman" w:cs="Times New Roman"/>
          <w:iCs/>
        </w:rPr>
        <w:t xml:space="preserve">3GPP </w:t>
      </w:r>
      <w:r w:rsidRPr="009D0F73">
        <w:rPr>
          <w:rFonts w:ascii="Times New Roman" w:hAnsi="Times New Roman" w:cs="Times New Roman"/>
          <w:iCs/>
        </w:rPr>
        <w:t>TSG</w:t>
      </w:r>
      <w:r>
        <w:rPr>
          <w:rFonts w:ascii="Times New Roman" w:hAnsi="Times New Roman" w:cs="Times New Roman"/>
          <w:iCs/>
        </w:rPr>
        <w:t xml:space="preserve"> RAN WG1 Meeting #87, Qualcomm</w:t>
      </w:r>
    </w:p>
    <w:p w14:paraId="5C7BB761" w14:textId="4BB25C03" w:rsidR="00237573" w:rsidRPr="009D0F73" w:rsidRDefault="00237573" w:rsidP="00EB0A9E">
      <w:pPr>
        <w:pStyle w:val="Reference"/>
        <w:spacing w:after="0" w:line="240" w:lineRule="auto"/>
        <w:ind w:left="562" w:hanging="562"/>
        <w:jc w:val="both"/>
        <w:rPr>
          <w:rFonts w:ascii="Times New Roman" w:hAnsi="Times New Roman" w:cs="Times New Roman"/>
          <w:iCs/>
        </w:rPr>
      </w:pPr>
      <w:r w:rsidRPr="009D0F73">
        <w:rPr>
          <w:rFonts w:ascii="Times New Roman" w:hAnsi="Times New Roman" w:cs="Times New Roman"/>
          <w:iCs/>
        </w:rPr>
        <w:t>R1-1612014, “Mini-slot design for URLLC”,</w:t>
      </w:r>
      <w:r w:rsidR="00F33C74" w:rsidRPr="00F33C74">
        <w:rPr>
          <w:rFonts w:ascii="Times New Roman" w:hAnsi="Times New Roman" w:cs="Times New Roman"/>
          <w:iCs/>
        </w:rPr>
        <w:t xml:space="preserve"> </w:t>
      </w:r>
      <w:r w:rsidR="00F33C74" w:rsidRPr="009D0F73">
        <w:rPr>
          <w:rFonts w:ascii="Times New Roman" w:hAnsi="Times New Roman" w:cs="Times New Roman"/>
          <w:iCs/>
        </w:rPr>
        <w:t xml:space="preserve">3GPP </w:t>
      </w:r>
      <w:r w:rsidRPr="009D0F73">
        <w:rPr>
          <w:rFonts w:ascii="Times New Roman" w:hAnsi="Times New Roman" w:cs="Times New Roman"/>
          <w:iCs/>
        </w:rPr>
        <w:t>TSG RAN WG1 Meeting #87, Qualcomm</w:t>
      </w:r>
    </w:p>
    <w:p w14:paraId="344576A3" w14:textId="6D3C0BCB" w:rsidR="0041365E" w:rsidRPr="009D0F73" w:rsidRDefault="0041365E" w:rsidP="00EB0A9E">
      <w:pPr>
        <w:pStyle w:val="Reference"/>
        <w:spacing w:after="0" w:line="240" w:lineRule="auto"/>
        <w:ind w:left="562" w:hanging="562"/>
        <w:jc w:val="both"/>
        <w:rPr>
          <w:rFonts w:ascii="Times New Roman" w:hAnsi="Times New Roman" w:cs="Times New Roman"/>
          <w:iCs/>
        </w:rPr>
      </w:pPr>
      <w:bookmarkStart w:id="8" w:name="_Ref474626898"/>
      <w:r w:rsidRPr="009D0F73">
        <w:rPr>
          <w:rFonts w:ascii="Times New Roman" w:hAnsi="Times New Roman" w:cs="Times New Roman"/>
          <w:iCs/>
        </w:rPr>
        <w:t xml:space="preserve">R1- 1610126, “Scaled CP vs ECP: delay spread, Doppler and SNR tradeoff study”, </w:t>
      </w:r>
      <w:r w:rsidR="00F33C74" w:rsidRPr="009D0F73">
        <w:rPr>
          <w:rFonts w:ascii="Times New Roman" w:hAnsi="Times New Roman" w:cs="Times New Roman"/>
          <w:iCs/>
        </w:rPr>
        <w:t xml:space="preserve">3GPP </w:t>
      </w:r>
      <w:r w:rsidRPr="009D0F73">
        <w:rPr>
          <w:rFonts w:ascii="Times New Roman" w:hAnsi="Times New Roman" w:cs="Times New Roman"/>
          <w:iCs/>
        </w:rPr>
        <w:t>TSG RAN WG1 Meeting #86bis</w:t>
      </w:r>
      <w:bookmarkEnd w:id="8"/>
    </w:p>
    <w:p w14:paraId="0E8F8D11" w14:textId="339D64A8" w:rsidR="00EB0A9E" w:rsidRDefault="00237573" w:rsidP="00EB0A9E">
      <w:pPr>
        <w:pStyle w:val="Reference"/>
        <w:spacing w:after="0" w:line="240" w:lineRule="auto"/>
        <w:ind w:left="562" w:hanging="562"/>
        <w:jc w:val="both"/>
        <w:rPr>
          <w:rFonts w:ascii="Times New Roman" w:hAnsi="Times New Roman" w:cs="Times New Roman"/>
          <w:iCs/>
        </w:rPr>
      </w:pPr>
      <w:bookmarkStart w:id="9" w:name="_Ref474626891"/>
      <w:r w:rsidRPr="00EB0A9E">
        <w:rPr>
          <w:rFonts w:ascii="Times New Roman" w:hAnsi="Times New Roman" w:cs="Times New Roman"/>
          <w:iCs/>
        </w:rPr>
        <w:t xml:space="preserve">R1-1612018, “Considerations on ECP use cases”, Qualcomm, </w:t>
      </w:r>
      <w:r w:rsidR="00F33C74" w:rsidRPr="009D0F73">
        <w:rPr>
          <w:rFonts w:ascii="Times New Roman" w:hAnsi="Times New Roman" w:cs="Times New Roman"/>
          <w:iCs/>
        </w:rPr>
        <w:t xml:space="preserve">3GPP </w:t>
      </w:r>
      <w:r w:rsidRPr="00EB0A9E">
        <w:rPr>
          <w:rFonts w:ascii="Times New Roman" w:hAnsi="Times New Roman" w:cs="Times New Roman"/>
          <w:iCs/>
        </w:rPr>
        <w:t>TSG RAN WG1 Meeting #87</w:t>
      </w:r>
      <w:bookmarkEnd w:id="9"/>
    </w:p>
    <w:p w14:paraId="4D4A34D6" w14:textId="262EFEDD" w:rsidR="00357577" w:rsidRDefault="00EB0A9E" w:rsidP="00696955">
      <w:pPr>
        <w:pStyle w:val="Reference"/>
        <w:spacing w:after="0" w:line="240" w:lineRule="auto"/>
        <w:ind w:left="562" w:hanging="562"/>
        <w:jc w:val="both"/>
        <w:rPr>
          <w:rFonts w:ascii="Times New Roman" w:hAnsi="Times New Roman" w:cs="Times New Roman"/>
          <w:iCs/>
        </w:rPr>
      </w:pPr>
      <w:r w:rsidRPr="00EB0A9E">
        <w:rPr>
          <w:rFonts w:ascii="Times New Roman" w:hAnsi="Times New Roman" w:cs="Times New Roman"/>
          <w:iCs/>
        </w:rPr>
        <w:t xml:space="preserve">R1-1700829, “Mini-slot design for URLLC”, Qualcomm, </w:t>
      </w:r>
      <w:r w:rsidR="00F33C74" w:rsidRPr="009D0F73">
        <w:rPr>
          <w:rFonts w:ascii="Times New Roman" w:hAnsi="Times New Roman" w:cs="Times New Roman"/>
          <w:iCs/>
        </w:rPr>
        <w:t xml:space="preserve">3GPP </w:t>
      </w:r>
      <w:r w:rsidRPr="00EB0A9E">
        <w:rPr>
          <w:rFonts w:ascii="Times New Roman" w:hAnsi="Times New Roman" w:cs="Times New Roman"/>
          <w:iCs/>
        </w:rPr>
        <w:t>TSG WG1 NR Ad-Hoc</w:t>
      </w:r>
      <w:bookmarkEnd w:id="6"/>
      <w:bookmarkEnd w:id="7"/>
    </w:p>
    <w:p w14:paraId="22D0591F" w14:textId="044F05FB" w:rsidR="00BB106F" w:rsidRDefault="00672DFF" w:rsidP="00BC535D">
      <w:pPr>
        <w:pStyle w:val="Reference"/>
        <w:spacing w:after="0"/>
        <w:rPr>
          <w:rFonts w:ascii="Times New Roman" w:hAnsi="Times New Roman" w:cs="Times New Roman"/>
          <w:iCs/>
        </w:rPr>
      </w:pPr>
      <w:r>
        <w:rPr>
          <w:rFonts w:ascii="Times New Roman" w:hAnsi="Times New Roman" w:cs="Times New Roman"/>
          <w:iCs/>
        </w:rPr>
        <w:t xml:space="preserve">R1- 1700480 </w:t>
      </w:r>
      <w:r w:rsidR="00BB106F" w:rsidRPr="00BB106F">
        <w:rPr>
          <w:rFonts w:ascii="Times New Roman" w:hAnsi="Times New Roman" w:cs="Times New Roman"/>
          <w:iCs/>
        </w:rPr>
        <w:t>“Summary of [87-29] Simulation assumption for NR DMRS,” LG Electronics, 3GPP TSG-RAN WG1 NR Ad-Hoc, Spokane, Washington, USA</w:t>
      </w:r>
      <w:r w:rsidR="00BB106F" w:rsidRPr="00BB106F" w:rsidDel="00F85762">
        <w:rPr>
          <w:rFonts w:ascii="Times New Roman" w:hAnsi="Times New Roman" w:cs="Times New Roman"/>
          <w:iCs/>
        </w:rPr>
        <w:t xml:space="preserve"> </w:t>
      </w:r>
    </w:p>
    <w:p w14:paraId="23D29512" w14:textId="56F6A74E" w:rsidR="00BC535D" w:rsidRDefault="00BC535D" w:rsidP="00BC535D">
      <w:pPr>
        <w:pStyle w:val="Reference"/>
        <w:spacing w:after="0" w:line="240" w:lineRule="auto"/>
        <w:ind w:left="562" w:hanging="562"/>
        <w:jc w:val="both"/>
        <w:rPr>
          <w:rFonts w:ascii="Times New Roman" w:hAnsi="Times New Roman" w:cs="Times New Roman"/>
          <w:iCs/>
        </w:rPr>
      </w:pPr>
      <w:r w:rsidRPr="009D0F73">
        <w:rPr>
          <w:rFonts w:ascii="Times New Roman" w:hAnsi="Times New Roman" w:cs="Times New Roman"/>
          <w:iCs/>
        </w:rPr>
        <w:t>RAN1-87</w:t>
      </w:r>
      <w:r>
        <w:rPr>
          <w:rFonts w:ascii="Times New Roman" w:hAnsi="Times New Roman" w:cs="Times New Roman"/>
          <w:iCs/>
        </w:rPr>
        <w:t>AH</w:t>
      </w:r>
      <w:r w:rsidRPr="009D0F73">
        <w:rPr>
          <w:rFonts w:ascii="Times New Roman" w:hAnsi="Times New Roman" w:cs="Times New Roman"/>
          <w:iCs/>
        </w:rPr>
        <w:t xml:space="preserve"> Chairman’s notes</w:t>
      </w:r>
    </w:p>
    <w:p w14:paraId="71979423" w14:textId="77777777" w:rsidR="00017299" w:rsidRPr="00953378" w:rsidRDefault="00017299" w:rsidP="00017299">
      <w:pPr>
        <w:pStyle w:val="Reference"/>
        <w:spacing w:after="0" w:line="240" w:lineRule="auto"/>
        <w:ind w:left="562" w:hanging="562"/>
        <w:jc w:val="both"/>
        <w:rPr>
          <w:rFonts w:ascii="Times New Roman" w:hAnsi="Times New Roman" w:cs="Times New Roman"/>
          <w:iCs/>
        </w:rPr>
      </w:pPr>
      <w:bookmarkStart w:id="10" w:name="_Ref474626887"/>
      <w:r w:rsidRPr="008C53B1">
        <w:rPr>
          <w:rFonts w:ascii="Times New Roman" w:hAnsi="Times New Roman" w:cs="Times New Roman"/>
          <w:iCs/>
        </w:rPr>
        <w:t>R1-</w:t>
      </w:r>
      <w:r w:rsidRPr="00953378">
        <w:rPr>
          <w:rFonts w:ascii="Times New Roman" w:hAnsi="Times New Roman" w:cs="Times New Roman"/>
          <w:iCs/>
        </w:rPr>
        <w:t>1610131, “NR numerology scaling and alignment”, RAN1#86b, Qualcomm</w:t>
      </w:r>
      <w:bookmarkEnd w:id="10"/>
    </w:p>
    <w:p w14:paraId="38B27274" w14:textId="55037E8A" w:rsidR="007803A2" w:rsidRDefault="00244946" w:rsidP="00953378">
      <w:pPr>
        <w:pStyle w:val="Reference"/>
        <w:spacing w:after="0" w:line="240" w:lineRule="auto"/>
        <w:ind w:left="562" w:hanging="562"/>
        <w:jc w:val="both"/>
        <w:rPr>
          <w:rFonts w:ascii="Times New Roman" w:hAnsi="Times New Roman" w:cs="Times New Roman"/>
          <w:iCs/>
        </w:rPr>
      </w:pPr>
      <w:r w:rsidRPr="00953378">
        <w:rPr>
          <w:rFonts w:ascii="Times New Roman" w:hAnsi="Times New Roman" w:cs="Times New Roman"/>
          <w:iCs/>
        </w:rPr>
        <w:t>R1-1700003, “Discussion on evaluation on ECP”</w:t>
      </w:r>
      <w:r>
        <w:rPr>
          <w:rFonts w:ascii="Times New Roman" w:hAnsi="Times New Roman" w:cs="Times New Roman"/>
          <w:iCs/>
        </w:rPr>
        <w:t xml:space="preserve">,  </w:t>
      </w:r>
      <w:r w:rsidRPr="00953378">
        <w:rPr>
          <w:rFonts w:ascii="Times New Roman" w:hAnsi="Times New Roman" w:cs="Times New Roman"/>
          <w:iCs/>
        </w:rPr>
        <w:t>Huawei, HiSilicon</w:t>
      </w:r>
      <w:r w:rsidR="007803A2">
        <w:rPr>
          <w:rFonts w:ascii="Times New Roman" w:hAnsi="Times New Roman" w:cs="Times New Roman"/>
          <w:iCs/>
        </w:rPr>
        <w:t xml:space="preserve">, </w:t>
      </w:r>
      <w:r w:rsidR="007803A2" w:rsidRPr="009D0F73">
        <w:rPr>
          <w:rFonts w:ascii="Times New Roman" w:hAnsi="Times New Roman" w:cs="Times New Roman"/>
          <w:iCs/>
        </w:rPr>
        <w:t xml:space="preserve">3GPP </w:t>
      </w:r>
      <w:r w:rsidR="007803A2">
        <w:rPr>
          <w:rFonts w:ascii="Times New Roman" w:hAnsi="Times New Roman" w:cs="Times New Roman"/>
          <w:iCs/>
        </w:rPr>
        <w:t>TSG RAN WG1 #88</w:t>
      </w:r>
    </w:p>
    <w:p w14:paraId="0737AD0C" w14:textId="1216C5C7" w:rsidR="007803A2" w:rsidRDefault="007803A2" w:rsidP="00953378">
      <w:pPr>
        <w:pStyle w:val="Reference"/>
        <w:spacing w:after="0" w:line="240" w:lineRule="auto"/>
        <w:ind w:left="562" w:hanging="562"/>
        <w:jc w:val="both"/>
        <w:rPr>
          <w:rFonts w:ascii="Times New Roman" w:hAnsi="Times New Roman" w:cs="Times New Roman"/>
          <w:iCs/>
        </w:rPr>
      </w:pPr>
      <w:r w:rsidRPr="00953378">
        <w:rPr>
          <w:rFonts w:ascii="Times New Roman" w:hAnsi="Times New Roman" w:cs="Times New Roman"/>
          <w:iCs/>
        </w:rPr>
        <w:t>R1-1701149, “On extended CP for 60 kHz SCS”, Nokia, Alcatel-Lucent Shanghai Bell</w:t>
      </w:r>
      <w:r>
        <w:rPr>
          <w:rFonts w:ascii="Times New Roman" w:hAnsi="Times New Roman" w:cs="Times New Roman"/>
          <w:iCs/>
        </w:rPr>
        <w:t xml:space="preserve">, </w:t>
      </w:r>
      <w:r w:rsidRPr="009D0F73">
        <w:rPr>
          <w:rFonts w:ascii="Times New Roman" w:hAnsi="Times New Roman" w:cs="Times New Roman"/>
          <w:iCs/>
        </w:rPr>
        <w:t xml:space="preserve">3GPP </w:t>
      </w:r>
      <w:r>
        <w:rPr>
          <w:rFonts w:ascii="Times New Roman" w:hAnsi="Times New Roman" w:cs="Times New Roman"/>
          <w:iCs/>
        </w:rPr>
        <w:t>TSG RAN WG1 #88</w:t>
      </w:r>
    </w:p>
    <w:p w14:paraId="646406E8" w14:textId="472AFB0F" w:rsidR="007803A2" w:rsidRPr="00953378" w:rsidRDefault="007803A2" w:rsidP="00953378">
      <w:pPr>
        <w:pStyle w:val="Reference"/>
        <w:spacing w:after="0" w:line="240" w:lineRule="auto"/>
        <w:ind w:left="562" w:hanging="562"/>
        <w:jc w:val="both"/>
        <w:rPr>
          <w:rFonts w:ascii="Times New Roman" w:hAnsi="Times New Roman" w:cs="Times New Roman"/>
          <w:iCs/>
        </w:rPr>
      </w:pPr>
      <w:r w:rsidRPr="00953378">
        <w:rPr>
          <w:rFonts w:ascii="Times New Roman" w:hAnsi="Times New Roman" w:cs="Times New Roman"/>
          <w:iCs/>
        </w:rPr>
        <w:t>R1-1700532, “Discussion on Extended CP ”,LG Electronics</w:t>
      </w:r>
      <w:r>
        <w:rPr>
          <w:rFonts w:ascii="Times New Roman" w:hAnsi="Times New Roman" w:cs="Times New Roman"/>
          <w:iCs/>
        </w:rPr>
        <w:t xml:space="preserve">, </w:t>
      </w:r>
      <w:r w:rsidRPr="009D0F73">
        <w:rPr>
          <w:rFonts w:ascii="Times New Roman" w:hAnsi="Times New Roman" w:cs="Times New Roman"/>
          <w:iCs/>
        </w:rPr>
        <w:t xml:space="preserve">3GPP </w:t>
      </w:r>
      <w:r>
        <w:rPr>
          <w:rFonts w:ascii="Times New Roman" w:hAnsi="Times New Roman" w:cs="Times New Roman"/>
          <w:iCs/>
        </w:rPr>
        <w:t>TSG RAN WG1 #88</w:t>
      </w:r>
    </w:p>
    <w:p w14:paraId="11D196F9" w14:textId="77777777" w:rsidR="00357577" w:rsidRDefault="00357577" w:rsidP="00357577">
      <w:pPr>
        <w:pStyle w:val="Reference"/>
        <w:numPr>
          <w:ilvl w:val="0"/>
          <w:numId w:val="0"/>
        </w:numPr>
        <w:spacing w:after="0" w:line="240" w:lineRule="auto"/>
        <w:ind w:left="567" w:hanging="567"/>
        <w:jc w:val="both"/>
        <w:rPr>
          <w:rFonts w:ascii="Times New Roman" w:hAnsi="Times New Roman" w:cs="Times New Roman"/>
          <w:iCs/>
        </w:rPr>
      </w:pPr>
    </w:p>
    <w:p w14:paraId="3E3340EC" w14:textId="40016D26" w:rsidR="00357577" w:rsidRPr="00DC3E5B" w:rsidRDefault="00357577" w:rsidP="00DC3E5B">
      <w:pPr>
        <w:pStyle w:val="Heading1"/>
      </w:pPr>
      <w:r>
        <w:t>Appendix</w:t>
      </w:r>
    </w:p>
    <w:p w14:paraId="06AC5501" w14:textId="2C4D8575" w:rsidR="001227DE" w:rsidRDefault="001227DE" w:rsidP="001227DE">
      <w:pPr>
        <w:pStyle w:val="Heading2"/>
      </w:pPr>
      <w:r>
        <w:t>Numerical Results</w:t>
      </w:r>
      <w:r w:rsidR="00D54964">
        <w:t xml:space="preserve"> Link Curves</w:t>
      </w:r>
      <w:r w:rsidR="00D00C0C">
        <w:t xml:space="preserve"> for 12 DL, 1 guard, 1 UL symbols</w:t>
      </w:r>
    </w:p>
    <w:p w14:paraId="1C474AB4" w14:textId="77777777" w:rsidR="00D54964" w:rsidRDefault="00D54964" w:rsidP="00D00C0C">
      <w:pPr>
        <w:pStyle w:val="Heading3"/>
      </w:pPr>
      <w:r>
        <w:t>3 full symbol DMRS</w:t>
      </w:r>
    </w:p>
    <w:p w14:paraId="2601E32F" w14:textId="52E36FA0" w:rsidR="006F1BD9" w:rsidRDefault="006F1BD9" w:rsidP="006F1BD9">
      <w:pPr>
        <w:rPr>
          <w:noProof/>
        </w:rPr>
      </w:pPr>
      <w:r>
        <w:rPr>
          <w:noProof/>
        </w:rPr>
        <w:drawing>
          <wp:inline distT="0" distB="0" distL="0" distR="0" wp14:anchorId="4CF5E519" wp14:editId="5325625E">
            <wp:extent cx="1651909" cy="1202846"/>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658565" cy="1207693"/>
                    </a:xfrm>
                    <a:prstGeom prst="rect">
                      <a:avLst/>
                    </a:prstGeom>
                  </pic:spPr>
                </pic:pic>
              </a:graphicData>
            </a:graphic>
          </wp:inline>
        </w:drawing>
      </w:r>
      <w:r>
        <w:rPr>
          <w:lang w:val="en-GB"/>
        </w:rPr>
        <w:t xml:space="preserve">  </w:t>
      </w:r>
      <w:r>
        <w:rPr>
          <w:lang w:val="en-GB"/>
        </w:rPr>
        <w:tab/>
      </w:r>
      <w:r>
        <w:rPr>
          <w:lang w:val="en-GB"/>
        </w:rPr>
        <w:tab/>
      </w:r>
      <w:r>
        <w:rPr>
          <w:noProof/>
        </w:rPr>
        <w:drawing>
          <wp:inline distT="0" distB="0" distL="0" distR="0" wp14:anchorId="34A00D05" wp14:editId="1CFBE16E">
            <wp:extent cx="1587260" cy="121189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598879" cy="1220766"/>
                    </a:xfrm>
                    <a:prstGeom prst="rect">
                      <a:avLst/>
                    </a:prstGeom>
                  </pic:spPr>
                </pic:pic>
              </a:graphicData>
            </a:graphic>
          </wp:inline>
        </w:drawing>
      </w:r>
      <w:r>
        <w:rPr>
          <w:lang w:val="en-GB"/>
        </w:rPr>
        <w:tab/>
      </w:r>
      <w:r>
        <w:rPr>
          <w:lang w:val="en-GB"/>
        </w:rPr>
        <w:tab/>
      </w:r>
      <w:r w:rsidRPr="006F1BD9">
        <w:rPr>
          <w:noProof/>
        </w:rPr>
        <w:t xml:space="preserve"> </w:t>
      </w:r>
      <w:r>
        <w:rPr>
          <w:noProof/>
        </w:rPr>
        <w:drawing>
          <wp:inline distT="0" distB="0" distL="0" distR="0" wp14:anchorId="392798A1" wp14:editId="0BF8AC83">
            <wp:extent cx="1454360" cy="1193321"/>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461950" cy="1199549"/>
                    </a:xfrm>
                    <a:prstGeom prst="rect">
                      <a:avLst/>
                    </a:prstGeom>
                  </pic:spPr>
                </pic:pic>
              </a:graphicData>
            </a:graphic>
          </wp:inline>
        </w:drawing>
      </w:r>
    </w:p>
    <w:p w14:paraId="220C74A4" w14:textId="054E9815" w:rsidR="00E16666" w:rsidRPr="006F1BD9" w:rsidRDefault="00E16666" w:rsidP="00E16666">
      <w:pPr>
        <w:ind w:left="297" w:firstLine="567"/>
        <w:rPr>
          <w:lang w:val="en-GB"/>
        </w:rPr>
      </w:pPr>
      <w:r>
        <w:rPr>
          <w:noProof/>
        </w:rPr>
        <w:t>NCP</w:t>
      </w:r>
      <w:r>
        <w:rPr>
          <w:noProof/>
        </w:rPr>
        <w:tab/>
      </w:r>
      <w:r>
        <w:rPr>
          <w:noProof/>
        </w:rPr>
        <w:tab/>
      </w:r>
      <w:r>
        <w:rPr>
          <w:noProof/>
        </w:rPr>
        <w:tab/>
      </w:r>
      <w:r>
        <w:rPr>
          <w:noProof/>
        </w:rPr>
        <w:tab/>
      </w:r>
      <w:r>
        <w:rPr>
          <w:noProof/>
        </w:rPr>
        <w:tab/>
      </w:r>
      <w:r>
        <w:rPr>
          <w:noProof/>
        </w:rPr>
        <w:tab/>
        <w:t>ECP13</w:t>
      </w:r>
      <w:r>
        <w:rPr>
          <w:noProof/>
        </w:rPr>
        <w:tab/>
      </w:r>
      <w:r>
        <w:rPr>
          <w:noProof/>
        </w:rPr>
        <w:tab/>
      </w:r>
      <w:r>
        <w:rPr>
          <w:noProof/>
        </w:rPr>
        <w:tab/>
      </w:r>
      <w:r>
        <w:rPr>
          <w:noProof/>
        </w:rPr>
        <w:tab/>
      </w:r>
      <w:r>
        <w:rPr>
          <w:noProof/>
        </w:rPr>
        <w:tab/>
      </w:r>
      <w:r>
        <w:rPr>
          <w:noProof/>
        </w:rPr>
        <w:tab/>
        <w:t>ECP12</w:t>
      </w:r>
    </w:p>
    <w:p w14:paraId="1C194911" w14:textId="77777777" w:rsidR="00412396" w:rsidRDefault="00412396" w:rsidP="00412396">
      <w:pPr>
        <w:jc w:val="center"/>
        <w:rPr>
          <w:lang w:val="en-GB"/>
        </w:rPr>
      </w:pPr>
    </w:p>
    <w:p w14:paraId="1114D391" w14:textId="77777777" w:rsidR="00412396" w:rsidRDefault="00412396" w:rsidP="00412396">
      <w:pPr>
        <w:pStyle w:val="Heading4"/>
      </w:pPr>
      <w:r>
        <w:lastRenderedPageBreak/>
        <w:t>TDL-C 300 nsec</w:t>
      </w:r>
    </w:p>
    <w:p w14:paraId="6705129A" w14:textId="77777777" w:rsidR="00412396" w:rsidRPr="001227DE" w:rsidRDefault="00412396" w:rsidP="00412396">
      <w:pPr>
        <w:jc w:val="center"/>
        <w:rPr>
          <w:lang w:val="en-GB"/>
        </w:rPr>
      </w:pPr>
      <w:r w:rsidRPr="001227DE">
        <w:rPr>
          <w:noProof/>
        </w:rPr>
        <w:drawing>
          <wp:inline distT="0" distB="0" distL="0" distR="0" wp14:anchorId="22864B4B" wp14:editId="150343CE">
            <wp:extent cx="4608135" cy="2140328"/>
            <wp:effectExtent l="0" t="0" r="2540" b="0"/>
            <wp:docPr id="51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12459" cy="2142336"/>
                    </a:xfrm>
                    <a:prstGeom prst="rect">
                      <a:avLst/>
                    </a:prstGeom>
                    <a:noFill/>
                    <a:ln>
                      <a:noFill/>
                    </a:ln>
                    <a:extLst/>
                  </pic:spPr>
                </pic:pic>
              </a:graphicData>
            </a:graphic>
          </wp:inline>
        </w:drawing>
      </w:r>
    </w:p>
    <w:p w14:paraId="48A78F3D" w14:textId="77777777" w:rsidR="00412396" w:rsidRDefault="00412396" w:rsidP="00412396">
      <w:pPr>
        <w:pStyle w:val="Heading4"/>
      </w:pPr>
      <w:r>
        <w:t>TDL-C 600 nsec</w:t>
      </w:r>
    </w:p>
    <w:p w14:paraId="5F2EE336" w14:textId="77777777" w:rsidR="00412396" w:rsidRPr="001227DE" w:rsidRDefault="00412396" w:rsidP="00412396">
      <w:pPr>
        <w:jc w:val="center"/>
        <w:rPr>
          <w:lang w:val="en-GB"/>
        </w:rPr>
      </w:pPr>
      <w:r w:rsidRPr="001227DE">
        <w:rPr>
          <w:noProof/>
        </w:rPr>
        <w:drawing>
          <wp:inline distT="0" distB="0" distL="0" distR="0" wp14:anchorId="394CFB38" wp14:editId="594E74D3">
            <wp:extent cx="4413631" cy="2049987"/>
            <wp:effectExtent l="0" t="0" r="6350" b="7620"/>
            <wp:docPr id="153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3" name="Picture 2"/>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43862" cy="2064028"/>
                    </a:xfrm>
                    <a:prstGeom prst="rect">
                      <a:avLst/>
                    </a:prstGeom>
                    <a:noFill/>
                    <a:ln>
                      <a:noFill/>
                    </a:ln>
                    <a:extLst/>
                  </pic:spPr>
                </pic:pic>
              </a:graphicData>
            </a:graphic>
          </wp:inline>
        </w:drawing>
      </w:r>
    </w:p>
    <w:p w14:paraId="24CF7678" w14:textId="77777777" w:rsidR="00412396" w:rsidRPr="001227DE" w:rsidRDefault="00412396" w:rsidP="00412396">
      <w:pPr>
        <w:pStyle w:val="Heading4"/>
      </w:pPr>
      <w:r>
        <w:lastRenderedPageBreak/>
        <w:t>TDL-C 1000 nsec</w:t>
      </w:r>
    </w:p>
    <w:p w14:paraId="47798612" w14:textId="5C270A33" w:rsidR="00412396" w:rsidRPr="00412396" w:rsidRDefault="00412396" w:rsidP="00412396">
      <w:pPr>
        <w:pStyle w:val="Caption"/>
        <w:keepNext/>
        <w:rPr>
          <w:lang w:val="en-GB"/>
        </w:rPr>
      </w:pPr>
      <w:r w:rsidRPr="001227DE">
        <w:rPr>
          <w:noProof/>
        </w:rPr>
        <w:drawing>
          <wp:inline distT="0" distB="0" distL="0" distR="0" wp14:anchorId="31E4A88E" wp14:editId="2C232AA0">
            <wp:extent cx="4619940" cy="2145811"/>
            <wp:effectExtent l="0" t="0" r="9525" b="6985"/>
            <wp:docPr id="81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 name="Picture 2"/>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41399" cy="2155778"/>
                    </a:xfrm>
                    <a:prstGeom prst="rect">
                      <a:avLst/>
                    </a:prstGeom>
                    <a:noFill/>
                    <a:ln>
                      <a:noFill/>
                    </a:ln>
                    <a:extLst/>
                  </pic:spPr>
                </pic:pic>
              </a:graphicData>
            </a:graphic>
          </wp:inline>
        </w:drawing>
      </w:r>
      <w:r>
        <w:rPr>
          <w:lang w:val="en-GB"/>
        </w:rPr>
        <w:t xml:space="preserve">         </w:t>
      </w:r>
    </w:p>
    <w:p w14:paraId="3B56EDAE" w14:textId="7609AC4F" w:rsidR="001227DE" w:rsidRDefault="00D54964" w:rsidP="00D00C0C">
      <w:pPr>
        <w:pStyle w:val="Heading4"/>
      </w:pPr>
      <w:r>
        <w:t xml:space="preserve">TDL-A </w:t>
      </w:r>
      <w:r w:rsidR="001227DE">
        <w:t>300 nsec</w:t>
      </w:r>
    </w:p>
    <w:p w14:paraId="10E910C5" w14:textId="77777777" w:rsidR="001227DE" w:rsidRPr="001227DE" w:rsidRDefault="001227DE" w:rsidP="001227DE">
      <w:pPr>
        <w:jc w:val="center"/>
        <w:rPr>
          <w:lang w:val="en-GB"/>
        </w:rPr>
      </w:pPr>
      <w:r w:rsidRPr="001227DE">
        <w:rPr>
          <w:noProof/>
        </w:rPr>
        <w:drawing>
          <wp:inline distT="0" distB="0" distL="0" distR="0" wp14:anchorId="2B3F0F5E" wp14:editId="6579C21E">
            <wp:extent cx="4381552" cy="2035087"/>
            <wp:effectExtent l="0" t="0" r="0" b="3810"/>
            <wp:docPr id="71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2"/>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95783" cy="2041697"/>
                    </a:xfrm>
                    <a:prstGeom prst="rect">
                      <a:avLst/>
                    </a:prstGeom>
                    <a:noFill/>
                    <a:ln>
                      <a:noFill/>
                    </a:ln>
                    <a:extLst/>
                  </pic:spPr>
                </pic:pic>
              </a:graphicData>
            </a:graphic>
          </wp:inline>
        </w:drawing>
      </w:r>
    </w:p>
    <w:p w14:paraId="5834FFE6" w14:textId="31FB99B9" w:rsidR="001227DE" w:rsidRDefault="00D54964" w:rsidP="00D00C0C">
      <w:pPr>
        <w:pStyle w:val="Heading4"/>
      </w:pPr>
      <w:r>
        <w:t xml:space="preserve">TDL-A </w:t>
      </w:r>
      <w:r w:rsidR="001227DE">
        <w:t>600 nsec</w:t>
      </w:r>
    </w:p>
    <w:p w14:paraId="044A0C73" w14:textId="77777777" w:rsidR="001227DE" w:rsidRPr="001227DE" w:rsidRDefault="001227DE" w:rsidP="001227DE">
      <w:pPr>
        <w:jc w:val="center"/>
        <w:rPr>
          <w:lang w:val="en-GB"/>
        </w:rPr>
      </w:pPr>
      <w:r w:rsidRPr="001227DE">
        <w:rPr>
          <w:noProof/>
        </w:rPr>
        <w:drawing>
          <wp:inline distT="0" distB="0" distL="0" distR="0" wp14:anchorId="266D3CB2" wp14:editId="1AA8FB35">
            <wp:extent cx="4306091" cy="2000038"/>
            <wp:effectExtent l="0" t="0" r="0" b="635"/>
            <wp:docPr id="30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29999" cy="2011142"/>
                    </a:xfrm>
                    <a:prstGeom prst="rect">
                      <a:avLst/>
                    </a:prstGeom>
                    <a:noFill/>
                    <a:ln>
                      <a:noFill/>
                    </a:ln>
                    <a:extLst/>
                  </pic:spPr>
                </pic:pic>
              </a:graphicData>
            </a:graphic>
          </wp:inline>
        </w:drawing>
      </w:r>
    </w:p>
    <w:p w14:paraId="27CC4EDA" w14:textId="1C4521AE" w:rsidR="001227DE" w:rsidRPr="001227DE" w:rsidRDefault="00D54964" w:rsidP="00D00C0C">
      <w:pPr>
        <w:pStyle w:val="Heading4"/>
      </w:pPr>
      <w:r>
        <w:lastRenderedPageBreak/>
        <w:t xml:space="preserve">TDL-A </w:t>
      </w:r>
      <w:r w:rsidR="001227DE">
        <w:t>1000 nsec</w:t>
      </w:r>
    </w:p>
    <w:p w14:paraId="63F9C813" w14:textId="77777777" w:rsidR="001227DE" w:rsidRPr="00B37D79" w:rsidRDefault="001227DE" w:rsidP="001227DE">
      <w:pPr>
        <w:jc w:val="center"/>
        <w:rPr>
          <w:lang w:val="en-GB"/>
        </w:rPr>
      </w:pPr>
      <w:r w:rsidRPr="001227DE">
        <w:rPr>
          <w:noProof/>
        </w:rPr>
        <w:drawing>
          <wp:inline distT="0" distB="0" distL="0" distR="0" wp14:anchorId="6AD79763" wp14:editId="19B4F5A8">
            <wp:extent cx="4285438" cy="1990445"/>
            <wp:effectExtent l="0" t="0" r="1270" b="0"/>
            <wp:docPr id="61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2"/>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03613" cy="1998887"/>
                    </a:xfrm>
                    <a:prstGeom prst="rect">
                      <a:avLst/>
                    </a:prstGeom>
                    <a:noFill/>
                    <a:ln>
                      <a:noFill/>
                    </a:ln>
                    <a:extLst/>
                  </pic:spPr>
                </pic:pic>
              </a:graphicData>
            </a:graphic>
          </wp:inline>
        </w:drawing>
      </w:r>
    </w:p>
    <w:p w14:paraId="68D7859A" w14:textId="6C2ABE02" w:rsidR="001227DE" w:rsidRDefault="00D54964" w:rsidP="00D54964">
      <w:pPr>
        <w:pStyle w:val="Heading4"/>
      </w:pPr>
      <w:r>
        <w:t xml:space="preserve">TDL-B </w:t>
      </w:r>
      <w:r w:rsidR="001227DE">
        <w:t>300 nsec</w:t>
      </w:r>
    </w:p>
    <w:p w14:paraId="2F2D477B" w14:textId="77777777" w:rsidR="001227DE" w:rsidRPr="001227DE" w:rsidRDefault="001227DE" w:rsidP="001227DE">
      <w:pPr>
        <w:jc w:val="center"/>
        <w:rPr>
          <w:lang w:val="en-GB"/>
        </w:rPr>
      </w:pPr>
      <w:r w:rsidRPr="001227DE">
        <w:rPr>
          <w:noProof/>
        </w:rPr>
        <w:drawing>
          <wp:inline distT="0" distB="0" distL="0" distR="0" wp14:anchorId="4AE0055F" wp14:editId="0BE89228">
            <wp:extent cx="4437939" cy="2061276"/>
            <wp:effectExtent l="0" t="0" r="1270" b="0"/>
            <wp:docPr id="4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446435" cy="2065222"/>
                    </a:xfrm>
                    <a:prstGeom prst="rect">
                      <a:avLst/>
                    </a:prstGeom>
                    <a:noFill/>
                    <a:ln>
                      <a:noFill/>
                    </a:ln>
                    <a:extLst/>
                  </pic:spPr>
                </pic:pic>
              </a:graphicData>
            </a:graphic>
          </wp:inline>
        </w:drawing>
      </w:r>
    </w:p>
    <w:p w14:paraId="771BF327" w14:textId="68F558F8" w:rsidR="001227DE" w:rsidRDefault="00D54964" w:rsidP="00D54964">
      <w:pPr>
        <w:pStyle w:val="Heading4"/>
      </w:pPr>
      <w:r>
        <w:t xml:space="preserve">TDL-B </w:t>
      </w:r>
      <w:r w:rsidR="001227DE">
        <w:t>600 nsec</w:t>
      </w:r>
    </w:p>
    <w:p w14:paraId="064C0539" w14:textId="77777777" w:rsidR="001227DE" w:rsidRPr="001227DE" w:rsidRDefault="001227DE" w:rsidP="001227DE">
      <w:pPr>
        <w:jc w:val="center"/>
        <w:rPr>
          <w:lang w:val="en-GB"/>
        </w:rPr>
      </w:pPr>
      <w:r w:rsidRPr="001227DE">
        <w:rPr>
          <w:noProof/>
        </w:rPr>
        <w:drawing>
          <wp:inline distT="0" distB="0" distL="0" distR="0" wp14:anchorId="64AA1842" wp14:editId="3E612F68">
            <wp:extent cx="4503761" cy="2091850"/>
            <wp:effectExtent l="0" t="0" r="0" b="3810"/>
            <wp:docPr id="20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2"/>
                    <pic:cNvPicPr>
                      <a:picLocks noChangeAspect="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07710" cy="2093684"/>
                    </a:xfrm>
                    <a:prstGeom prst="rect">
                      <a:avLst/>
                    </a:prstGeom>
                    <a:noFill/>
                    <a:ln>
                      <a:noFill/>
                    </a:ln>
                    <a:extLst/>
                  </pic:spPr>
                </pic:pic>
              </a:graphicData>
            </a:graphic>
          </wp:inline>
        </w:drawing>
      </w:r>
    </w:p>
    <w:p w14:paraId="2D711E78" w14:textId="16A7E09F" w:rsidR="001227DE" w:rsidRPr="001227DE" w:rsidRDefault="00D54964" w:rsidP="00D54964">
      <w:pPr>
        <w:pStyle w:val="Heading4"/>
      </w:pPr>
      <w:r>
        <w:lastRenderedPageBreak/>
        <w:t xml:space="preserve">TDL-B </w:t>
      </w:r>
      <w:r w:rsidR="001227DE">
        <w:t>1000 nsec</w:t>
      </w:r>
    </w:p>
    <w:p w14:paraId="217C7890" w14:textId="3A82D030" w:rsidR="00D54964" w:rsidRDefault="001227DE" w:rsidP="00412396">
      <w:pPr>
        <w:jc w:val="center"/>
      </w:pPr>
      <w:r w:rsidRPr="001227DE">
        <w:rPr>
          <w:noProof/>
        </w:rPr>
        <w:drawing>
          <wp:inline distT="0" distB="0" distL="0" distR="0" wp14:anchorId="5A904444" wp14:editId="76A75609">
            <wp:extent cx="4383290" cy="2035895"/>
            <wp:effectExtent l="0" t="0" r="0" b="2540"/>
            <wp:docPr id="92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 name="Picture 2"/>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393912" cy="2040829"/>
                    </a:xfrm>
                    <a:prstGeom prst="rect">
                      <a:avLst/>
                    </a:prstGeom>
                    <a:noFill/>
                    <a:ln>
                      <a:noFill/>
                    </a:ln>
                    <a:extLst/>
                  </pic:spPr>
                </pic:pic>
              </a:graphicData>
            </a:graphic>
          </wp:inline>
        </w:drawing>
      </w:r>
      <w:r w:rsidR="00D54964">
        <w:t>3 half symbol DMRS</w:t>
      </w:r>
    </w:p>
    <w:p w14:paraId="40A117FA" w14:textId="7B523FBD" w:rsidR="004A71AA" w:rsidRDefault="004A71AA" w:rsidP="004A71AA">
      <w:pPr>
        <w:rPr>
          <w:noProof/>
        </w:rPr>
      </w:pPr>
      <w:r>
        <w:rPr>
          <w:noProof/>
        </w:rPr>
        <w:drawing>
          <wp:inline distT="0" distB="0" distL="0" distR="0" wp14:anchorId="36A5919A" wp14:editId="4B50AEC8">
            <wp:extent cx="1862586" cy="1361574"/>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869339" cy="1366510"/>
                    </a:xfrm>
                    <a:prstGeom prst="rect">
                      <a:avLst/>
                    </a:prstGeom>
                  </pic:spPr>
                </pic:pic>
              </a:graphicData>
            </a:graphic>
          </wp:inline>
        </w:drawing>
      </w:r>
      <w:r>
        <w:rPr>
          <w:lang w:val="en-GB"/>
        </w:rPr>
        <w:t xml:space="preserve">  </w:t>
      </w:r>
      <w:r w:rsidR="00281F2C">
        <w:rPr>
          <w:lang w:val="en-GB"/>
        </w:rPr>
        <w:tab/>
      </w:r>
      <w:r>
        <w:rPr>
          <w:noProof/>
        </w:rPr>
        <w:drawing>
          <wp:inline distT="0" distB="0" distL="0" distR="0" wp14:anchorId="76B913E6" wp14:editId="2D41DD25">
            <wp:extent cx="1739540" cy="133403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751684" cy="1343352"/>
                    </a:xfrm>
                    <a:prstGeom prst="rect">
                      <a:avLst/>
                    </a:prstGeom>
                  </pic:spPr>
                </pic:pic>
              </a:graphicData>
            </a:graphic>
          </wp:inline>
        </w:drawing>
      </w:r>
      <w:r w:rsidR="00281F2C">
        <w:rPr>
          <w:lang w:val="en-GB"/>
        </w:rPr>
        <w:tab/>
      </w:r>
      <w:r w:rsidR="00281F2C" w:rsidRPr="00281F2C">
        <w:rPr>
          <w:noProof/>
        </w:rPr>
        <w:t xml:space="preserve"> </w:t>
      </w:r>
      <w:r w:rsidR="00281F2C">
        <w:rPr>
          <w:noProof/>
        </w:rPr>
        <w:tab/>
      </w:r>
      <w:r w:rsidR="00281F2C">
        <w:rPr>
          <w:noProof/>
        </w:rPr>
        <w:drawing>
          <wp:inline distT="0" distB="0" distL="0" distR="0" wp14:anchorId="2513C072" wp14:editId="00ADDD11">
            <wp:extent cx="1600409" cy="132181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613123" cy="1332320"/>
                    </a:xfrm>
                    <a:prstGeom prst="rect">
                      <a:avLst/>
                    </a:prstGeom>
                  </pic:spPr>
                </pic:pic>
              </a:graphicData>
            </a:graphic>
          </wp:inline>
        </w:drawing>
      </w:r>
    </w:p>
    <w:p w14:paraId="794586D3" w14:textId="1F46338B" w:rsidR="00281F2C" w:rsidRPr="004A71AA" w:rsidRDefault="00281F2C" w:rsidP="004A71AA">
      <w:pPr>
        <w:rPr>
          <w:lang w:val="en-GB"/>
        </w:rPr>
      </w:pPr>
      <w:r>
        <w:rPr>
          <w:noProof/>
        </w:rPr>
        <w:tab/>
      </w:r>
      <w:r>
        <w:rPr>
          <w:noProof/>
        </w:rPr>
        <w:tab/>
        <w:t>NCP</w:t>
      </w:r>
      <w:r>
        <w:rPr>
          <w:noProof/>
        </w:rPr>
        <w:tab/>
      </w:r>
      <w:r>
        <w:rPr>
          <w:noProof/>
        </w:rPr>
        <w:tab/>
      </w:r>
      <w:r>
        <w:rPr>
          <w:noProof/>
        </w:rPr>
        <w:tab/>
      </w:r>
      <w:r>
        <w:rPr>
          <w:noProof/>
        </w:rPr>
        <w:tab/>
      </w:r>
      <w:r>
        <w:rPr>
          <w:noProof/>
        </w:rPr>
        <w:tab/>
      </w:r>
      <w:r>
        <w:rPr>
          <w:noProof/>
        </w:rPr>
        <w:tab/>
        <w:t>ECP13</w:t>
      </w:r>
      <w:r>
        <w:rPr>
          <w:noProof/>
        </w:rPr>
        <w:tab/>
      </w:r>
      <w:r>
        <w:rPr>
          <w:noProof/>
        </w:rPr>
        <w:tab/>
      </w:r>
      <w:r>
        <w:rPr>
          <w:noProof/>
        </w:rPr>
        <w:tab/>
      </w:r>
      <w:r>
        <w:rPr>
          <w:noProof/>
        </w:rPr>
        <w:tab/>
      </w:r>
      <w:r>
        <w:rPr>
          <w:noProof/>
        </w:rPr>
        <w:tab/>
      </w:r>
      <w:r>
        <w:rPr>
          <w:noProof/>
        </w:rPr>
        <w:tab/>
        <w:t>ECP12</w:t>
      </w:r>
    </w:p>
    <w:p w14:paraId="023C62B1" w14:textId="26248FE1" w:rsidR="00D54964" w:rsidRDefault="00D54964" w:rsidP="00DB099D">
      <w:pPr>
        <w:pStyle w:val="Heading4"/>
      </w:pPr>
      <w:r>
        <w:t>TDL-A 300 nsec</w:t>
      </w:r>
    </w:p>
    <w:p w14:paraId="61A2D4F9" w14:textId="699C91E3" w:rsidR="00D54964" w:rsidRPr="00D54964" w:rsidRDefault="00D54964" w:rsidP="00815F15">
      <w:pPr>
        <w:jc w:val="center"/>
        <w:rPr>
          <w:lang w:val="en-GB"/>
        </w:rPr>
      </w:pPr>
      <w:r w:rsidRPr="00D54964">
        <w:rPr>
          <w:noProof/>
        </w:rPr>
        <w:drawing>
          <wp:inline distT="0" distB="0" distL="0" distR="0" wp14:anchorId="3695AF32" wp14:editId="547CE092">
            <wp:extent cx="4899547" cy="2275679"/>
            <wp:effectExtent l="0" t="0" r="0" b="0"/>
            <wp:docPr id="133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 name="Picture 2"/>
                    <pic:cNvPicPr>
                      <a:picLocks noChangeAspect="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907353" cy="2279305"/>
                    </a:xfrm>
                    <a:prstGeom prst="rect">
                      <a:avLst/>
                    </a:prstGeom>
                    <a:noFill/>
                    <a:ln>
                      <a:noFill/>
                    </a:ln>
                    <a:extLst/>
                  </pic:spPr>
                </pic:pic>
              </a:graphicData>
            </a:graphic>
          </wp:inline>
        </w:drawing>
      </w:r>
    </w:p>
    <w:p w14:paraId="47CD64DC" w14:textId="321A03E5" w:rsidR="00D54964" w:rsidRDefault="00D00C0C" w:rsidP="00D00C0C">
      <w:pPr>
        <w:pStyle w:val="Heading4"/>
      </w:pPr>
      <w:r>
        <w:lastRenderedPageBreak/>
        <w:t xml:space="preserve">TDL-B </w:t>
      </w:r>
      <w:r w:rsidR="00D54964">
        <w:t>300 nsec</w:t>
      </w:r>
    </w:p>
    <w:p w14:paraId="2DA31953" w14:textId="7253AE0B" w:rsidR="00D54964" w:rsidRPr="00D54964" w:rsidRDefault="00D54964" w:rsidP="00815F15">
      <w:pPr>
        <w:jc w:val="center"/>
        <w:rPr>
          <w:lang w:val="en-GB"/>
        </w:rPr>
      </w:pPr>
      <w:r w:rsidRPr="00D54964">
        <w:rPr>
          <w:noProof/>
        </w:rPr>
        <w:drawing>
          <wp:inline distT="0" distB="0" distL="0" distR="0" wp14:anchorId="0F48D562" wp14:editId="62BB7349">
            <wp:extent cx="4749421" cy="2205951"/>
            <wp:effectExtent l="0" t="0" r="0" b="4445"/>
            <wp:docPr id="174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1" name="Picture 2"/>
                    <pic:cNvPicPr>
                      <a:picLocks noChangeAspect="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57366" cy="2209641"/>
                    </a:xfrm>
                    <a:prstGeom prst="rect">
                      <a:avLst/>
                    </a:prstGeom>
                    <a:noFill/>
                    <a:ln>
                      <a:noFill/>
                    </a:ln>
                    <a:extLst/>
                  </pic:spPr>
                </pic:pic>
              </a:graphicData>
            </a:graphic>
          </wp:inline>
        </w:drawing>
      </w:r>
    </w:p>
    <w:p w14:paraId="1E4F93E4" w14:textId="2A5EDE0C" w:rsidR="00D54964" w:rsidRDefault="00D00C0C" w:rsidP="00D00C0C">
      <w:pPr>
        <w:pStyle w:val="Heading4"/>
      </w:pPr>
      <w:r>
        <w:t xml:space="preserve">TDL-C </w:t>
      </w:r>
      <w:r w:rsidR="00D54964">
        <w:t>300 nsec</w:t>
      </w:r>
    </w:p>
    <w:p w14:paraId="4B51F251" w14:textId="31077379" w:rsidR="001D5A21" w:rsidRPr="00357577" w:rsidRDefault="00D54964" w:rsidP="001D5A21">
      <w:pPr>
        <w:jc w:val="center"/>
        <w:rPr>
          <w:lang w:val="en-GB"/>
        </w:rPr>
      </w:pPr>
      <w:r w:rsidRPr="00D54964">
        <w:rPr>
          <w:noProof/>
        </w:rPr>
        <w:drawing>
          <wp:inline distT="0" distB="0" distL="0" distR="0" wp14:anchorId="7CD5779A" wp14:editId="4E5B7DDF">
            <wp:extent cx="4517409" cy="2098189"/>
            <wp:effectExtent l="0" t="0" r="0" b="0"/>
            <wp:docPr id="122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 name="Picture 2"/>
                    <pic:cNvPicPr>
                      <a:picLocks noChangeAspect="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24172" cy="2101330"/>
                    </a:xfrm>
                    <a:prstGeom prst="rect">
                      <a:avLst/>
                    </a:prstGeom>
                    <a:noFill/>
                    <a:ln>
                      <a:noFill/>
                    </a:ln>
                    <a:extLst/>
                  </pic:spPr>
                </pic:pic>
              </a:graphicData>
            </a:graphic>
          </wp:inline>
        </w:drawing>
      </w:r>
    </w:p>
    <w:p w14:paraId="6612E87B" w14:textId="6B919D4D" w:rsidR="00357577" w:rsidRPr="00357577" w:rsidRDefault="00357577" w:rsidP="00815F15">
      <w:pPr>
        <w:jc w:val="center"/>
        <w:rPr>
          <w:lang w:val="en-GB"/>
        </w:rPr>
      </w:pPr>
    </w:p>
    <w:sectPr w:rsidR="00357577" w:rsidRPr="00357577">
      <w:foot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810E49" w14:textId="77777777" w:rsidR="00527DB5" w:rsidRDefault="00527DB5">
      <w:r>
        <w:separator/>
      </w:r>
    </w:p>
  </w:endnote>
  <w:endnote w:type="continuationSeparator" w:id="0">
    <w:p w14:paraId="440E67F4" w14:textId="77777777" w:rsidR="00527DB5" w:rsidRDefault="00527DB5">
      <w:r>
        <w:continuationSeparator/>
      </w:r>
    </w:p>
  </w:endnote>
  <w:endnote w:type="continuationNotice" w:id="1">
    <w:p w14:paraId="3CACDB68" w14:textId="77777777" w:rsidR="00527DB5" w:rsidRDefault="00527D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43252514"/>
      <w:docPartObj>
        <w:docPartGallery w:val="Page Numbers (Bottom of Page)"/>
        <w:docPartUnique/>
      </w:docPartObj>
    </w:sdtPr>
    <w:sdtEndPr>
      <w:rPr>
        <w:noProof/>
      </w:rPr>
    </w:sdtEndPr>
    <w:sdtContent>
      <w:p w14:paraId="0E2BF03F" w14:textId="5D91B56B" w:rsidR="005C0B87" w:rsidRDefault="005C0B87">
        <w:pPr>
          <w:pStyle w:val="Footer"/>
        </w:pPr>
        <w:r>
          <w:rPr>
            <w:noProof w:val="0"/>
          </w:rPr>
          <w:fldChar w:fldCharType="begin"/>
        </w:r>
        <w:r>
          <w:instrText xml:space="preserve"> PAGE   \* MERGEFORMAT </w:instrText>
        </w:r>
        <w:r>
          <w:rPr>
            <w:noProof w:val="0"/>
          </w:rPr>
          <w:fldChar w:fldCharType="separate"/>
        </w:r>
        <w:r w:rsidR="0030582F">
          <w:t>4</w:t>
        </w:r>
        <w:r>
          <w:fldChar w:fldCharType="end"/>
        </w:r>
      </w:p>
    </w:sdtContent>
  </w:sdt>
  <w:p w14:paraId="20F38E1E" w14:textId="77777777" w:rsidR="005C0B87" w:rsidRDefault="005C0B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0B365" w14:textId="77777777" w:rsidR="00527DB5" w:rsidRDefault="00527DB5">
      <w:r>
        <w:separator/>
      </w:r>
    </w:p>
  </w:footnote>
  <w:footnote w:type="continuationSeparator" w:id="0">
    <w:p w14:paraId="54CBCA98" w14:textId="77777777" w:rsidR="00527DB5" w:rsidRDefault="00527DB5">
      <w:r>
        <w:continuationSeparator/>
      </w:r>
    </w:p>
  </w:footnote>
  <w:footnote w:type="continuationNotice" w:id="1">
    <w:p w14:paraId="01714C73" w14:textId="77777777" w:rsidR="00527DB5" w:rsidRDefault="00527DB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3.95pt;height:13.95pt" o:bullet="t">
        <v:imagedata r:id="rId1" o:title="art15ED"/>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E435BB"/>
    <w:multiLevelType w:val="hybridMultilevel"/>
    <w:tmpl w:val="EE303496"/>
    <w:lvl w:ilvl="0" w:tplc="CB82B09C">
      <w:start w:val="1"/>
      <w:numFmt w:val="bullet"/>
      <w:lvlText w:val="•"/>
      <w:lvlJc w:val="left"/>
      <w:pPr>
        <w:tabs>
          <w:tab w:val="num" w:pos="720"/>
        </w:tabs>
        <w:ind w:left="720" w:hanging="360"/>
      </w:pPr>
      <w:rPr>
        <w:rFonts w:ascii="Arial" w:hAnsi="Arial" w:hint="default"/>
      </w:rPr>
    </w:lvl>
    <w:lvl w:ilvl="1" w:tplc="DEA89106">
      <w:start w:val="62"/>
      <w:numFmt w:val="bullet"/>
      <w:lvlText w:val="•"/>
      <w:lvlJc w:val="left"/>
      <w:pPr>
        <w:tabs>
          <w:tab w:val="num" w:pos="1440"/>
        </w:tabs>
        <w:ind w:left="1440" w:hanging="360"/>
      </w:pPr>
      <w:rPr>
        <w:rFonts w:ascii="Arial" w:hAnsi="Arial" w:hint="default"/>
      </w:rPr>
    </w:lvl>
    <w:lvl w:ilvl="2" w:tplc="F620ADB4" w:tentative="1">
      <w:start w:val="1"/>
      <w:numFmt w:val="bullet"/>
      <w:lvlText w:val="•"/>
      <w:lvlJc w:val="left"/>
      <w:pPr>
        <w:tabs>
          <w:tab w:val="num" w:pos="2160"/>
        </w:tabs>
        <w:ind w:left="2160" w:hanging="360"/>
      </w:pPr>
      <w:rPr>
        <w:rFonts w:ascii="Arial" w:hAnsi="Arial" w:hint="default"/>
      </w:rPr>
    </w:lvl>
    <w:lvl w:ilvl="3" w:tplc="6060A72C" w:tentative="1">
      <w:start w:val="1"/>
      <w:numFmt w:val="bullet"/>
      <w:lvlText w:val="•"/>
      <w:lvlJc w:val="left"/>
      <w:pPr>
        <w:tabs>
          <w:tab w:val="num" w:pos="2880"/>
        </w:tabs>
        <w:ind w:left="2880" w:hanging="360"/>
      </w:pPr>
      <w:rPr>
        <w:rFonts w:ascii="Arial" w:hAnsi="Arial" w:hint="default"/>
      </w:rPr>
    </w:lvl>
    <w:lvl w:ilvl="4" w:tplc="BA780D16" w:tentative="1">
      <w:start w:val="1"/>
      <w:numFmt w:val="bullet"/>
      <w:lvlText w:val="•"/>
      <w:lvlJc w:val="left"/>
      <w:pPr>
        <w:tabs>
          <w:tab w:val="num" w:pos="3600"/>
        </w:tabs>
        <w:ind w:left="3600" w:hanging="360"/>
      </w:pPr>
      <w:rPr>
        <w:rFonts w:ascii="Arial" w:hAnsi="Arial" w:hint="default"/>
      </w:rPr>
    </w:lvl>
    <w:lvl w:ilvl="5" w:tplc="7CD8C798" w:tentative="1">
      <w:start w:val="1"/>
      <w:numFmt w:val="bullet"/>
      <w:lvlText w:val="•"/>
      <w:lvlJc w:val="left"/>
      <w:pPr>
        <w:tabs>
          <w:tab w:val="num" w:pos="4320"/>
        </w:tabs>
        <w:ind w:left="4320" w:hanging="360"/>
      </w:pPr>
      <w:rPr>
        <w:rFonts w:ascii="Arial" w:hAnsi="Arial" w:hint="default"/>
      </w:rPr>
    </w:lvl>
    <w:lvl w:ilvl="6" w:tplc="A8DA46DE" w:tentative="1">
      <w:start w:val="1"/>
      <w:numFmt w:val="bullet"/>
      <w:lvlText w:val="•"/>
      <w:lvlJc w:val="left"/>
      <w:pPr>
        <w:tabs>
          <w:tab w:val="num" w:pos="5040"/>
        </w:tabs>
        <w:ind w:left="5040" w:hanging="360"/>
      </w:pPr>
      <w:rPr>
        <w:rFonts w:ascii="Arial" w:hAnsi="Arial" w:hint="default"/>
      </w:rPr>
    </w:lvl>
    <w:lvl w:ilvl="7" w:tplc="045A5670" w:tentative="1">
      <w:start w:val="1"/>
      <w:numFmt w:val="bullet"/>
      <w:lvlText w:val="•"/>
      <w:lvlJc w:val="left"/>
      <w:pPr>
        <w:tabs>
          <w:tab w:val="num" w:pos="5760"/>
        </w:tabs>
        <w:ind w:left="5760" w:hanging="360"/>
      </w:pPr>
      <w:rPr>
        <w:rFonts w:ascii="Arial" w:hAnsi="Arial" w:hint="default"/>
      </w:rPr>
    </w:lvl>
    <w:lvl w:ilvl="8" w:tplc="6ACA50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40BCDF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0E1D5E"/>
    <w:multiLevelType w:val="hybridMultilevel"/>
    <w:tmpl w:val="A6186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00150"/>
    <w:multiLevelType w:val="hybridMultilevel"/>
    <w:tmpl w:val="C2FCE6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1F098B"/>
    <w:multiLevelType w:val="hybridMultilevel"/>
    <w:tmpl w:val="AE801A68"/>
    <w:lvl w:ilvl="0" w:tplc="50B6B31A">
      <w:start w:val="1"/>
      <w:numFmt w:val="bullet"/>
      <w:lvlText w:val="−"/>
      <w:lvlJc w:val="left"/>
      <w:pPr>
        <w:tabs>
          <w:tab w:val="num" w:pos="360"/>
        </w:tabs>
        <w:ind w:left="360" w:hanging="360"/>
      </w:pPr>
      <w:rPr>
        <w:rFonts w:ascii="Calibre Regular" w:hAnsi="Calibre Regular" w:hint="default"/>
      </w:rPr>
    </w:lvl>
    <w:lvl w:ilvl="1" w:tplc="761EE5C8">
      <w:start w:val="1"/>
      <w:numFmt w:val="bullet"/>
      <w:lvlText w:val="−"/>
      <w:lvlJc w:val="left"/>
      <w:pPr>
        <w:tabs>
          <w:tab w:val="num" w:pos="1080"/>
        </w:tabs>
        <w:ind w:left="1080" w:hanging="360"/>
      </w:pPr>
      <w:rPr>
        <w:rFonts w:ascii="Calibre Regular" w:hAnsi="Calibre Regular" w:hint="default"/>
      </w:rPr>
    </w:lvl>
    <w:lvl w:ilvl="2" w:tplc="D506FFF4">
      <w:start w:val="62"/>
      <w:numFmt w:val="bullet"/>
      <w:lvlText w:val="−"/>
      <w:lvlJc w:val="left"/>
      <w:pPr>
        <w:tabs>
          <w:tab w:val="num" w:pos="1800"/>
        </w:tabs>
        <w:ind w:left="1800" w:hanging="360"/>
      </w:pPr>
      <w:rPr>
        <w:rFonts w:ascii="Calibre Regular" w:hAnsi="Calibre Regular" w:hint="default"/>
      </w:rPr>
    </w:lvl>
    <w:lvl w:ilvl="3" w:tplc="01F098FA" w:tentative="1">
      <w:start w:val="1"/>
      <w:numFmt w:val="bullet"/>
      <w:lvlText w:val="−"/>
      <w:lvlJc w:val="left"/>
      <w:pPr>
        <w:tabs>
          <w:tab w:val="num" w:pos="2520"/>
        </w:tabs>
        <w:ind w:left="2520" w:hanging="360"/>
      </w:pPr>
      <w:rPr>
        <w:rFonts w:ascii="Calibre Regular" w:hAnsi="Calibre Regular" w:hint="default"/>
      </w:rPr>
    </w:lvl>
    <w:lvl w:ilvl="4" w:tplc="21C621FC" w:tentative="1">
      <w:start w:val="1"/>
      <w:numFmt w:val="bullet"/>
      <w:lvlText w:val="−"/>
      <w:lvlJc w:val="left"/>
      <w:pPr>
        <w:tabs>
          <w:tab w:val="num" w:pos="3240"/>
        </w:tabs>
        <w:ind w:left="3240" w:hanging="360"/>
      </w:pPr>
      <w:rPr>
        <w:rFonts w:ascii="Calibre Regular" w:hAnsi="Calibre Regular" w:hint="default"/>
      </w:rPr>
    </w:lvl>
    <w:lvl w:ilvl="5" w:tplc="1CEC13FE" w:tentative="1">
      <w:start w:val="1"/>
      <w:numFmt w:val="bullet"/>
      <w:lvlText w:val="−"/>
      <w:lvlJc w:val="left"/>
      <w:pPr>
        <w:tabs>
          <w:tab w:val="num" w:pos="3960"/>
        </w:tabs>
        <w:ind w:left="3960" w:hanging="360"/>
      </w:pPr>
      <w:rPr>
        <w:rFonts w:ascii="Calibre Regular" w:hAnsi="Calibre Regular" w:hint="default"/>
      </w:rPr>
    </w:lvl>
    <w:lvl w:ilvl="6" w:tplc="45D2E700" w:tentative="1">
      <w:start w:val="1"/>
      <w:numFmt w:val="bullet"/>
      <w:lvlText w:val="−"/>
      <w:lvlJc w:val="left"/>
      <w:pPr>
        <w:tabs>
          <w:tab w:val="num" w:pos="4680"/>
        </w:tabs>
        <w:ind w:left="4680" w:hanging="360"/>
      </w:pPr>
      <w:rPr>
        <w:rFonts w:ascii="Calibre Regular" w:hAnsi="Calibre Regular" w:hint="default"/>
      </w:rPr>
    </w:lvl>
    <w:lvl w:ilvl="7" w:tplc="7424EB2C" w:tentative="1">
      <w:start w:val="1"/>
      <w:numFmt w:val="bullet"/>
      <w:lvlText w:val="−"/>
      <w:lvlJc w:val="left"/>
      <w:pPr>
        <w:tabs>
          <w:tab w:val="num" w:pos="5400"/>
        </w:tabs>
        <w:ind w:left="5400" w:hanging="360"/>
      </w:pPr>
      <w:rPr>
        <w:rFonts w:ascii="Calibre Regular" w:hAnsi="Calibre Regular" w:hint="default"/>
      </w:rPr>
    </w:lvl>
    <w:lvl w:ilvl="8" w:tplc="B4D0FDA8" w:tentative="1">
      <w:start w:val="1"/>
      <w:numFmt w:val="bullet"/>
      <w:lvlText w:val="−"/>
      <w:lvlJc w:val="left"/>
      <w:pPr>
        <w:tabs>
          <w:tab w:val="num" w:pos="6120"/>
        </w:tabs>
        <w:ind w:left="6120" w:hanging="360"/>
      </w:pPr>
      <w:rPr>
        <w:rFonts w:ascii="Calibre Regular" w:hAnsi="Calibre Regular" w:hint="default"/>
      </w:rPr>
    </w:lvl>
  </w:abstractNum>
  <w:abstractNum w:abstractNumId="7" w15:restartNumberingAfterBreak="0">
    <w:nsid w:val="0FC76A3D"/>
    <w:multiLevelType w:val="hybridMultilevel"/>
    <w:tmpl w:val="F8CE8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217E3D"/>
    <w:multiLevelType w:val="hybridMultilevel"/>
    <w:tmpl w:val="969EA56A"/>
    <w:lvl w:ilvl="0" w:tplc="4134DA34">
      <w:start w:val="1"/>
      <w:numFmt w:val="bullet"/>
      <w:lvlText w:val=""/>
      <w:lvlPicBulletId w:val="0"/>
      <w:lvlJc w:val="left"/>
      <w:pPr>
        <w:tabs>
          <w:tab w:val="num" w:pos="720"/>
        </w:tabs>
        <w:ind w:left="720" w:hanging="360"/>
      </w:pPr>
      <w:rPr>
        <w:rFonts w:ascii="Symbol" w:hAnsi="Symbol" w:hint="default"/>
      </w:rPr>
    </w:lvl>
    <w:lvl w:ilvl="1" w:tplc="8F183858">
      <w:start w:val="62"/>
      <w:numFmt w:val="bullet"/>
      <w:lvlText w:val="−"/>
      <w:lvlJc w:val="left"/>
      <w:pPr>
        <w:tabs>
          <w:tab w:val="num" w:pos="1440"/>
        </w:tabs>
        <w:ind w:left="1440" w:hanging="360"/>
      </w:pPr>
      <w:rPr>
        <w:rFonts w:ascii="Calibre Regular" w:hAnsi="Calibre Regular" w:hint="default"/>
      </w:rPr>
    </w:lvl>
    <w:lvl w:ilvl="2" w:tplc="0F9AF308" w:tentative="1">
      <w:start w:val="1"/>
      <w:numFmt w:val="bullet"/>
      <w:lvlText w:val=""/>
      <w:lvlPicBulletId w:val="0"/>
      <w:lvlJc w:val="left"/>
      <w:pPr>
        <w:tabs>
          <w:tab w:val="num" w:pos="2160"/>
        </w:tabs>
        <w:ind w:left="2160" w:hanging="360"/>
      </w:pPr>
      <w:rPr>
        <w:rFonts w:ascii="Symbol" w:hAnsi="Symbol" w:hint="default"/>
      </w:rPr>
    </w:lvl>
    <w:lvl w:ilvl="3" w:tplc="25DCF22E" w:tentative="1">
      <w:start w:val="1"/>
      <w:numFmt w:val="bullet"/>
      <w:lvlText w:val=""/>
      <w:lvlPicBulletId w:val="0"/>
      <w:lvlJc w:val="left"/>
      <w:pPr>
        <w:tabs>
          <w:tab w:val="num" w:pos="2880"/>
        </w:tabs>
        <w:ind w:left="2880" w:hanging="360"/>
      </w:pPr>
      <w:rPr>
        <w:rFonts w:ascii="Symbol" w:hAnsi="Symbol" w:hint="default"/>
      </w:rPr>
    </w:lvl>
    <w:lvl w:ilvl="4" w:tplc="762E4AC6" w:tentative="1">
      <w:start w:val="1"/>
      <w:numFmt w:val="bullet"/>
      <w:lvlText w:val=""/>
      <w:lvlPicBulletId w:val="0"/>
      <w:lvlJc w:val="left"/>
      <w:pPr>
        <w:tabs>
          <w:tab w:val="num" w:pos="3600"/>
        </w:tabs>
        <w:ind w:left="3600" w:hanging="360"/>
      </w:pPr>
      <w:rPr>
        <w:rFonts w:ascii="Symbol" w:hAnsi="Symbol" w:hint="default"/>
      </w:rPr>
    </w:lvl>
    <w:lvl w:ilvl="5" w:tplc="0EF403EA" w:tentative="1">
      <w:start w:val="1"/>
      <w:numFmt w:val="bullet"/>
      <w:lvlText w:val=""/>
      <w:lvlPicBulletId w:val="0"/>
      <w:lvlJc w:val="left"/>
      <w:pPr>
        <w:tabs>
          <w:tab w:val="num" w:pos="4320"/>
        </w:tabs>
        <w:ind w:left="4320" w:hanging="360"/>
      </w:pPr>
      <w:rPr>
        <w:rFonts w:ascii="Symbol" w:hAnsi="Symbol" w:hint="default"/>
      </w:rPr>
    </w:lvl>
    <w:lvl w:ilvl="6" w:tplc="62D4EABC" w:tentative="1">
      <w:start w:val="1"/>
      <w:numFmt w:val="bullet"/>
      <w:lvlText w:val=""/>
      <w:lvlPicBulletId w:val="0"/>
      <w:lvlJc w:val="left"/>
      <w:pPr>
        <w:tabs>
          <w:tab w:val="num" w:pos="5040"/>
        </w:tabs>
        <w:ind w:left="5040" w:hanging="360"/>
      </w:pPr>
      <w:rPr>
        <w:rFonts w:ascii="Symbol" w:hAnsi="Symbol" w:hint="default"/>
      </w:rPr>
    </w:lvl>
    <w:lvl w:ilvl="7" w:tplc="DC1E06CA" w:tentative="1">
      <w:start w:val="1"/>
      <w:numFmt w:val="bullet"/>
      <w:lvlText w:val=""/>
      <w:lvlPicBulletId w:val="0"/>
      <w:lvlJc w:val="left"/>
      <w:pPr>
        <w:tabs>
          <w:tab w:val="num" w:pos="5760"/>
        </w:tabs>
        <w:ind w:left="5760" w:hanging="360"/>
      </w:pPr>
      <w:rPr>
        <w:rFonts w:ascii="Symbol" w:hAnsi="Symbol" w:hint="default"/>
      </w:rPr>
    </w:lvl>
    <w:lvl w:ilvl="8" w:tplc="F0242D6E"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8785678"/>
    <w:multiLevelType w:val="hybridMultilevel"/>
    <w:tmpl w:val="3642E3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5C1ECB"/>
    <w:multiLevelType w:val="hybridMultilevel"/>
    <w:tmpl w:val="FA08A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B035E5B"/>
    <w:multiLevelType w:val="hybridMultilevel"/>
    <w:tmpl w:val="25908424"/>
    <w:lvl w:ilvl="0" w:tplc="C1CAF34E">
      <w:start w:val="1"/>
      <w:numFmt w:val="bullet"/>
      <w:lvlText w:val="−"/>
      <w:lvlJc w:val="left"/>
      <w:pPr>
        <w:tabs>
          <w:tab w:val="num" w:pos="720"/>
        </w:tabs>
        <w:ind w:left="720" w:hanging="360"/>
      </w:pPr>
      <w:rPr>
        <w:rFonts w:ascii="Calibre Regular" w:hAnsi="Calibre Regular" w:hint="default"/>
      </w:rPr>
    </w:lvl>
    <w:lvl w:ilvl="1" w:tplc="8946A6AA">
      <w:start w:val="1"/>
      <w:numFmt w:val="bullet"/>
      <w:lvlText w:val="−"/>
      <w:lvlJc w:val="left"/>
      <w:pPr>
        <w:tabs>
          <w:tab w:val="num" w:pos="1440"/>
        </w:tabs>
        <w:ind w:left="1440" w:hanging="360"/>
      </w:pPr>
      <w:rPr>
        <w:rFonts w:ascii="Calibre Regular" w:hAnsi="Calibre Regular" w:hint="default"/>
      </w:rPr>
    </w:lvl>
    <w:lvl w:ilvl="2" w:tplc="40FEB46C" w:tentative="1">
      <w:start w:val="1"/>
      <w:numFmt w:val="bullet"/>
      <w:lvlText w:val="−"/>
      <w:lvlJc w:val="left"/>
      <w:pPr>
        <w:tabs>
          <w:tab w:val="num" w:pos="2160"/>
        </w:tabs>
        <w:ind w:left="2160" w:hanging="360"/>
      </w:pPr>
      <w:rPr>
        <w:rFonts w:ascii="Calibre Regular" w:hAnsi="Calibre Regular" w:hint="default"/>
      </w:rPr>
    </w:lvl>
    <w:lvl w:ilvl="3" w:tplc="274030A4" w:tentative="1">
      <w:start w:val="1"/>
      <w:numFmt w:val="bullet"/>
      <w:lvlText w:val="−"/>
      <w:lvlJc w:val="left"/>
      <w:pPr>
        <w:tabs>
          <w:tab w:val="num" w:pos="2880"/>
        </w:tabs>
        <w:ind w:left="2880" w:hanging="360"/>
      </w:pPr>
      <w:rPr>
        <w:rFonts w:ascii="Calibre Regular" w:hAnsi="Calibre Regular" w:hint="default"/>
      </w:rPr>
    </w:lvl>
    <w:lvl w:ilvl="4" w:tplc="88D6FF4E" w:tentative="1">
      <w:start w:val="1"/>
      <w:numFmt w:val="bullet"/>
      <w:lvlText w:val="−"/>
      <w:lvlJc w:val="left"/>
      <w:pPr>
        <w:tabs>
          <w:tab w:val="num" w:pos="3600"/>
        </w:tabs>
        <w:ind w:left="3600" w:hanging="360"/>
      </w:pPr>
      <w:rPr>
        <w:rFonts w:ascii="Calibre Regular" w:hAnsi="Calibre Regular" w:hint="default"/>
      </w:rPr>
    </w:lvl>
    <w:lvl w:ilvl="5" w:tplc="093A4A12" w:tentative="1">
      <w:start w:val="1"/>
      <w:numFmt w:val="bullet"/>
      <w:lvlText w:val="−"/>
      <w:lvlJc w:val="left"/>
      <w:pPr>
        <w:tabs>
          <w:tab w:val="num" w:pos="4320"/>
        </w:tabs>
        <w:ind w:left="4320" w:hanging="360"/>
      </w:pPr>
      <w:rPr>
        <w:rFonts w:ascii="Calibre Regular" w:hAnsi="Calibre Regular" w:hint="default"/>
      </w:rPr>
    </w:lvl>
    <w:lvl w:ilvl="6" w:tplc="2774F466" w:tentative="1">
      <w:start w:val="1"/>
      <w:numFmt w:val="bullet"/>
      <w:lvlText w:val="−"/>
      <w:lvlJc w:val="left"/>
      <w:pPr>
        <w:tabs>
          <w:tab w:val="num" w:pos="5040"/>
        </w:tabs>
        <w:ind w:left="5040" w:hanging="360"/>
      </w:pPr>
      <w:rPr>
        <w:rFonts w:ascii="Calibre Regular" w:hAnsi="Calibre Regular" w:hint="default"/>
      </w:rPr>
    </w:lvl>
    <w:lvl w:ilvl="7" w:tplc="ADD41004" w:tentative="1">
      <w:start w:val="1"/>
      <w:numFmt w:val="bullet"/>
      <w:lvlText w:val="−"/>
      <w:lvlJc w:val="left"/>
      <w:pPr>
        <w:tabs>
          <w:tab w:val="num" w:pos="5760"/>
        </w:tabs>
        <w:ind w:left="5760" w:hanging="360"/>
      </w:pPr>
      <w:rPr>
        <w:rFonts w:ascii="Calibre Regular" w:hAnsi="Calibre Regular" w:hint="default"/>
      </w:rPr>
    </w:lvl>
    <w:lvl w:ilvl="8" w:tplc="D70EC30A"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2BF20EFD"/>
    <w:multiLevelType w:val="hybridMultilevel"/>
    <w:tmpl w:val="5826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4160F"/>
    <w:multiLevelType w:val="hybridMultilevel"/>
    <w:tmpl w:val="CB60B898"/>
    <w:lvl w:ilvl="0" w:tplc="50622C34">
      <w:start w:val="1"/>
      <w:numFmt w:val="bullet"/>
      <w:lvlText w:val=""/>
      <w:lvlPicBulletId w:val="0"/>
      <w:lvlJc w:val="left"/>
      <w:pPr>
        <w:tabs>
          <w:tab w:val="num" w:pos="720"/>
        </w:tabs>
        <w:ind w:left="720" w:hanging="360"/>
      </w:pPr>
      <w:rPr>
        <w:rFonts w:ascii="Symbol" w:hAnsi="Symbol" w:hint="default"/>
      </w:rPr>
    </w:lvl>
    <w:lvl w:ilvl="1" w:tplc="1A6CF696">
      <w:start w:val="61"/>
      <w:numFmt w:val="bullet"/>
      <w:lvlText w:val="−"/>
      <w:lvlJc w:val="left"/>
      <w:pPr>
        <w:tabs>
          <w:tab w:val="num" w:pos="1440"/>
        </w:tabs>
        <w:ind w:left="1440" w:hanging="360"/>
      </w:pPr>
      <w:rPr>
        <w:rFonts w:ascii="Calibre Regular" w:hAnsi="Calibre Regular" w:hint="default"/>
      </w:rPr>
    </w:lvl>
    <w:lvl w:ilvl="2" w:tplc="91CE2FA2" w:tentative="1">
      <w:start w:val="1"/>
      <w:numFmt w:val="bullet"/>
      <w:lvlText w:val=""/>
      <w:lvlPicBulletId w:val="0"/>
      <w:lvlJc w:val="left"/>
      <w:pPr>
        <w:tabs>
          <w:tab w:val="num" w:pos="2160"/>
        </w:tabs>
        <w:ind w:left="2160" w:hanging="360"/>
      </w:pPr>
      <w:rPr>
        <w:rFonts w:ascii="Symbol" w:hAnsi="Symbol" w:hint="default"/>
      </w:rPr>
    </w:lvl>
    <w:lvl w:ilvl="3" w:tplc="B0D804E4" w:tentative="1">
      <w:start w:val="1"/>
      <w:numFmt w:val="bullet"/>
      <w:lvlText w:val=""/>
      <w:lvlPicBulletId w:val="0"/>
      <w:lvlJc w:val="left"/>
      <w:pPr>
        <w:tabs>
          <w:tab w:val="num" w:pos="2880"/>
        </w:tabs>
        <w:ind w:left="2880" w:hanging="360"/>
      </w:pPr>
      <w:rPr>
        <w:rFonts w:ascii="Symbol" w:hAnsi="Symbol" w:hint="default"/>
      </w:rPr>
    </w:lvl>
    <w:lvl w:ilvl="4" w:tplc="F4727074" w:tentative="1">
      <w:start w:val="1"/>
      <w:numFmt w:val="bullet"/>
      <w:lvlText w:val=""/>
      <w:lvlPicBulletId w:val="0"/>
      <w:lvlJc w:val="left"/>
      <w:pPr>
        <w:tabs>
          <w:tab w:val="num" w:pos="3600"/>
        </w:tabs>
        <w:ind w:left="3600" w:hanging="360"/>
      </w:pPr>
      <w:rPr>
        <w:rFonts w:ascii="Symbol" w:hAnsi="Symbol" w:hint="default"/>
      </w:rPr>
    </w:lvl>
    <w:lvl w:ilvl="5" w:tplc="8EFCF230" w:tentative="1">
      <w:start w:val="1"/>
      <w:numFmt w:val="bullet"/>
      <w:lvlText w:val=""/>
      <w:lvlPicBulletId w:val="0"/>
      <w:lvlJc w:val="left"/>
      <w:pPr>
        <w:tabs>
          <w:tab w:val="num" w:pos="4320"/>
        </w:tabs>
        <w:ind w:left="4320" w:hanging="360"/>
      </w:pPr>
      <w:rPr>
        <w:rFonts w:ascii="Symbol" w:hAnsi="Symbol" w:hint="default"/>
      </w:rPr>
    </w:lvl>
    <w:lvl w:ilvl="6" w:tplc="D870E7E2" w:tentative="1">
      <w:start w:val="1"/>
      <w:numFmt w:val="bullet"/>
      <w:lvlText w:val=""/>
      <w:lvlPicBulletId w:val="0"/>
      <w:lvlJc w:val="left"/>
      <w:pPr>
        <w:tabs>
          <w:tab w:val="num" w:pos="5040"/>
        </w:tabs>
        <w:ind w:left="5040" w:hanging="360"/>
      </w:pPr>
      <w:rPr>
        <w:rFonts w:ascii="Symbol" w:hAnsi="Symbol" w:hint="default"/>
      </w:rPr>
    </w:lvl>
    <w:lvl w:ilvl="7" w:tplc="6388F5EA" w:tentative="1">
      <w:start w:val="1"/>
      <w:numFmt w:val="bullet"/>
      <w:lvlText w:val=""/>
      <w:lvlPicBulletId w:val="0"/>
      <w:lvlJc w:val="left"/>
      <w:pPr>
        <w:tabs>
          <w:tab w:val="num" w:pos="5760"/>
        </w:tabs>
        <w:ind w:left="5760" w:hanging="360"/>
      </w:pPr>
      <w:rPr>
        <w:rFonts w:ascii="Symbol" w:hAnsi="Symbol" w:hint="default"/>
      </w:rPr>
    </w:lvl>
    <w:lvl w:ilvl="8" w:tplc="990CE58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54807"/>
    <w:multiLevelType w:val="hybridMultilevel"/>
    <w:tmpl w:val="F59AB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F36E9D"/>
    <w:multiLevelType w:val="hybridMultilevel"/>
    <w:tmpl w:val="A28EB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4543F9"/>
    <w:multiLevelType w:val="hybridMultilevel"/>
    <w:tmpl w:val="E8CEA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97334D"/>
    <w:multiLevelType w:val="hybridMultilevel"/>
    <w:tmpl w:val="430ED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E63CBC"/>
    <w:multiLevelType w:val="hybridMultilevel"/>
    <w:tmpl w:val="76E6B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8E609D"/>
    <w:multiLevelType w:val="hybridMultilevel"/>
    <w:tmpl w:val="72A2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9A7A81"/>
    <w:multiLevelType w:val="hybridMultilevel"/>
    <w:tmpl w:val="03B44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D52550"/>
    <w:multiLevelType w:val="hybridMultilevel"/>
    <w:tmpl w:val="3122524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327379E"/>
    <w:multiLevelType w:val="hybridMultilevel"/>
    <w:tmpl w:val="AF305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D1CE4"/>
    <w:multiLevelType w:val="hybridMultilevel"/>
    <w:tmpl w:val="976447D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501EE0"/>
    <w:multiLevelType w:val="hybridMultilevel"/>
    <w:tmpl w:val="46A22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0E1502"/>
    <w:multiLevelType w:val="hybridMultilevel"/>
    <w:tmpl w:val="2ECE1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E710F1"/>
    <w:multiLevelType w:val="hybridMultilevel"/>
    <w:tmpl w:val="37FE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716528"/>
    <w:multiLevelType w:val="hybridMultilevel"/>
    <w:tmpl w:val="E042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B90C31"/>
    <w:multiLevelType w:val="hybridMultilevel"/>
    <w:tmpl w:val="C6A2D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146573"/>
    <w:multiLevelType w:val="hybridMultilevel"/>
    <w:tmpl w:val="6484B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496B5E"/>
    <w:multiLevelType w:val="hybridMultilevel"/>
    <w:tmpl w:val="AC724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19162F"/>
    <w:multiLevelType w:val="hybridMultilevel"/>
    <w:tmpl w:val="78C477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56E4AEB"/>
    <w:multiLevelType w:val="hybridMultilevel"/>
    <w:tmpl w:val="9F96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D64FC3"/>
    <w:multiLevelType w:val="hybridMultilevel"/>
    <w:tmpl w:val="85BCF894"/>
    <w:lvl w:ilvl="0" w:tplc="D220C726">
      <w:start w:val="1"/>
      <w:numFmt w:val="bullet"/>
      <w:lvlText w:val="−"/>
      <w:lvlJc w:val="left"/>
      <w:pPr>
        <w:tabs>
          <w:tab w:val="num" w:pos="720"/>
        </w:tabs>
        <w:ind w:left="720" w:hanging="360"/>
      </w:pPr>
      <w:rPr>
        <w:rFonts w:ascii="Calibre Regular" w:hAnsi="Calibre Regular" w:hint="default"/>
      </w:rPr>
    </w:lvl>
    <w:lvl w:ilvl="1" w:tplc="75D4CF38">
      <w:start w:val="1"/>
      <w:numFmt w:val="bullet"/>
      <w:lvlText w:val="−"/>
      <w:lvlJc w:val="left"/>
      <w:pPr>
        <w:tabs>
          <w:tab w:val="num" w:pos="1440"/>
        </w:tabs>
        <w:ind w:left="1440" w:hanging="360"/>
      </w:pPr>
      <w:rPr>
        <w:rFonts w:ascii="Calibre Regular" w:hAnsi="Calibre Regular" w:hint="default"/>
      </w:rPr>
    </w:lvl>
    <w:lvl w:ilvl="2" w:tplc="531E3792">
      <w:start w:val="62"/>
      <w:numFmt w:val="bullet"/>
      <w:lvlText w:val="−"/>
      <w:lvlJc w:val="left"/>
      <w:pPr>
        <w:tabs>
          <w:tab w:val="num" w:pos="2160"/>
        </w:tabs>
        <w:ind w:left="2160" w:hanging="360"/>
      </w:pPr>
      <w:rPr>
        <w:rFonts w:ascii="Calibre Regular" w:hAnsi="Calibre Regular" w:hint="default"/>
      </w:rPr>
    </w:lvl>
    <w:lvl w:ilvl="3" w:tplc="30AECF26" w:tentative="1">
      <w:start w:val="1"/>
      <w:numFmt w:val="bullet"/>
      <w:lvlText w:val="−"/>
      <w:lvlJc w:val="left"/>
      <w:pPr>
        <w:tabs>
          <w:tab w:val="num" w:pos="2880"/>
        </w:tabs>
        <w:ind w:left="2880" w:hanging="360"/>
      </w:pPr>
      <w:rPr>
        <w:rFonts w:ascii="Calibre Regular" w:hAnsi="Calibre Regular" w:hint="default"/>
      </w:rPr>
    </w:lvl>
    <w:lvl w:ilvl="4" w:tplc="942E3D00" w:tentative="1">
      <w:start w:val="1"/>
      <w:numFmt w:val="bullet"/>
      <w:lvlText w:val="−"/>
      <w:lvlJc w:val="left"/>
      <w:pPr>
        <w:tabs>
          <w:tab w:val="num" w:pos="3600"/>
        </w:tabs>
        <w:ind w:left="3600" w:hanging="360"/>
      </w:pPr>
      <w:rPr>
        <w:rFonts w:ascii="Calibre Regular" w:hAnsi="Calibre Regular" w:hint="default"/>
      </w:rPr>
    </w:lvl>
    <w:lvl w:ilvl="5" w:tplc="AB546268" w:tentative="1">
      <w:start w:val="1"/>
      <w:numFmt w:val="bullet"/>
      <w:lvlText w:val="−"/>
      <w:lvlJc w:val="left"/>
      <w:pPr>
        <w:tabs>
          <w:tab w:val="num" w:pos="4320"/>
        </w:tabs>
        <w:ind w:left="4320" w:hanging="360"/>
      </w:pPr>
      <w:rPr>
        <w:rFonts w:ascii="Calibre Regular" w:hAnsi="Calibre Regular" w:hint="default"/>
      </w:rPr>
    </w:lvl>
    <w:lvl w:ilvl="6" w:tplc="C804F5DC" w:tentative="1">
      <w:start w:val="1"/>
      <w:numFmt w:val="bullet"/>
      <w:lvlText w:val="−"/>
      <w:lvlJc w:val="left"/>
      <w:pPr>
        <w:tabs>
          <w:tab w:val="num" w:pos="5040"/>
        </w:tabs>
        <w:ind w:left="5040" w:hanging="360"/>
      </w:pPr>
      <w:rPr>
        <w:rFonts w:ascii="Calibre Regular" w:hAnsi="Calibre Regular" w:hint="default"/>
      </w:rPr>
    </w:lvl>
    <w:lvl w:ilvl="7" w:tplc="88BAD816" w:tentative="1">
      <w:start w:val="1"/>
      <w:numFmt w:val="bullet"/>
      <w:lvlText w:val="−"/>
      <w:lvlJc w:val="left"/>
      <w:pPr>
        <w:tabs>
          <w:tab w:val="num" w:pos="5760"/>
        </w:tabs>
        <w:ind w:left="5760" w:hanging="360"/>
      </w:pPr>
      <w:rPr>
        <w:rFonts w:ascii="Calibre Regular" w:hAnsi="Calibre Regular" w:hint="default"/>
      </w:rPr>
    </w:lvl>
    <w:lvl w:ilvl="8" w:tplc="4C9E977A" w:tentative="1">
      <w:start w:val="1"/>
      <w:numFmt w:val="bullet"/>
      <w:lvlText w:val="−"/>
      <w:lvlJc w:val="left"/>
      <w:pPr>
        <w:tabs>
          <w:tab w:val="num" w:pos="6480"/>
        </w:tabs>
        <w:ind w:left="6480" w:hanging="360"/>
      </w:pPr>
      <w:rPr>
        <w:rFonts w:ascii="Calibre Regular" w:hAnsi="Calibre Regular" w:hint="default"/>
      </w:rPr>
    </w:lvl>
  </w:abstractNum>
  <w:num w:numId="1">
    <w:abstractNumId w:val="2"/>
  </w:num>
  <w:num w:numId="2">
    <w:abstractNumId w:val="28"/>
  </w:num>
  <w:num w:numId="3">
    <w:abstractNumId w:val="21"/>
  </w:num>
  <w:num w:numId="4">
    <w:abstractNumId w:val="16"/>
  </w:num>
  <w:num w:numId="5">
    <w:abstractNumId w:val="25"/>
  </w:num>
  <w:num w:numId="6">
    <w:abstractNumId w:val="35"/>
  </w:num>
  <w:num w:numId="7">
    <w:abstractNumId w:val="18"/>
  </w:num>
  <w:num w:numId="8">
    <w:abstractNumId w:val="31"/>
  </w:num>
  <w:num w:numId="9">
    <w:abstractNumId w:val="32"/>
  </w:num>
  <w:num w:numId="10">
    <w:abstractNumId w:val="20"/>
  </w:num>
  <w:num w:numId="11">
    <w:abstractNumId w:val="10"/>
  </w:num>
  <w:num w:numId="12">
    <w:abstractNumId w:val="8"/>
  </w:num>
  <w:num w:numId="13">
    <w:abstractNumId w:val="17"/>
  </w:num>
  <w:num w:numId="14">
    <w:abstractNumId w:val="43"/>
  </w:num>
  <w:num w:numId="15">
    <w:abstractNumId w:val="7"/>
  </w:num>
  <w:num w:numId="16">
    <w:abstractNumId w:val="9"/>
  </w:num>
  <w:num w:numId="17">
    <w:abstractNumId w:val="13"/>
  </w:num>
  <w:num w:numId="18">
    <w:abstractNumId w:val="30"/>
  </w:num>
  <w:num w:numId="19">
    <w:abstractNumId w:val="37"/>
  </w:num>
  <w:num w:numId="20">
    <w:abstractNumId w:val="22"/>
  </w:num>
  <w:num w:numId="21">
    <w:abstractNumId w:val="11"/>
  </w:num>
  <w:num w:numId="22">
    <w:abstractNumId w:val="19"/>
  </w:num>
  <w:num w:numId="23">
    <w:abstractNumId w:val="6"/>
  </w:num>
  <w:num w:numId="24">
    <w:abstractNumId w:val="24"/>
  </w:num>
  <w:num w:numId="25">
    <w:abstractNumId w:val="45"/>
  </w:num>
  <w:num w:numId="26">
    <w:abstractNumId w:val="1"/>
  </w:num>
  <w:num w:numId="27">
    <w:abstractNumId w:val="5"/>
  </w:num>
  <w:num w:numId="28">
    <w:abstractNumId w:val="3"/>
  </w:num>
  <w:num w:numId="29">
    <w:abstractNumId w:val="39"/>
  </w:num>
  <w:num w:numId="30">
    <w:abstractNumId w:val="23"/>
  </w:num>
  <w:num w:numId="31">
    <w:abstractNumId w:val="36"/>
  </w:num>
  <w:num w:numId="32">
    <w:abstractNumId w:val="40"/>
  </w:num>
  <w:num w:numId="33">
    <w:abstractNumId w:val="27"/>
  </w:num>
  <w:num w:numId="34">
    <w:abstractNumId w:val="44"/>
  </w:num>
  <w:num w:numId="35">
    <w:abstractNumId w:val="15"/>
  </w:num>
  <w:num w:numId="36">
    <w:abstractNumId w:val="12"/>
  </w:num>
  <w:num w:numId="37">
    <w:abstractNumId w:val="29"/>
  </w:num>
  <w:num w:numId="38">
    <w:abstractNumId w:val="33"/>
  </w:num>
  <w:num w:numId="39">
    <w:abstractNumId w:val="26"/>
  </w:num>
  <w:num w:numId="40">
    <w:abstractNumId w:val="41"/>
  </w:num>
  <w:num w:numId="41">
    <w:abstractNumId w:val="28"/>
  </w:num>
  <w:num w:numId="42">
    <w:abstractNumId w:val="34"/>
  </w:num>
  <w:num w:numId="43">
    <w:abstractNumId w:val="38"/>
  </w:num>
  <w:num w:numId="44">
    <w:abstractNumId w:val="4"/>
  </w:num>
  <w:num w:numId="45">
    <w:abstractNumId w:val="14"/>
  </w:num>
  <w:num w:numId="46">
    <w:abstractNumId w:val="0"/>
  </w:num>
  <w:num w:numId="47">
    <w:abstractNumId w:val="28"/>
  </w:num>
  <w:num w:numId="48">
    <w:abstractNumId w:val="42"/>
  </w:num>
  <w:num w:numId="49">
    <w:abstractNumId w:val="34"/>
    <w:lvlOverride w:ilvl="0"/>
    <w:lvlOverride w:ilvl="1">
      <w:startOverride w:val="1"/>
    </w:lvlOverride>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12E3"/>
    <w:rsid w:val="00001317"/>
    <w:rsid w:val="00001E97"/>
    <w:rsid w:val="00002743"/>
    <w:rsid w:val="00002A37"/>
    <w:rsid w:val="000032F4"/>
    <w:rsid w:val="00006446"/>
    <w:rsid w:val="00006896"/>
    <w:rsid w:val="00007CDC"/>
    <w:rsid w:val="00010A5D"/>
    <w:rsid w:val="00011B28"/>
    <w:rsid w:val="00012CA8"/>
    <w:rsid w:val="00013262"/>
    <w:rsid w:val="00013E5F"/>
    <w:rsid w:val="00015D15"/>
    <w:rsid w:val="00015E84"/>
    <w:rsid w:val="00017299"/>
    <w:rsid w:val="00023678"/>
    <w:rsid w:val="0002564D"/>
    <w:rsid w:val="00025ECA"/>
    <w:rsid w:val="00027F45"/>
    <w:rsid w:val="00031A86"/>
    <w:rsid w:val="000325B8"/>
    <w:rsid w:val="00034C15"/>
    <w:rsid w:val="00036BA1"/>
    <w:rsid w:val="000422E2"/>
    <w:rsid w:val="00042F22"/>
    <w:rsid w:val="0004395C"/>
    <w:rsid w:val="000444EF"/>
    <w:rsid w:val="000448BC"/>
    <w:rsid w:val="00047080"/>
    <w:rsid w:val="00051F40"/>
    <w:rsid w:val="00052A07"/>
    <w:rsid w:val="000534E3"/>
    <w:rsid w:val="00054775"/>
    <w:rsid w:val="00054975"/>
    <w:rsid w:val="00055BC1"/>
    <w:rsid w:val="00055DA0"/>
    <w:rsid w:val="0005606A"/>
    <w:rsid w:val="00057117"/>
    <w:rsid w:val="000609B7"/>
    <w:rsid w:val="000616E7"/>
    <w:rsid w:val="0006487E"/>
    <w:rsid w:val="00065E1A"/>
    <w:rsid w:val="000668D7"/>
    <w:rsid w:val="00070FBD"/>
    <w:rsid w:val="0007261F"/>
    <w:rsid w:val="000760A2"/>
    <w:rsid w:val="00076C7D"/>
    <w:rsid w:val="00076F6F"/>
    <w:rsid w:val="00077E5F"/>
    <w:rsid w:val="0008036A"/>
    <w:rsid w:val="00081AE6"/>
    <w:rsid w:val="000855EB"/>
    <w:rsid w:val="00085B52"/>
    <w:rsid w:val="000866F2"/>
    <w:rsid w:val="00087E5B"/>
    <w:rsid w:val="0009009F"/>
    <w:rsid w:val="00090145"/>
    <w:rsid w:val="00090CCA"/>
    <w:rsid w:val="00091557"/>
    <w:rsid w:val="000924C1"/>
    <w:rsid w:val="000924F0"/>
    <w:rsid w:val="00092FE2"/>
    <w:rsid w:val="00093474"/>
    <w:rsid w:val="0009510F"/>
    <w:rsid w:val="00097802"/>
    <w:rsid w:val="000A0AFD"/>
    <w:rsid w:val="000A19A8"/>
    <w:rsid w:val="000A1B7B"/>
    <w:rsid w:val="000A36C3"/>
    <w:rsid w:val="000A40F3"/>
    <w:rsid w:val="000A56F2"/>
    <w:rsid w:val="000A5AFE"/>
    <w:rsid w:val="000A78AA"/>
    <w:rsid w:val="000B12A5"/>
    <w:rsid w:val="000B2125"/>
    <w:rsid w:val="000B2719"/>
    <w:rsid w:val="000B3A8F"/>
    <w:rsid w:val="000B3ADB"/>
    <w:rsid w:val="000B4AB9"/>
    <w:rsid w:val="000B58C3"/>
    <w:rsid w:val="000B61E9"/>
    <w:rsid w:val="000C038F"/>
    <w:rsid w:val="000C03E7"/>
    <w:rsid w:val="000C165A"/>
    <w:rsid w:val="000C27C5"/>
    <w:rsid w:val="000C27ED"/>
    <w:rsid w:val="000C2E19"/>
    <w:rsid w:val="000C7397"/>
    <w:rsid w:val="000C749D"/>
    <w:rsid w:val="000C7E9B"/>
    <w:rsid w:val="000D0D07"/>
    <w:rsid w:val="000D2D69"/>
    <w:rsid w:val="000D33A5"/>
    <w:rsid w:val="000D4797"/>
    <w:rsid w:val="000D6017"/>
    <w:rsid w:val="000D6C88"/>
    <w:rsid w:val="000E036A"/>
    <w:rsid w:val="000E0527"/>
    <w:rsid w:val="000E1E92"/>
    <w:rsid w:val="000E527D"/>
    <w:rsid w:val="000E7E65"/>
    <w:rsid w:val="000F06D6"/>
    <w:rsid w:val="000F0B92"/>
    <w:rsid w:val="000F0EB1"/>
    <w:rsid w:val="000F1106"/>
    <w:rsid w:val="000F2EB8"/>
    <w:rsid w:val="000F3BE9"/>
    <w:rsid w:val="000F3F6C"/>
    <w:rsid w:val="000F4290"/>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27DE"/>
    <w:rsid w:val="0012298F"/>
    <w:rsid w:val="0012377F"/>
    <w:rsid w:val="00124314"/>
    <w:rsid w:val="00126B4A"/>
    <w:rsid w:val="001312BE"/>
    <w:rsid w:val="00132FD0"/>
    <w:rsid w:val="001344C0"/>
    <w:rsid w:val="001346FA"/>
    <w:rsid w:val="00135252"/>
    <w:rsid w:val="00137728"/>
    <w:rsid w:val="00137AB5"/>
    <w:rsid w:val="00137F0B"/>
    <w:rsid w:val="00143008"/>
    <w:rsid w:val="00143981"/>
    <w:rsid w:val="00145273"/>
    <w:rsid w:val="00146A9A"/>
    <w:rsid w:val="0014787F"/>
    <w:rsid w:val="001501DF"/>
    <w:rsid w:val="00151E23"/>
    <w:rsid w:val="001526E0"/>
    <w:rsid w:val="0015361D"/>
    <w:rsid w:val="00154BC5"/>
    <w:rsid w:val="001551B5"/>
    <w:rsid w:val="00157362"/>
    <w:rsid w:val="00157C8E"/>
    <w:rsid w:val="00160CF9"/>
    <w:rsid w:val="00161D58"/>
    <w:rsid w:val="00162B29"/>
    <w:rsid w:val="001659C1"/>
    <w:rsid w:val="0016637B"/>
    <w:rsid w:val="00173A8E"/>
    <w:rsid w:val="00175BD2"/>
    <w:rsid w:val="00177587"/>
    <w:rsid w:val="001777D9"/>
    <w:rsid w:val="0018143F"/>
    <w:rsid w:val="001820AE"/>
    <w:rsid w:val="0018364E"/>
    <w:rsid w:val="001857E2"/>
    <w:rsid w:val="00190AC1"/>
    <w:rsid w:val="00190AFB"/>
    <w:rsid w:val="00191CBF"/>
    <w:rsid w:val="00192911"/>
    <w:rsid w:val="0019341A"/>
    <w:rsid w:val="00194A9F"/>
    <w:rsid w:val="001955A4"/>
    <w:rsid w:val="00197DF9"/>
    <w:rsid w:val="001A1987"/>
    <w:rsid w:val="001A1F56"/>
    <w:rsid w:val="001A2564"/>
    <w:rsid w:val="001A2B06"/>
    <w:rsid w:val="001A6173"/>
    <w:rsid w:val="001A65E5"/>
    <w:rsid w:val="001A6CBA"/>
    <w:rsid w:val="001A7CFA"/>
    <w:rsid w:val="001B04BE"/>
    <w:rsid w:val="001B0B11"/>
    <w:rsid w:val="001B0D97"/>
    <w:rsid w:val="001B3816"/>
    <w:rsid w:val="001B5A5D"/>
    <w:rsid w:val="001B644E"/>
    <w:rsid w:val="001C1CE5"/>
    <w:rsid w:val="001C22B9"/>
    <w:rsid w:val="001C2D73"/>
    <w:rsid w:val="001C3D2A"/>
    <w:rsid w:val="001C4EEE"/>
    <w:rsid w:val="001C6114"/>
    <w:rsid w:val="001C751B"/>
    <w:rsid w:val="001D07E2"/>
    <w:rsid w:val="001D0E26"/>
    <w:rsid w:val="001D20C3"/>
    <w:rsid w:val="001D51BA"/>
    <w:rsid w:val="001D5A21"/>
    <w:rsid w:val="001D61A9"/>
    <w:rsid w:val="001D6342"/>
    <w:rsid w:val="001D6D53"/>
    <w:rsid w:val="001E0114"/>
    <w:rsid w:val="001E3946"/>
    <w:rsid w:val="001E3F89"/>
    <w:rsid w:val="001E58E2"/>
    <w:rsid w:val="001E6006"/>
    <w:rsid w:val="001E64CA"/>
    <w:rsid w:val="001E7AED"/>
    <w:rsid w:val="001F001C"/>
    <w:rsid w:val="001F04A8"/>
    <w:rsid w:val="001F2689"/>
    <w:rsid w:val="001F3916"/>
    <w:rsid w:val="001F3D11"/>
    <w:rsid w:val="001F54C5"/>
    <w:rsid w:val="001F662C"/>
    <w:rsid w:val="001F7074"/>
    <w:rsid w:val="00200490"/>
    <w:rsid w:val="00201F3A"/>
    <w:rsid w:val="00203F96"/>
    <w:rsid w:val="00204190"/>
    <w:rsid w:val="002069B2"/>
    <w:rsid w:val="00207FA3"/>
    <w:rsid w:val="0021200B"/>
    <w:rsid w:val="00213316"/>
    <w:rsid w:val="00214DA8"/>
    <w:rsid w:val="00214EA9"/>
    <w:rsid w:val="00215423"/>
    <w:rsid w:val="002158FA"/>
    <w:rsid w:val="00220600"/>
    <w:rsid w:val="002220FF"/>
    <w:rsid w:val="002224DB"/>
    <w:rsid w:val="00223FCB"/>
    <w:rsid w:val="002252C3"/>
    <w:rsid w:val="00225C54"/>
    <w:rsid w:val="00230765"/>
    <w:rsid w:val="00230D6D"/>
    <w:rsid w:val="002319E4"/>
    <w:rsid w:val="00235632"/>
    <w:rsid w:val="00235872"/>
    <w:rsid w:val="00236BF5"/>
    <w:rsid w:val="00237573"/>
    <w:rsid w:val="0024145F"/>
    <w:rsid w:val="00241559"/>
    <w:rsid w:val="002435B3"/>
    <w:rsid w:val="00244946"/>
    <w:rsid w:val="0024539D"/>
    <w:rsid w:val="002458EB"/>
    <w:rsid w:val="002500C8"/>
    <w:rsid w:val="00250E2B"/>
    <w:rsid w:val="002518D0"/>
    <w:rsid w:val="00255D91"/>
    <w:rsid w:val="00256C1E"/>
    <w:rsid w:val="00257543"/>
    <w:rsid w:val="002617E7"/>
    <w:rsid w:val="00264228"/>
    <w:rsid w:val="00264334"/>
    <w:rsid w:val="0026473E"/>
    <w:rsid w:val="00266214"/>
    <w:rsid w:val="002665E5"/>
    <w:rsid w:val="00267C83"/>
    <w:rsid w:val="0027144F"/>
    <w:rsid w:val="00271899"/>
    <w:rsid w:val="00271F3A"/>
    <w:rsid w:val="002724CD"/>
    <w:rsid w:val="00273278"/>
    <w:rsid w:val="002737F4"/>
    <w:rsid w:val="002749C4"/>
    <w:rsid w:val="00276EF5"/>
    <w:rsid w:val="00277DBB"/>
    <w:rsid w:val="002805F5"/>
    <w:rsid w:val="00280751"/>
    <w:rsid w:val="00281F19"/>
    <w:rsid w:val="00281F2C"/>
    <w:rsid w:val="0028280A"/>
    <w:rsid w:val="002828DA"/>
    <w:rsid w:val="0028570D"/>
    <w:rsid w:val="00286ACD"/>
    <w:rsid w:val="00287838"/>
    <w:rsid w:val="002901AA"/>
    <w:rsid w:val="002907B5"/>
    <w:rsid w:val="00292EB7"/>
    <w:rsid w:val="002954DD"/>
    <w:rsid w:val="00295A0D"/>
    <w:rsid w:val="00295E23"/>
    <w:rsid w:val="00296227"/>
    <w:rsid w:val="00296F44"/>
    <w:rsid w:val="0029777D"/>
    <w:rsid w:val="002A055E"/>
    <w:rsid w:val="002A1D4E"/>
    <w:rsid w:val="002A2869"/>
    <w:rsid w:val="002A7C58"/>
    <w:rsid w:val="002B0D5D"/>
    <w:rsid w:val="002B24D6"/>
    <w:rsid w:val="002B32CA"/>
    <w:rsid w:val="002B366E"/>
    <w:rsid w:val="002C41E6"/>
    <w:rsid w:val="002C52C8"/>
    <w:rsid w:val="002C5C5B"/>
    <w:rsid w:val="002D071A"/>
    <w:rsid w:val="002D34B2"/>
    <w:rsid w:val="002D3E97"/>
    <w:rsid w:val="002D5F0F"/>
    <w:rsid w:val="002D7114"/>
    <w:rsid w:val="002D7637"/>
    <w:rsid w:val="002E17F2"/>
    <w:rsid w:val="002E6860"/>
    <w:rsid w:val="002E7CAE"/>
    <w:rsid w:val="002F2771"/>
    <w:rsid w:val="002F2CB3"/>
    <w:rsid w:val="002F37A9"/>
    <w:rsid w:val="002F4107"/>
    <w:rsid w:val="002F677B"/>
    <w:rsid w:val="00301CE6"/>
    <w:rsid w:val="0030256B"/>
    <w:rsid w:val="00304275"/>
    <w:rsid w:val="0030501F"/>
    <w:rsid w:val="0030582F"/>
    <w:rsid w:val="00305AA9"/>
    <w:rsid w:val="00307BA1"/>
    <w:rsid w:val="00310040"/>
    <w:rsid w:val="0031025C"/>
    <w:rsid w:val="00311354"/>
    <w:rsid w:val="00311702"/>
    <w:rsid w:val="00311E82"/>
    <w:rsid w:val="00313D35"/>
    <w:rsid w:val="00313FD6"/>
    <w:rsid w:val="003140FC"/>
    <w:rsid w:val="003143BD"/>
    <w:rsid w:val="00316270"/>
    <w:rsid w:val="003203ED"/>
    <w:rsid w:val="0032096E"/>
    <w:rsid w:val="0032131B"/>
    <w:rsid w:val="00322C9F"/>
    <w:rsid w:val="00323F6C"/>
    <w:rsid w:val="0032460C"/>
    <w:rsid w:val="00324D23"/>
    <w:rsid w:val="0032661F"/>
    <w:rsid w:val="00331751"/>
    <w:rsid w:val="003318B9"/>
    <w:rsid w:val="00334579"/>
    <w:rsid w:val="00335858"/>
    <w:rsid w:val="00336BDA"/>
    <w:rsid w:val="00342681"/>
    <w:rsid w:val="00342BD7"/>
    <w:rsid w:val="00346D0B"/>
    <w:rsid w:val="00346DB5"/>
    <w:rsid w:val="003477B1"/>
    <w:rsid w:val="00352115"/>
    <w:rsid w:val="003536E4"/>
    <w:rsid w:val="00356C79"/>
    <w:rsid w:val="00357380"/>
    <w:rsid w:val="00357577"/>
    <w:rsid w:val="003602D9"/>
    <w:rsid w:val="00360406"/>
    <w:rsid w:val="003604CE"/>
    <w:rsid w:val="0036181B"/>
    <w:rsid w:val="0036336D"/>
    <w:rsid w:val="00365C0F"/>
    <w:rsid w:val="00370E47"/>
    <w:rsid w:val="00371080"/>
    <w:rsid w:val="003735A4"/>
    <w:rsid w:val="003742AC"/>
    <w:rsid w:val="00375476"/>
    <w:rsid w:val="00375EC0"/>
    <w:rsid w:val="00376A5E"/>
    <w:rsid w:val="00377CE1"/>
    <w:rsid w:val="00381B3C"/>
    <w:rsid w:val="00385BF0"/>
    <w:rsid w:val="00390400"/>
    <w:rsid w:val="0039066C"/>
    <w:rsid w:val="00391DCA"/>
    <w:rsid w:val="0039385C"/>
    <w:rsid w:val="003939FF"/>
    <w:rsid w:val="00394EF2"/>
    <w:rsid w:val="003977DD"/>
    <w:rsid w:val="003A2223"/>
    <w:rsid w:val="003A2A0F"/>
    <w:rsid w:val="003A45A1"/>
    <w:rsid w:val="003A5B0A"/>
    <w:rsid w:val="003A5C27"/>
    <w:rsid w:val="003A6BAC"/>
    <w:rsid w:val="003A6F87"/>
    <w:rsid w:val="003A7EF3"/>
    <w:rsid w:val="003B03C5"/>
    <w:rsid w:val="003B159C"/>
    <w:rsid w:val="003B21CB"/>
    <w:rsid w:val="003B369F"/>
    <w:rsid w:val="003B36A3"/>
    <w:rsid w:val="003B56BE"/>
    <w:rsid w:val="003B7739"/>
    <w:rsid w:val="003B7FE5"/>
    <w:rsid w:val="003C11C8"/>
    <w:rsid w:val="003C1B54"/>
    <w:rsid w:val="003C2702"/>
    <w:rsid w:val="003C3751"/>
    <w:rsid w:val="003C4CE3"/>
    <w:rsid w:val="003C672E"/>
    <w:rsid w:val="003C7806"/>
    <w:rsid w:val="003D109F"/>
    <w:rsid w:val="003D2478"/>
    <w:rsid w:val="003D3754"/>
    <w:rsid w:val="003D3C45"/>
    <w:rsid w:val="003D5B1F"/>
    <w:rsid w:val="003D61BD"/>
    <w:rsid w:val="003D784B"/>
    <w:rsid w:val="003E15FA"/>
    <w:rsid w:val="003E55E4"/>
    <w:rsid w:val="003E73CC"/>
    <w:rsid w:val="003E74E3"/>
    <w:rsid w:val="003F05C7"/>
    <w:rsid w:val="003F0F87"/>
    <w:rsid w:val="003F2CD4"/>
    <w:rsid w:val="003F2F9C"/>
    <w:rsid w:val="003F4001"/>
    <w:rsid w:val="003F4998"/>
    <w:rsid w:val="003F6BBE"/>
    <w:rsid w:val="003F7A21"/>
    <w:rsid w:val="004000E8"/>
    <w:rsid w:val="00400301"/>
    <w:rsid w:val="00400A95"/>
    <w:rsid w:val="00400FA4"/>
    <w:rsid w:val="00402B2D"/>
    <w:rsid w:val="00402E2B"/>
    <w:rsid w:val="0040512B"/>
    <w:rsid w:val="00405CA5"/>
    <w:rsid w:val="00407AB5"/>
    <w:rsid w:val="00407CD3"/>
    <w:rsid w:val="00410134"/>
    <w:rsid w:val="00410B72"/>
    <w:rsid w:val="00410F18"/>
    <w:rsid w:val="004117A3"/>
    <w:rsid w:val="00412396"/>
    <w:rsid w:val="0041263E"/>
    <w:rsid w:val="00412AD0"/>
    <w:rsid w:val="00412B6D"/>
    <w:rsid w:val="0041365E"/>
    <w:rsid w:val="004137D7"/>
    <w:rsid w:val="00413AAC"/>
    <w:rsid w:val="004167A8"/>
    <w:rsid w:val="00420115"/>
    <w:rsid w:val="00421105"/>
    <w:rsid w:val="004242F4"/>
    <w:rsid w:val="00427248"/>
    <w:rsid w:val="00430E07"/>
    <w:rsid w:val="0043292B"/>
    <w:rsid w:val="004358F0"/>
    <w:rsid w:val="00437447"/>
    <w:rsid w:val="00437993"/>
    <w:rsid w:val="00441A92"/>
    <w:rsid w:val="004428EF"/>
    <w:rsid w:val="00442FA7"/>
    <w:rsid w:val="00443F92"/>
    <w:rsid w:val="00444F56"/>
    <w:rsid w:val="0044528E"/>
    <w:rsid w:val="00446488"/>
    <w:rsid w:val="004467B9"/>
    <w:rsid w:val="004517AA"/>
    <w:rsid w:val="00452CAC"/>
    <w:rsid w:val="00452E9A"/>
    <w:rsid w:val="00454B27"/>
    <w:rsid w:val="00454DAD"/>
    <w:rsid w:val="00456BC0"/>
    <w:rsid w:val="00457565"/>
    <w:rsid w:val="00457B71"/>
    <w:rsid w:val="00462617"/>
    <w:rsid w:val="0046372D"/>
    <w:rsid w:val="0046530F"/>
    <w:rsid w:val="004669E2"/>
    <w:rsid w:val="004707CB"/>
    <w:rsid w:val="00470C31"/>
    <w:rsid w:val="004710F3"/>
    <w:rsid w:val="00471B16"/>
    <w:rsid w:val="004734D0"/>
    <w:rsid w:val="0047475A"/>
    <w:rsid w:val="0047556B"/>
    <w:rsid w:val="00476ACD"/>
    <w:rsid w:val="00477768"/>
    <w:rsid w:val="00483BB6"/>
    <w:rsid w:val="00483F68"/>
    <w:rsid w:val="00486ACF"/>
    <w:rsid w:val="00487493"/>
    <w:rsid w:val="00491714"/>
    <w:rsid w:val="00492BC5"/>
    <w:rsid w:val="00493579"/>
    <w:rsid w:val="004964F1"/>
    <w:rsid w:val="00497F83"/>
    <w:rsid w:val="004A16BC"/>
    <w:rsid w:val="004A2B94"/>
    <w:rsid w:val="004A3021"/>
    <w:rsid w:val="004A5FC1"/>
    <w:rsid w:val="004A71AA"/>
    <w:rsid w:val="004A7B35"/>
    <w:rsid w:val="004A7D56"/>
    <w:rsid w:val="004B194E"/>
    <w:rsid w:val="004B2246"/>
    <w:rsid w:val="004B72BA"/>
    <w:rsid w:val="004B7C0C"/>
    <w:rsid w:val="004C379F"/>
    <w:rsid w:val="004C3898"/>
    <w:rsid w:val="004C4D8D"/>
    <w:rsid w:val="004C6109"/>
    <w:rsid w:val="004C7E2C"/>
    <w:rsid w:val="004D02D1"/>
    <w:rsid w:val="004D164D"/>
    <w:rsid w:val="004D1E06"/>
    <w:rsid w:val="004D21DE"/>
    <w:rsid w:val="004D2DD1"/>
    <w:rsid w:val="004D36B1"/>
    <w:rsid w:val="004D3F06"/>
    <w:rsid w:val="004D4F16"/>
    <w:rsid w:val="004D7E12"/>
    <w:rsid w:val="004D7EBD"/>
    <w:rsid w:val="004E0283"/>
    <w:rsid w:val="004E1AF8"/>
    <w:rsid w:val="004E2680"/>
    <w:rsid w:val="004E28F9"/>
    <w:rsid w:val="004E462E"/>
    <w:rsid w:val="004E56DC"/>
    <w:rsid w:val="004E76F4"/>
    <w:rsid w:val="004F0B4E"/>
    <w:rsid w:val="004F0B6C"/>
    <w:rsid w:val="004F14EE"/>
    <w:rsid w:val="004F2078"/>
    <w:rsid w:val="004F4DA3"/>
    <w:rsid w:val="004F5A1E"/>
    <w:rsid w:val="004F6FE0"/>
    <w:rsid w:val="004F70B3"/>
    <w:rsid w:val="00501698"/>
    <w:rsid w:val="005041DB"/>
    <w:rsid w:val="00505854"/>
    <w:rsid w:val="005061A8"/>
    <w:rsid w:val="00506557"/>
    <w:rsid w:val="0050677A"/>
    <w:rsid w:val="005108D8"/>
    <w:rsid w:val="005116F9"/>
    <w:rsid w:val="005153A7"/>
    <w:rsid w:val="00517AD0"/>
    <w:rsid w:val="00520159"/>
    <w:rsid w:val="00520C5C"/>
    <w:rsid w:val="00520D36"/>
    <w:rsid w:val="005219CF"/>
    <w:rsid w:val="00525494"/>
    <w:rsid w:val="00527027"/>
    <w:rsid w:val="00527CB9"/>
    <w:rsid w:val="00527DB5"/>
    <w:rsid w:val="00530FD1"/>
    <w:rsid w:val="005321F2"/>
    <w:rsid w:val="00532CBD"/>
    <w:rsid w:val="0053491E"/>
    <w:rsid w:val="00534B59"/>
    <w:rsid w:val="005350CF"/>
    <w:rsid w:val="0053649C"/>
    <w:rsid w:val="00536759"/>
    <w:rsid w:val="00537C62"/>
    <w:rsid w:val="00541313"/>
    <w:rsid w:val="0054294A"/>
    <w:rsid w:val="00546317"/>
    <w:rsid w:val="00546970"/>
    <w:rsid w:val="00547872"/>
    <w:rsid w:val="00547D9C"/>
    <w:rsid w:val="0055231F"/>
    <w:rsid w:val="00554BE6"/>
    <w:rsid w:val="00554E19"/>
    <w:rsid w:val="0056121F"/>
    <w:rsid w:val="005625EE"/>
    <w:rsid w:val="00564B9E"/>
    <w:rsid w:val="00565409"/>
    <w:rsid w:val="00565488"/>
    <w:rsid w:val="00567572"/>
    <w:rsid w:val="005708C7"/>
    <w:rsid w:val="00572505"/>
    <w:rsid w:val="005743A5"/>
    <w:rsid w:val="00576BCA"/>
    <w:rsid w:val="005817D1"/>
    <w:rsid w:val="00582809"/>
    <w:rsid w:val="0058798C"/>
    <w:rsid w:val="00587FA9"/>
    <w:rsid w:val="005900FA"/>
    <w:rsid w:val="005935A4"/>
    <w:rsid w:val="005948C2"/>
    <w:rsid w:val="00595DCA"/>
    <w:rsid w:val="005972D5"/>
    <w:rsid w:val="0059779B"/>
    <w:rsid w:val="005A209A"/>
    <w:rsid w:val="005A288A"/>
    <w:rsid w:val="005A542C"/>
    <w:rsid w:val="005A662D"/>
    <w:rsid w:val="005A68BA"/>
    <w:rsid w:val="005A6953"/>
    <w:rsid w:val="005B04A1"/>
    <w:rsid w:val="005B0F66"/>
    <w:rsid w:val="005B1CDF"/>
    <w:rsid w:val="005B3063"/>
    <w:rsid w:val="005B35D7"/>
    <w:rsid w:val="005B392A"/>
    <w:rsid w:val="005B3AA3"/>
    <w:rsid w:val="005B6F83"/>
    <w:rsid w:val="005B7576"/>
    <w:rsid w:val="005C0B87"/>
    <w:rsid w:val="005C1729"/>
    <w:rsid w:val="005C2905"/>
    <w:rsid w:val="005C4840"/>
    <w:rsid w:val="005C5E12"/>
    <w:rsid w:val="005C65B8"/>
    <w:rsid w:val="005C6FE7"/>
    <w:rsid w:val="005C74FB"/>
    <w:rsid w:val="005C7DAA"/>
    <w:rsid w:val="005D0E28"/>
    <w:rsid w:val="005D1602"/>
    <w:rsid w:val="005D4DB3"/>
    <w:rsid w:val="005D6F32"/>
    <w:rsid w:val="005E1503"/>
    <w:rsid w:val="005E385F"/>
    <w:rsid w:val="005E3CCA"/>
    <w:rsid w:val="005E3DE8"/>
    <w:rsid w:val="005E5834"/>
    <w:rsid w:val="005E5B81"/>
    <w:rsid w:val="005F2CB1"/>
    <w:rsid w:val="005F3025"/>
    <w:rsid w:val="005F42FF"/>
    <w:rsid w:val="005F47E1"/>
    <w:rsid w:val="005F599F"/>
    <w:rsid w:val="005F5AFA"/>
    <w:rsid w:val="005F618C"/>
    <w:rsid w:val="005F70BD"/>
    <w:rsid w:val="00600F6A"/>
    <w:rsid w:val="006010AD"/>
    <w:rsid w:val="0060283C"/>
    <w:rsid w:val="0060324D"/>
    <w:rsid w:val="00604F14"/>
    <w:rsid w:val="00605BE1"/>
    <w:rsid w:val="00606229"/>
    <w:rsid w:val="00611B83"/>
    <w:rsid w:val="00612DE1"/>
    <w:rsid w:val="00613257"/>
    <w:rsid w:val="00615440"/>
    <w:rsid w:val="00615B9D"/>
    <w:rsid w:val="00620A71"/>
    <w:rsid w:val="00620D80"/>
    <w:rsid w:val="006234A6"/>
    <w:rsid w:val="00623923"/>
    <w:rsid w:val="00625BC6"/>
    <w:rsid w:val="00626D69"/>
    <w:rsid w:val="00630001"/>
    <w:rsid w:val="00630955"/>
    <w:rsid w:val="006311B3"/>
    <w:rsid w:val="00631F81"/>
    <w:rsid w:val="0063284C"/>
    <w:rsid w:val="00636398"/>
    <w:rsid w:val="006368D3"/>
    <w:rsid w:val="006377BD"/>
    <w:rsid w:val="006377EC"/>
    <w:rsid w:val="0064151F"/>
    <w:rsid w:val="00641533"/>
    <w:rsid w:val="00641D36"/>
    <w:rsid w:val="0064208D"/>
    <w:rsid w:val="00643475"/>
    <w:rsid w:val="0064396A"/>
    <w:rsid w:val="00643EEF"/>
    <w:rsid w:val="00644194"/>
    <w:rsid w:val="00644F5F"/>
    <w:rsid w:val="00645491"/>
    <w:rsid w:val="0064624E"/>
    <w:rsid w:val="00650AB9"/>
    <w:rsid w:val="0065154C"/>
    <w:rsid w:val="006516C3"/>
    <w:rsid w:val="00655733"/>
    <w:rsid w:val="00655ACD"/>
    <w:rsid w:val="00655B84"/>
    <w:rsid w:val="00656A92"/>
    <w:rsid w:val="00656DDE"/>
    <w:rsid w:val="00656EB3"/>
    <w:rsid w:val="0066011D"/>
    <w:rsid w:val="00660679"/>
    <w:rsid w:val="006607C0"/>
    <w:rsid w:val="006613A6"/>
    <w:rsid w:val="006627A2"/>
    <w:rsid w:val="006634E6"/>
    <w:rsid w:val="006655EE"/>
    <w:rsid w:val="00666C2B"/>
    <w:rsid w:val="00667EE7"/>
    <w:rsid w:val="00670922"/>
    <w:rsid w:val="00670BE1"/>
    <w:rsid w:val="0067218F"/>
    <w:rsid w:val="006726FC"/>
    <w:rsid w:val="00672DFF"/>
    <w:rsid w:val="006741F2"/>
    <w:rsid w:val="00674CC3"/>
    <w:rsid w:val="00675C72"/>
    <w:rsid w:val="00675E13"/>
    <w:rsid w:val="006771F9"/>
    <w:rsid w:val="006776D7"/>
    <w:rsid w:val="00681003"/>
    <w:rsid w:val="0068150E"/>
    <w:rsid w:val="006817C9"/>
    <w:rsid w:val="00683ECE"/>
    <w:rsid w:val="00692CE5"/>
    <w:rsid w:val="00693ED9"/>
    <w:rsid w:val="00694229"/>
    <w:rsid w:val="0069599F"/>
    <w:rsid w:val="00695FC2"/>
    <w:rsid w:val="00696363"/>
    <w:rsid w:val="006967F7"/>
    <w:rsid w:val="00696949"/>
    <w:rsid w:val="00696955"/>
    <w:rsid w:val="00697052"/>
    <w:rsid w:val="006A0BB4"/>
    <w:rsid w:val="006A1C12"/>
    <w:rsid w:val="006A39F5"/>
    <w:rsid w:val="006A4215"/>
    <w:rsid w:val="006A4452"/>
    <w:rsid w:val="006A45B3"/>
    <w:rsid w:val="006A46FB"/>
    <w:rsid w:val="006A5E28"/>
    <w:rsid w:val="006A697B"/>
    <w:rsid w:val="006A6A41"/>
    <w:rsid w:val="006A7AFF"/>
    <w:rsid w:val="006B0BB5"/>
    <w:rsid w:val="006B1816"/>
    <w:rsid w:val="006B2099"/>
    <w:rsid w:val="006B24BB"/>
    <w:rsid w:val="006B4007"/>
    <w:rsid w:val="006B42CA"/>
    <w:rsid w:val="006B4859"/>
    <w:rsid w:val="006B50CF"/>
    <w:rsid w:val="006B7CC8"/>
    <w:rsid w:val="006C03B8"/>
    <w:rsid w:val="006C14EE"/>
    <w:rsid w:val="006C3606"/>
    <w:rsid w:val="006C42C6"/>
    <w:rsid w:val="006C5EC9"/>
    <w:rsid w:val="006C6059"/>
    <w:rsid w:val="006C7522"/>
    <w:rsid w:val="006C78EC"/>
    <w:rsid w:val="006D42E6"/>
    <w:rsid w:val="006D43DA"/>
    <w:rsid w:val="006D5B70"/>
    <w:rsid w:val="006D5D33"/>
    <w:rsid w:val="006D5F1C"/>
    <w:rsid w:val="006D6005"/>
    <w:rsid w:val="006D64DB"/>
    <w:rsid w:val="006D6F08"/>
    <w:rsid w:val="006E062C"/>
    <w:rsid w:val="006E169A"/>
    <w:rsid w:val="006E1928"/>
    <w:rsid w:val="006E28B7"/>
    <w:rsid w:val="006E3310"/>
    <w:rsid w:val="006E4703"/>
    <w:rsid w:val="006E4AAA"/>
    <w:rsid w:val="006E4C9B"/>
    <w:rsid w:val="006E4E39"/>
    <w:rsid w:val="006E565E"/>
    <w:rsid w:val="006E673D"/>
    <w:rsid w:val="006E6DEB"/>
    <w:rsid w:val="006E72F7"/>
    <w:rsid w:val="006E7D3B"/>
    <w:rsid w:val="006F0F8A"/>
    <w:rsid w:val="006F1B70"/>
    <w:rsid w:val="006F1BD9"/>
    <w:rsid w:val="006F3120"/>
    <w:rsid w:val="006F341D"/>
    <w:rsid w:val="006F3CDE"/>
    <w:rsid w:val="006F58D4"/>
    <w:rsid w:val="006F7512"/>
    <w:rsid w:val="007006BE"/>
    <w:rsid w:val="007021FC"/>
    <w:rsid w:val="0070346E"/>
    <w:rsid w:val="00704EDB"/>
    <w:rsid w:val="00706101"/>
    <w:rsid w:val="00707072"/>
    <w:rsid w:val="00707D61"/>
    <w:rsid w:val="00712287"/>
    <w:rsid w:val="00712772"/>
    <w:rsid w:val="00713769"/>
    <w:rsid w:val="00713A59"/>
    <w:rsid w:val="007148D3"/>
    <w:rsid w:val="00715B9A"/>
    <w:rsid w:val="00720DD6"/>
    <w:rsid w:val="00723E83"/>
    <w:rsid w:val="00726EA6"/>
    <w:rsid w:val="00727208"/>
    <w:rsid w:val="00727680"/>
    <w:rsid w:val="007322C9"/>
    <w:rsid w:val="007348B1"/>
    <w:rsid w:val="00735268"/>
    <w:rsid w:val="007362A6"/>
    <w:rsid w:val="00736D7D"/>
    <w:rsid w:val="00740E58"/>
    <w:rsid w:val="0074428B"/>
    <w:rsid w:val="007445A0"/>
    <w:rsid w:val="0074524B"/>
    <w:rsid w:val="00747D8B"/>
    <w:rsid w:val="007508A2"/>
    <w:rsid w:val="00751228"/>
    <w:rsid w:val="0075228A"/>
    <w:rsid w:val="00752738"/>
    <w:rsid w:val="007541CE"/>
    <w:rsid w:val="00754F98"/>
    <w:rsid w:val="007571E1"/>
    <w:rsid w:val="007604B2"/>
    <w:rsid w:val="00765281"/>
    <w:rsid w:val="00766BAD"/>
    <w:rsid w:val="0076708C"/>
    <w:rsid w:val="00771230"/>
    <w:rsid w:val="00772EEC"/>
    <w:rsid w:val="007737FC"/>
    <w:rsid w:val="007755F2"/>
    <w:rsid w:val="00776971"/>
    <w:rsid w:val="007803A2"/>
    <w:rsid w:val="0078177E"/>
    <w:rsid w:val="0078304C"/>
    <w:rsid w:val="00783673"/>
    <w:rsid w:val="00785490"/>
    <w:rsid w:val="00791D76"/>
    <w:rsid w:val="007922C9"/>
    <w:rsid w:val="007925EA"/>
    <w:rsid w:val="0079296C"/>
    <w:rsid w:val="00793CD8"/>
    <w:rsid w:val="00795754"/>
    <w:rsid w:val="00795C92"/>
    <w:rsid w:val="00796231"/>
    <w:rsid w:val="007966F9"/>
    <w:rsid w:val="007A1CB3"/>
    <w:rsid w:val="007A2FEA"/>
    <w:rsid w:val="007A306F"/>
    <w:rsid w:val="007A43A6"/>
    <w:rsid w:val="007A58A6"/>
    <w:rsid w:val="007B1AF1"/>
    <w:rsid w:val="007B3D2D"/>
    <w:rsid w:val="007B50AE"/>
    <w:rsid w:val="007B51DF"/>
    <w:rsid w:val="007C05DD"/>
    <w:rsid w:val="007C3D18"/>
    <w:rsid w:val="007C60BF"/>
    <w:rsid w:val="007C6A07"/>
    <w:rsid w:val="007C75A1"/>
    <w:rsid w:val="007C77A5"/>
    <w:rsid w:val="007D04E5"/>
    <w:rsid w:val="007D0BA6"/>
    <w:rsid w:val="007D5901"/>
    <w:rsid w:val="007D7526"/>
    <w:rsid w:val="007E04DE"/>
    <w:rsid w:val="007E1DEB"/>
    <w:rsid w:val="007E3F88"/>
    <w:rsid w:val="007E4610"/>
    <w:rsid w:val="007E4715"/>
    <w:rsid w:val="007E505B"/>
    <w:rsid w:val="007E7091"/>
    <w:rsid w:val="007E784D"/>
    <w:rsid w:val="007F0BC2"/>
    <w:rsid w:val="007F424B"/>
    <w:rsid w:val="007F5412"/>
    <w:rsid w:val="007F5431"/>
    <w:rsid w:val="007F60D8"/>
    <w:rsid w:val="007F770B"/>
    <w:rsid w:val="00803FAE"/>
    <w:rsid w:val="0080605F"/>
    <w:rsid w:val="008072B6"/>
    <w:rsid w:val="00807786"/>
    <w:rsid w:val="0081144B"/>
    <w:rsid w:val="00811FCB"/>
    <w:rsid w:val="00812EBB"/>
    <w:rsid w:val="008133D4"/>
    <w:rsid w:val="008158D6"/>
    <w:rsid w:val="00815E28"/>
    <w:rsid w:val="00815F15"/>
    <w:rsid w:val="00816203"/>
    <w:rsid w:val="00816CA8"/>
    <w:rsid w:val="00817196"/>
    <w:rsid w:val="00820715"/>
    <w:rsid w:val="0082202E"/>
    <w:rsid w:val="008235DB"/>
    <w:rsid w:val="00824610"/>
    <w:rsid w:val="00824AB4"/>
    <w:rsid w:val="00825711"/>
    <w:rsid w:val="00825C42"/>
    <w:rsid w:val="00825D25"/>
    <w:rsid w:val="00826039"/>
    <w:rsid w:val="00826C8B"/>
    <w:rsid w:val="00827D6F"/>
    <w:rsid w:val="00832370"/>
    <w:rsid w:val="008361FC"/>
    <w:rsid w:val="0083700D"/>
    <w:rsid w:val="008376AC"/>
    <w:rsid w:val="00837973"/>
    <w:rsid w:val="008401B9"/>
    <w:rsid w:val="008444E8"/>
    <w:rsid w:val="00844E80"/>
    <w:rsid w:val="00846FE7"/>
    <w:rsid w:val="008509F6"/>
    <w:rsid w:val="00853569"/>
    <w:rsid w:val="00853B4D"/>
    <w:rsid w:val="00856911"/>
    <w:rsid w:val="00866694"/>
    <w:rsid w:val="008677FD"/>
    <w:rsid w:val="008706D4"/>
    <w:rsid w:val="00870F8A"/>
    <w:rsid w:val="008719A4"/>
    <w:rsid w:val="00871D23"/>
    <w:rsid w:val="00873177"/>
    <w:rsid w:val="00874312"/>
    <w:rsid w:val="0087437C"/>
    <w:rsid w:val="00875CD7"/>
    <w:rsid w:val="00876B4D"/>
    <w:rsid w:val="00877F18"/>
    <w:rsid w:val="008804A8"/>
    <w:rsid w:val="00884BB3"/>
    <w:rsid w:val="00884BD8"/>
    <w:rsid w:val="0088688F"/>
    <w:rsid w:val="00894A88"/>
    <w:rsid w:val="00895386"/>
    <w:rsid w:val="00896419"/>
    <w:rsid w:val="008A21FF"/>
    <w:rsid w:val="008A2CE2"/>
    <w:rsid w:val="008A30AC"/>
    <w:rsid w:val="008A44B8"/>
    <w:rsid w:val="008A51A8"/>
    <w:rsid w:val="008A54C7"/>
    <w:rsid w:val="008A6895"/>
    <w:rsid w:val="008A77D8"/>
    <w:rsid w:val="008B0483"/>
    <w:rsid w:val="008B120C"/>
    <w:rsid w:val="008B51A0"/>
    <w:rsid w:val="008B592A"/>
    <w:rsid w:val="008B6B47"/>
    <w:rsid w:val="008B7B5C"/>
    <w:rsid w:val="008C0461"/>
    <w:rsid w:val="008C0C99"/>
    <w:rsid w:val="008C2017"/>
    <w:rsid w:val="008C3368"/>
    <w:rsid w:val="008C4958"/>
    <w:rsid w:val="008C4BAA"/>
    <w:rsid w:val="008C50E4"/>
    <w:rsid w:val="008C53B1"/>
    <w:rsid w:val="008C544B"/>
    <w:rsid w:val="008C6ABA"/>
    <w:rsid w:val="008C6AE8"/>
    <w:rsid w:val="008C7573"/>
    <w:rsid w:val="008C779C"/>
    <w:rsid w:val="008C7DE4"/>
    <w:rsid w:val="008D03A9"/>
    <w:rsid w:val="008D34F1"/>
    <w:rsid w:val="008D39D8"/>
    <w:rsid w:val="008D4E4D"/>
    <w:rsid w:val="008D63C2"/>
    <w:rsid w:val="008D6D1A"/>
    <w:rsid w:val="008D74B4"/>
    <w:rsid w:val="008E065E"/>
    <w:rsid w:val="008E0927"/>
    <w:rsid w:val="008E153D"/>
    <w:rsid w:val="008E1909"/>
    <w:rsid w:val="008E3907"/>
    <w:rsid w:val="008E73C3"/>
    <w:rsid w:val="008F1EAB"/>
    <w:rsid w:val="008F33DC"/>
    <w:rsid w:val="008F477F"/>
    <w:rsid w:val="008F523A"/>
    <w:rsid w:val="008F58A4"/>
    <w:rsid w:val="00901AFE"/>
    <w:rsid w:val="00902350"/>
    <w:rsid w:val="0090336B"/>
    <w:rsid w:val="009053AA"/>
    <w:rsid w:val="0090544E"/>
    <w:rsid w:val="00906939"/>
    <w:rsid w:val="00910B7D"/>
    <w:rsid w:val="00911DFB"/>
    <w:rsid w:val="00912EC6"/>
    <w:rsid w:val="009139D9"/>
    <w:rsid w:val="00913E71"/>
    <w:rsid w:val="00914536"/>
    <w:rsid w:val="00914AD8"/>
    <w:rsid w:val="00914AE6"/>
    <w:rsid w:val="009158A3"/>
    <w:rsid w:val="00916046"/>
    <w:rsid w:val="00916079"/>
    <w:rsid w:val="00917CE9"/>
    <w:rsid w:val="00920BF2"/>
    <w:rsid w:val="00922010"/>
    <w:rsid w:val="00922DC7"/>
    <w:rsid w:val="00927915"/>
    <w:rsid w:val="00931363"/>
    <w:rsid w:val="00931BD9"/>
    <w:rsid w:val="00931D94"/>
    <w:rsid w:val="0093523B"/>
    <w:rsid w:val="00935CBB"/>
    <w:rsid w:val="009364D5"/>
    <w:rsid w:val="009368F3"/>
    <w:rsid w:val="009401DD"/>
    <w:rsid w:val="00941636"/>
    <w:rsid w:val="00941EA0"/>
    <w:rsid w:val="00943742"/>
    <w:rsid w:val="00944BED"/>
    <w:rsid w:val="00944D50"/>
    <w:rsid w:val="00945C05"/>
    <w:rsid w:val="00946945"/>
    <w:rsid w:val="00947713"/>
    <w:rsid w:val="00947F98"/>
    <w:rsid w:val="00950DE7"/>
    <w:rsid w:val="00951AF2"/>
    <w:rsid w:val="00953378"/>
    <w:rsid w:val="00953920"/>
    <w:rsid w:val="00953D47"/>
    <w:rsid w:val="0095681E"/>
    <w:rsid w:val="009572D4"/>
    <w:rsid w:val="00961921"/>
    <w:rsid w:val="0096415A"/>
    <w:rsid w:val="0096430A"/>
    <w:rsid w:val="0096554B"/>
    <w:rsid w:val="0096584A"/>
    <w:rsid w:val="009669F8"/>
    <w:rsid w:val="009675AA"/>
    <w:rsid w:val="009711F3"/>
    <w:rsid w:val="00971F08"/>
    <w:rsid w:val="009739BB"/>
    <w:rsid w:val="0097603D"/>
    <w:rsid w:val="00976949"/>
    <w:rsid w:val="00980477"/>
    <w:rsid w:val="00985253"/>
    <w:rsid w:val="009853B3"/>
    <w:rsid w:val="00986253"/>
    <w:rsid w:val="0098746D"/>
    <w:rsid w:val="00990630"/>
    <w:rsid w:val="00991761"/>
    <w:rsid w:val="009940CF"/>
    <w:rsid w:val="00994DCA"/>
    <w:rsid w:val="009957E6"/>
    <w:rsid w:val="009960EC"/>
    <w:rsid w:val="0099675E"/>
    <w:rsid w:val="009970DD"/>
    <w:rsid w:val="009976D3"/>
    <w:rsid w:val="009A04FA"/>
    <w:rsid w:val="009A0FBA"/>
    <w:rsid w:val="009A1282"/>
    <w:rsid w:val="009A1601"/>
    <w:rsid w:val="009A1E45"/>
    <w:rsid w:val="009A2251"/>
    <w:rsid w:val="009A2BD6"/>
    <w:rsid w:val="009A3653"/>
    <w:rsid w:val="009A462D"/>
    <w:rsid w:val="009A5CBA"/>
    <w:rsid w:val="009A7879"/>
    <w:rsid w:val="009B1928"/>
    <w:rsid w:val="009B1F30"/>
    <w:rsid w:val="009B2DC1"/>
    <w:rsid w:val="009B3AC2"/>
    <w:rsid w:val="009B4DF4"/>
    <w:rsid w:val="009B564E"/>
    <w:rsid w:val="009B6B66"/>
    <w:rsid w:val="009B7E87"/>
    <w:rsid w:val="009C36BB"/>
    <w:rsid w:val="009C3E9B"/>
    <w:rsid w:val="009C403E"/>
    <w:rsid w:val="009C487D"/>
    <w:rsid w:val="009C5408"/>
    <w:rsid w:val="009D0F73"/>
    <w:rsid w:val="009D23FF"/>
    <w:rsid w:val="009D28AD"/>
    <w:rsid w:val="009D38B6"/>
    <w:rsid w:val="009D48D5"/>
    <w:rsid w:val="009D4FF0"/>
    <w:rsid w:val="009D703C"/>
    <w:rsid w:val="009D718F"/>
    <w:rsid w:val="009E068F"/>
    <w:rsid w:val="009E14E0"/>
    <w:rsid w:val="009E35DB"/>
    <w:rsid w:val="009E47A3"/>
    <w:rsid w:val="009E47F2"/>
    <w:rsid w:val="009E4DC2"/>
    <w:rsid w:val="009F08F3"/>
    <w:rsid w:val="009F2B92"/>
    <w:rsid w:val="009F31A8"/>
    <w:rsid w:val="009F344F"/>
    <w:rsid w:val="009F46CC"/>
    <w:rsid w:val="009F7EC6"/>
    <w:rsid w:val="00A02B2F"/>
    <w:rsid w:val="00A048A8"/>
    <w:rsid w:val="00A04F49"/>
    <w:rsid w:val="00A07A3D"/>
    <w:rsid w:val="00A10C9D"/>
    <w:rsid w:val="00A12509"/>
    <w:rsid w:val="00A13B0D"/>
    <w:rsid w:val="00A13E54"/>
    <w:rsid w:val="00A14603"/>
    <w:rsid w:val="00A168E4"/>
    <w:rsid w:val="00A177A3"/>
    <w:rsid w:val="00A17F63"/>
    <w:rsid w:val="00A20B9F"/>
    <w:rsid w:val="00A2193B"/>
    <w:rsid w:val="00A2351A"/>
    <w:rsid w:val="00A23A3B"/>
    <w:rsid w:val="00A264A9"/>
    <w:rsid w:val="00A26E36"/>
    <w:rsid w:val="00A27785"/>
    <w:rsid w:val="00A27C9E"/>
    <w:rsid w:val="00A30187"/>
    <w:rsid w:val="00A319D8"/>
    <w:rsid w:val="00A31C10"/>
    <w:rsid w:val="00A3228F"/>
    <w:rsid w:val="00A323DD"/>
    <w:rsid w:val="00A3448A"/>
    <w:rsid w:val="00A36297"/>
    <w:rsid w:val="00A36D0A"/>
    <w:rsid w:val="00A3793A"/>
    <w:rsid w:val="00A41123"/>
    <w:rsid w:val="00A41E2B"/>
    <w:rsid w:val="00A43C12"/>
    <w:rsid w:val="00A45B74"/>
    <w:rsid w:val="00A51155"/>
    <w:rsid w:val="00A51F30"/>
    <w:rsid w:val="00A5254D"/>
    <w:rsid w:val="00A52E1D"/>
    <w:rsid w:val="00A54C27"/>
    <w:rsid w:val="00A57A1E"/>
    <w:rsid w:val="00A61499"/>
    <w:rsid w:val="00A61E54"/>
    <w:rsid w:val="00A62A77"/>
    <w:rsid w:val="00A63483"/>
    <w:rsid w:val="00A657D7"/>
    <w:rsid w:val="00A660AC"/>
    <w:rsid w:val="00A66E56"/>
    <w:rsid w:val="00A67E6C"/>
    <w:rsid w:val="00A7147C"/>
    <w:rsid w:val="00A71B99"/>
    <w:rsid w:val="00A739D0"/>
    <w:rsid w:val="00A75F64"/>
    <w:rsid w:val="00A761D4"/>
    <w:rsid w:val="00A77EC4"/>
    <w:rsid w:val="00A80760"/>
    <w:rsid w:val="00A80F56"/>
    <w:rsid w:val="00A9117F"/>
    <w:rsid w:val="00A92879"/>
    <w:rsid w:val="00A937F3"/>
    <w:rsid w:val="00A9442A"/>
    <w:rsid w:val="00A96603"/>
    <w:rsid w:val="00A96C83"/>
    <w:rsid w:val="00AA016F"/>
    <w:rsid w:val="00AA1ED6"/>
    <w:rsid w:val="00AA3BEF"/>
    <w:rsid w:val="00AA4F83"/>
    <w:rsid w:val="00AA51D6"/>
    <w:rsid w:val="00AA7770"/>
    <w:rsid w:val="00AB0BC8"/>
    <w:rsid w:val="00AB11CA"/>
    <w:rsid w:val="00AB14D9"/>
    <w:rsid w:val="00AB2AED"/>
    <w:rsid w:val="00AB2E29"/>
    <w:rsid w:val="00AB4AB8"/>
    <w:rsid w:val="00AB60B9"/>
    <w:rsid w:val="00AB655E"/>
    <w:rsid w:val="00AB73FE"/>
    <w:rsid w:val="00AB78AD"/>
    <w:rsid w:val="00AB7B6B"/>
    <w:rsid w:val="00AC007F"/>
    <w:rsid w:val="00AC0C54"/>
    <w:rsid w:val="00AC1DBA"/>
    <w:rsid w:val="00AC2ECD"/>
    <w:rsid w:val="00AC3119"/>
    <w:rsid w:val="00AC49FB"/>
    <w:rsid w:val="00AC4A79"/>
    <w:rsid w:val="00AC5A10"/>
    <w:rsid w:val="00AD0AA3"/>
    <w:rsid w:val="00AD1D0F"/>
    <w:rsid w:val="00AD3F94"/>
    <w:rsid w:val="00AD4A5A"/>
    <w:rsid w:val="00AD69D8"/>
    <w:rsid w:val="00AE27AC"/>
    <w:rsid w:val="00AE40E0"/>
    <w:rsid w:val="00AE4DBA"/>
    <w:rsid w:val="00AE4F07"/>
    <w:rsid w:val="00AE7AD1"/>
    <w:rsid w:val="00AE7C50"/>
    <w:rsid w:val="00AF1C5D"/>
    <w:rsid w:val="00AF4041"/>
    <w:rsid w:val="00AF42D7"/>
    <w:rsid w:val="00AF516E"/>
    <w:rsid w:val="00AF55D9"/>
    <w:rsid w:val="00AF70B2"/>
    <w:rsid w:val="00AF74F7"/>
    <w:rsid w:val="00B006FE"/>
    <w:rsid w:val="00B007CB"/>
    <w:rsid w:val="00B02AA9"/>
    <w:rsid w:val="00B02FA3"/>
    <w:rsid w:val="00B05084"/>
    <w:rsid w:val="00B110B8"/>
    <w:rsid w:val="00B157F9"/>
    <w:rsid w:val="00B16AFE"/>
    <w:rsid w:val="00B17CEC"/>
    <w:rsid w:val="00B20256"/>
    <w:rsid w:val="00B20D09"/>
    <w:rsid w:val="00B222B8"/>
    <w:rsid w:val="00B22673"/>
    <w:rsid w:val="00B2312B"/>
    <w:rsid w:val="00B2763F"/>
    <w:rsid w:val="00B27AAC"/>
    <w:rsid w:val="00B30929"/>
    <w:rsid w:val="00B365F9"/>
    <w:rsid w:val="00B372AA"/>
    <w:rsid w:val="00B3733B"/>
    <w:rsid w:val="00B37D79"/>
    <w:rsid w:val="00B40445"/>
    <w:rsid w:val="00B40975"/>
    <w:rsid w:val="00B41755"/>
    <w:rsid w:val="00B41888"/>
    <w:rsid w:val="00B42D70"/>
    <w:rsid w:val="00B436F4"/>
    <w:rsid w:val="00B45A52"/>
    <w:rsid w:val="00B46175"/>
    <w:rsid w:val="00B53729"/>
    <w:rsid w:val="00B563F3"/>
    <w:rsid w:val="00B607B1"/>
    <w:rsid w:val="00B60C52"/>
    <w:rsid w:val="00B664C7"/>
    <w:rsid w:val="00B673A4"/>
    <w:rsid w:val="00B739F6"/>
    <w:rsid w:val="00B7527D"/>
    <w:rsid w:val="00B8088E"/>
    <w:rsid w:val="00B816EA"/>
    <w:rsid w:val="00B81795"/>
    <w:rsid w:val="00B81A6C"/>
    <w:rsid w:val="00B81B0D"/>
    <w:rsid w:val="00B85DE5"/>
    <w:rsid w:val="00B86BCE"/>
    <w:rsid w:val="00B90F73"/>
    <w:rsid w:val="00B91858"/>
    <w:rsid w:val="00B925EE"/>
    <w:rsid w:val="00B92EA3"/>
    <w:rsid w:val="00B93B59"/>
    <w:rsid w:val="00B9406A"/>
    <w:rsid w:val="00B961F9"/>
    <w:rsid w:val="00B9650A"/>
    <w:rsid w:val="00B966BB"/>
    <w:rsid w:val="00BA2280"/>
    <w:rsid w:val="00BA2864"/>
    <w:rsid w:val="00BA2A08"/>
    <w:rsid w:val="00BA2CBB"/>
    <w:rsid w:val="00BA56D2"/>
    <w:rsid w:val="00BA76E0"/>
    <w:rsid w:val="00BB106F"/>
    <w:rsid w:val="00BB1544"/>
    <w:rsid w:val="00BB2A25"/>
    <w:rsid w:val="00BB51E9"/>
    <w:rsid w:val="00BB6077"/>
    <w:rsid w:val="00BC0FDC"/>
    <w:rsid w:val="00BC3053"/>
    <w:rsid w:val="00BC4D2E"/>
    <w:rsid w:val="00BC535D"/>
    <w:rsid w:val="00BC6E2C"/>
    <w:rsid w:val="00BC6FD2"/>
    <w:rsid w:val="00BD09F7"/>
    <w:rsid w:val="00BD1126"/>
    <w:rsid w:val="00BD1C33"/>
    <w:rsid w:val="00BD399E"/>
    <w:rsid w:val="00BD48AC"/>
    <w:rsid w:val="00BD5F1A"/>
    <w:rsid w:val="00BD7A42"/>
    <w:rsid w:val="00BE1234"/>
    <w:rsid w:val="00BE2FA6"/>
    <w:rsid w:val="00BE333F"/>
    <w:rsid w:val="00BE49D7"/>
    <w:rsid w:val="00BE7406"/>
    <w:rsid w:val="00BE7603"/>
    <w:rsid w:val="00BE7730"/>
    <w:rsid w:val="00BF257E"/>
    <w:rsid w:val="00BF3279"/>
    <w:rsid w:val="00BF53B3"/>
    <w:rsid w:val="00BF5DD0"/>
    <w:rsid w:val="00BF74C7"/>
    <w:rsid w:val="00C015F1"/>
    <w:rsid w:val="00C01F33"/>
    <w:rsid w:val="00C02CC6"/>
    <w:rsid w:val="00C040F7"/>
    <w:rsid w:val="00C044AB"/>
    <w:rsid w:val="00C04DD2"/>
    <w:rsid w:val="00C05706"/>
    <w:rsid w:val="00C05A9F"/>
    <w:rsid w:val="00C06C9D"/>
    <w:rsid w:val="00C07377"/>
    <w:rsid w:val="00C10478"/>
    <w:rsid w:val="00C10F3D"/>
    <w:rsid w:val="00C1131A"/>
    <w:rsid w:val="00C12107"/>
    <w:rsid w:val="00C1361C"/>
    <w:rsid w:val="00C13821"/>
    <w:rsid w:val="00C139E1"/>
    <w:rsid w:val="00C14D4B"/>
    <w:rsid w:val="00C154BB"/>
    <w:rsid w:val="00C15FA9"/>
    <w:rsid w:val="00C22738"/>
    <w:rsid w:val="00C26796"/>
    <w:rsid w:val="00C279B5"/>
    <w:rsid w:val="00C27C45"/>
    <w:rsid w:val="00C36C34"/>
    <w:rsid w:val="00C3719D"/>
    <w:rsid w:val="00C3787D"/>
    <w:rsid w:val="00C45B86"/>
    <w:rsid w:val="00C4609A"/>
    <w:rsid w:val="00C46F0A"/>
    <w:rsid w:val="00C4713E"/>
    <w:rsid w:val="00C54995"/>
    <w:rsid w:val="00C54D41"/>
    <w:rsid w:val="00C60783"/>
    <w:rsid w:val="00C6151D"/>
    <w:rsid w:val="00C632A4"/>
    <w:rsid w:val="00C643F6"/>
    <w:rsid w:val="00C64672"/>
    <w:rsid w:val="00C65BC9"/>
    <w:rsid w:val="00C6628F"/>
    <w:rsid w:val="00C701C1"/>
    <w:rsid w:val="00C70697"/>
    <w:rsid w:val="00C7110B"/>
    <w:rsid w:val="00C72EF4"/>
    <w:rsid w:val="00C75D2F"/>
    <w:rsid w:val="00C767BE"/>
    <w:rsid w:val="00C76E3C"/>
    <w:rsid w:val="00C77776"/>
    <w:rsid w:val="00C77795"/>
    <w:rsid w:val="00C80954"/>
    <w:rsid w:val="00C81568"/>
    <w:rsid w:val="00C84D8E"/>
    <w:rsid w:val="00C900B2"/>
    <w:rsid w:val="00C9027A"/>
    <w:rsid w:val="00C9068E"/>
    <w:rsid w:val="00C93C4B"/>
    <w:rsid w:val="00C9431A"/>
    <w:rsid w:val="00C944AB"/>
    <w:rsid w:val="00C95B40"/>
    <w:rsid w:val="00C97F98"/>
    <w:rsid w:val="00CA1ED8"/>
    <w:rsid w:val="00CB10C3"/>
    <w:rsid w:val="00CB1F63"/>
    <w:rsid w:val="00CB3D92"/>
    <w:rsid w:val="00CB7170"/>
    <w:rsid w:val="00CC040E"/>
    <w:rsid w:val="00CC111F"/>
    <w:rsid w:val="00CC172D"/>
    <w:rsid w:val="00CC2011"/>
    <w:rsid w:val="00CC2516"/>
    <w:rsid w:val="00CC3EA0"/>
    <w:rsid w:val="00CC4291"/>
    <w:rsid w:val="00CC4BC9"/>
    <w:rsid w:val="00CC7B45"/>
    <w:rsid w:val="00CD1188"/>
    <w:rsid w:val="00CD127A"/>
    <w:rsid w:val="00CD228A"/>
    <w:rsid w:val="00CD2ED1"/>
    <w:rsid w:val="00CD2FDF"/>
    <w:rsid w:val="00CD337B"/>
    <w:rsid w:val="00CD4C45"/>
    <w:rsid w:val="00CD5CF0"/>
    <w:rsid w:val="00CD6EB6"/>
    <w:rsid w:val="00CD7FE5"/>
    <w:rsid w:val="00CE0424"/>
    <w:rsid w:val="00CE2C0E"/>
    <w:rsid w:val="00CE3890"/>
    <w:rsid w:val="00CE3D86"/>
    <w:rsid w:val="00CE6087"/>
    <w:rsid w:val="00CE7561"/>
    <w:rsid w:val="00CF0508"/>
    <w:rsid w:val="00CF1354"/>
    <w:rsid w:val="00CF3B1F"/>
    <w:rsid w:val="00CF3BF6"/>
    <w:rsid w:val="00CF45AD"/>
    <w:rsid w:val="00CF5B6A"/>
    <w:rsid w:val="00CF625B"/>
    <w:rsid w:val="00CF687E"/>
    <w:rsid w:val="00D00374"/>
    <w:rsid w:val="00D00AE7"/>
    <w:rsid w:val="00D00C0C"/>
    <w:rsid w:val="00D0349B"/>
    <w:rsid w:val="00D06F4F"/>
    <w:rsid w:val="00D10249"/>
    <w:rsid w:val="00D107E5"/>
    <w:rsid w:val="00D114A9"/>
    <w:rsid w:val="00D115C3"/>
    <w:rsid w:val="00D11897"/>
    <w:rsid w:val="00D1231D"/>
    <w:rsid w:val="00D13135"/>
    <w:rsid w:val="00D13E4E"/>
    <w:rsid w:val="00D20493"/>
    <w:rsid w:val="00D22D5E"/>
    <w:rsid w:val="00D22FF1"/>
    <w:rsid w:val="00D2352E"/>
    <w:rsid w:val="00D239A7"/>
    <w:rsid w:val="00D23F47"/>
    <w:rsid w:val="00D32A9B"/>
    <w:rsid w:val="00D331ED"/>
    <w:rsid w:val="00D36E71"/>
    <w:rsid w:val="00D3710F"/>
    <w:rsid w:val="00D37D87"/>
    <w:rsid w:val="00D40B33"/>
    <w:rsid w:val="00D42464"/>
    <w:rsid w:val="00D4318F"/>
    <w:rsid w:val="00D438BF"/>
    <w:rsid w:val="00D440F8"/>
    <w:rsid w:val="00D5403F"/>
    <w:rsid w:val="00D546FF"/>
    <w:rsid w:val="00D547DD"/>
    <w:rsid w:val="00D54964"/>
    <w:rsid w:val="00D55AD5"/>
    <w:rsid w:val="00D576CA"/>
    <w:rsid w:val="00D61AF5"/>
    <w:rsid w:val="00D651D2"/>
    <w:rsid w:val="00D652B5"/>
    <w:rsid w:val="00D66155"/>
    <w:rsid w:val="00D66CAA"/>
    <w:rsid w:val="00D708B0"/>
    <w:rsid w:val="00D70B53"/>
    <w:rsid w:val="00D72787"/>
    <w:rsid w:val="00D72C50"/>
    <w:rsid w:val="00D754DB"/>
    <w:rsid w:val="00D77B1D"/>
    <w:rsid w:val="00D8005C"/>
    <w:rsid w:val="00D8021F"/>
    <w:rsid w:val="00D80383"/>
    <w:rsid w:val="00D80AC8"/>
    <w:rsid w:val="00D823C6"/>
    <w:rsid w:val="00D8292C"/>
    <w:rsid w:val="00D84043"/>
    <w:rsid w:val="00D84917"/>
    <w:rsid w:val="00D86CA3"/>
    <w:rsid w:val="00D871CE"/>
    <w:rsid w:val="00D9196D"/>
    <w:rsid w:val="00D92982"/>
    <w:rsid w:val="00D93051"/>
    <w:rsid w:val="00D95DF5"/>
    <w:rsid w:val="00DA024C"/>
    <w:rsid w:val="00DA1092"/>
    <w:rsid w:val="00DA11A4"/>
    <w:rsid w:val="00DA305E"/>
    <w:rsid w:val="00DA3327"/>
    <w:rsid w:val="00DA5417"/>
    <w:rsid w:val="00DA56E8"/>
    <w:rsid w:val="00DA7DB7"/>
    <w:rsid w:val="00DB099D"/>
    <w:rsid w:val="00DB0A9F"/>
    <w:rsid w:val="00DB271A"/>
    <w:rsid w:val="00DB377D"/>
    <w:rsid w:val="00DB440E"/>
    <w:rsid w:val="00DB6176"/>
    <w:rsid w:val="00DC1C50"/>
    <w:rsid w:val="00DC2D36"/>
    <w:rsid w:val="00DC3E5B"/>
    <w:rsid w:val="00DC4AE8"/>
    <w:rsid w:val="00DC53EF"/>
    <w:rsid w:val="00DD2EEA"/>
    <w:rsid w:val="00DD5018"/>
    <w:rsid w:val="00DD57BF"/>
    <w:rsid w:val="00DD6051"/>
    <w:rsid w:val="00DD6BE3"/>
    <w:rsid w:val="00DD6CA7"/>
    <w:rsid w:val="00DD7250"/>
    <w:rsid w:val="00DE034D"/>
    <w:rsid w:val="00DE3BDB"/>
    <w:rsid w:val="00DE5608"/>
    <w:rsid w:val="00DE58D0"/>
    <w:rsid w:val="00DE654F"/>
    <w:rsid w:val="00DE6B76"/>
    <w:rsid w:val="00DF0B6E"/>
    <w:rsid w:val="00DF15E0"/>
    <w:rsid w:val="00DF37A0"/>
    <w:rsid w:val="00DF5B71"/>
    <w:rsid w:val="00DF6938"/>
    <w:rsid w:val="00DF7229"/>
    <w:rsid w:val="00E00660"/>
    <w:rsid w:val="00E00BE1"/>
    <w:rsid w:val="00E00FBD"/>
    <w:rsid w:val="00E03357"/>
    <w:rsid w:val="00E0439B"/>
    <w:rsid w:val="00E07842"/>
    <w:rsid w:val="00E110E7"/>
    <w:rsid w:val="00E11B20"/>
    <w:rsid w:val="00E14C07"/>
    <w:rsid w:val="00E15FF9"/>
    <w:rsid w:val="00E16666"/>
    <w:rsid w:val="00E175C8"/>
    <w:rsid w:val="00E17FA2"/>
    <w:rsid w:val="00E21CAE"/>
    <w:rsid w:val="00E22330"/>
    <w:rsid w:val="00E24655"/>
    <w:rsid w:val="00E30B5A"/>
    <w:rsid w:val="00E30E5A"/>
    <w:rsid w:val="00E3123D"/>
    <w:rsid w:val="00E31461"/>
    <w:rsid w:val="00E31D43"/>
    <w:rsid w:val="00E32608"/>
    <w:rsid w:val="00E33CEB"/>
    <w:rsid w:val="00E34188"/>
    <w:rsid w:val="00E34B6E"/>
    <w:rsid w:val="00E35559"/>
    <w:rsid w:val="00E35D73"/>
    <w:rsid w:val="00E3723A"/>
    <w:rsid w:val="00E37860"/>
    <w:rsid w:val="00E37F2E"/>
    <w:rsid w:val="00E426EA"/>
    <w:rsid w:val="00E446F1"/>
    <w:rsid w:val="00E447D4"/>
    <w:rsid w:val="00E46886"/>
    <w:rsid w:val="00E47AEF"/>
    <w:rsid w:val="00E50DDC"/>
    <w:rsid w:val="00E52A05"/>
    <w:rsid w:val="00E53B75"/>
    <w:rsid w:val="00E54E3B"/>
    <w:rsid w:val="00E57565"/>
    <w:rsid w:val="00E63838"/>
    <w:rsid w:val="00E64434"/>
    <w:rsid w:val="00E650C6"/>
    <w:rsid w:val="00E67C51"/>
    <w:rsid w:val="00E707C9"/>
    <w:rsid w:val="00E71F75"/>
    <w:rsid w:val="00E72EFC"/>
    <w:rsid w:val="00E73179"/>
    <w:rsid w:val="00E758EC"/>
    <w:rsid w:val="00E77CCC"/>
    <w:rsid w:val="00E77E43"/>
    <w:rsid w:val="00E805AA"/>
    <w:rsid w:val="00E8234C"/>
    <w:rsid w:val="00E83AA9"/>
    <w:rsid w:val="00E83DBA"/>
    <w:rsid w:val="00E84956"/>
    <w:rsid w:val="00E85928"/>
    <w:rsid w:val="00E85FF7"/>
    <w:rsid w:val="00E87822"/>
    <w:rsid w:val="00E90395"/>
    <w:rsid w:val="00E90E49"/>
    <w:rsid w:val="00E917F9"/>
    <w:rsid w:val="00E9291C"/>
    <w:rsid w:val="00E92E60"/>
    <w:rsid w:val="00E93FFE"/>
    <w:rsid w:val="00E94F8A"/>
    <w:rsid w:val="00E951EC"/>
    <w:rsid w:val="00E95E70"/>
    <w:rsid w:val="00E9752B"/>
    <w:rsid w:val="00EA152D"/>
    <w:rsid w:val="00EA78C1"/>
    <w:rsid w:val="00EA7A41"/>
    <w:rsid w:val="00EB031C"/>
    <w:rsid w:val="00EB077B"/>
    <w:rsid w:val="00EB0908"/>
    <w:rsid w:val="00EB0A9E"/>
    <w:rsid w:val="00EB13E5"/>
    <w:rsid w:val="00EB4EA2"/>
    <w:rsid w:val="00EB6442"/>
    <w:rsid w:val="00EB77F4"/>
    <w:rsid w:val="00EB7F98"/>
    <w:rsid w:val="00EC27C6"/>
    <w:rsid w:val="00EC4207"/>
    <w:rsid w:val="00EC5653"/>
    <w:rsid w:val="00EC6057"/>
    <w:rsid w:val="00EC71CE"/>
    <w:rsid w:val="00ED1006"/>
    <w:rsid w:val="00ED1628"/>
    <w:rsid w:val="00ED2AAD"/>
    <w:rsid w:val="00ED392B"/>
    <w:rsid w:val="00ED44FC"/>
    <w:rsid w:val="00ED4BB1"/>
    <w:rsid w:val="00ED645F"/>
    <w:rsid w:val="00ED7BF8"/>
    <w:rsid w:val="00ED7D94"/>
    <w:rsid w:val="00EE39DA"/>
    <w:rsid w:val="00EE644E"/>
    <w:rsid w:val="00EE6E75"/>
    <w:rsid w:val="00EF095C"/>
    <w:rsid w:val="00EF18FE"/>
    <w:rsid w:val="00EF3C81"/>
    <w:rsid w:val="00EF4221"/>
    <w:rsid w:val="00EF4C30"/>
    <w:rsid w:val="00EF5787"/>
    <w:rsid w:val="00EF60D0"/>
    <w:rsid w:val="00F0524C"/>
    <w:rsid w:val="00F0528D"/>
    <w:rsid w:val="00F06C67"/>
    <w:rsid w:val="00F06DFD"/>
    <w:rsid w:val="00F071D1"/>
    <w:rsid w:val="00F07533"/>
    <w:rsid w:val="00F10595"/>
    <w:rsid w:val="00F10629"/>
    <w:rsid w:val="00F15FA5"/>
    <w:rsid w:val="00F163BE"/>
    <w:rsid w:val="00F2058D"/>
    <w:rsid w:val="00F209B7"/>
    <w:rsid w:val="00F210A7"/>
    <w:rsid w:val="00F22C93"/>
    <w:rsid w:val="00F2376F"/>
    <w:rsid w:val="00F243D8"/>
    <w:rsid w:val="00F2556B"/>
    <w:rsid w:val="00F262AD"/>
    <w:rsid w:val="00F278B2"/>
    <w:rsid w:val="00F27B04"/>
    <w:rsid w:val="00F30828"/>
    <w:rsid w:val="00F313D6"/>
    <w:rsid w:val="00F33C74"/>
    <w:rsid w:val="00F3458B"/>
    <w:rsid w:val="00F40F0C"/>
    <w:rsid w:val="00F42239"/>
    <w:rsid w:val="00F44241"/>
    <w:rsid w:val="00F44F7E"/>
    <w:rsid w:val="00F4766C"/>
    <w:rsid w:val="00F50548"/>
    <w:rsid w:val="00F507D1"/>
    <w:rsid w:val="00F514BD"/>
    <w:rsid w:val="00F5180D"/>
    <w:rsid w:val="00F519CE"/>
    <w:rsid w:val="00F51ADA"/>
    <w:rsid w:val="00F56091"/>
    <w:rsid w:val="00F572C8"/>
    <w:rsid w:val="00F607C5"/>
    <w:rsid w:val="00F60DEA"/>
    <w:rsid w:val="00F60E22"/>
    <w:rsid w:val="00F6302A"/>
    <w:rsid w:val="00F64C2B"/>
    <w:rsid w:val="00F651BE"/>
    <w:rsid w:val="00F66B19"/>
    <w:rsid w:val="00F677E0"/>
    <w:rsid w:val="00F67F53"/>
    <w:rsid w:val="00F703BE"/>
    <w:rsid w:val="00F71F69"/>
    <w:rsid w:val="00F72B72"/>
    <w:rsid w:val="00F74BB9"/>
    <w:rsid w:val="00F75582"/>
    <w:rsid w:val="00F765A3"/>
    <w:rsid w:val="00F76A5A"/>
    <w:rsid w:val="00F76EFA"/>
    <w:rsid w:val="00F8033E"/>
    <w:rsid w:val="00F804BE"/>
    <w:rsid w:val="00F817CE"/>
    <w:rsid w:val="00F81AF6"/>
    <w:rsid w:val="00F8456C"/>
    <w:rsid w:val="00F848DD"/>
    <w:rsid w:val="00F84C22"/>
    <w:rsid w:val="00F859D8"/>
    <w:rsid w:val="00F8626D"/>
    <w:rsid w:val="00F86334"/>
    <w:rsid w:val="00F868F5"/>
    <w:rsid w:val="00F9056A"/>
    <w:rsid w:val="00F90A97"/>
    <w:rsid w:val="00F90F8D"/>
    <w:rsid w:val="00F92782"/>
    <w:rsid w:val="00F93A82"/>
    <w:rsid w:val="00F93AA9"/>
    <w:rsid w:val="00F93F7E"/>
    <w:rsid w:val="00F94C82"/>
    <w:rsid w:val="00F96985"/>
    <w:rsid w:val="00F974D0"/>
    <w:rsid w:val="00F97838"/>
    <w:rsid w:val="00FA0E31"/>
    <w:rsid w:val="00FA2BB3"/>
    <w:rsid w:val="00FA3B9D"/>
    <w:rsid w:val="00FB216B"/>
    <w:rsid w:val="00FB35E4"/>
    <w:rsid w:val="00FB3B05"/>
    <w:rsid w:val="00FB4C80"/>
    <w:rsid w:val="00FB6A6A"/>
    <w:rsid w:val="00FC4E33"/>
    <w:rsid w:val="00FC721F"/>
    <w:rsid w:val="00FC7429"/>
    <w:rsid w:val="00FC74B1"/>
    <w:rsid w:val="00FD07F6"/>
    <w:rsid w:val="00FD0EE5"/>
    <w:rsid w:val="00FD1EC8"/>
    <w:rsid w:val="00FD2354"/>
    <w:rsid w:val="00FD292F"/>
    <w:rsid w:val="00FD2CF0"/>
    <w:rsid w:val="00FD47ED"/>
    <w:rsid w:val="00FD50C6"/>
    <w:rsid w:val="00FD74DB"/>
    <w:rsid w:val="00FD7660"/>
    <w:rsid w:val="00FE02EF"/>
    <w:rsid w:val="00FE0655"/>
    <w:rsid w:val="00FE09D3"/>
    <w:rsid w:val="00FE2149"/>
    <w:rsid w:val="00FE2365"/>
    <w:rsid w:val="00FE2ABC"/>
    <w:rsid w:val="00FE2C32"/>
    <w:rsid w:val="00FE395F"/>
    <w:rsid w:val="00FE4C7B"/>
    <w:rsid w:val="00FE66DA"/>
    <w:rsid w:val="00FE7336"/>
    <w:rsid w:val="00FE787C"/>
    <w:rsid w:val="00FF44FC"/>
    <w:rsid w:val="00FF45A5"/>
    <w:rsid w:val="00FF5C91"/>
    <w:rsid w:val="00FF6DD6"/>
    <w:rsid w:val="00FF71DE"/>
    <w:rsid w:val="20248353"/>
    <w:rsid w:val="369FF265"/>
    <w:rsid w:val="52BA6E87"/>
    <w:rsid w:val="677B6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F30"/>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51F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1F30"/>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link w:val="ListParagraphChar"/>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Theme="minorHAnsi" w:eastAsiaTheme="minorHAnsi" w:hAnsiTheme="minorHAnsi" w:cstheme="minorBidi"/>
      <w:sz w:val="22"/>
      <w:szCs w:val="22"/>
    </w:rPr>
  </w:style>
  <w:style w:type="paragraph" w:styleId="NormalWeb">
    <w:name w:val="Normal (Web)"/>
    <w:basedOn w:val="Normal"/>
    <w:uiPriority w:val="99"/>
    <w:unhideWhenUsed/>
    <w:rsid w:val="00E35D73"/>
    <w:pPr>
      <w:spacing w:before="100" w:beforeAutospacing="1" w:after="100" w:afterAutospacing="1"/>
    </w:pPr>
    <w:rPr>
      <w:rFonts w:ascii="Times New Roman"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PlainTable3">
    <w:name w:val="Plain Table 3"/>
    <w:basedOn w:val="TableNormal"/>
    <w:uiPriority w:val="43"/>
    <w:rsid w:val="00C97F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C97F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p-fs4b">
    <w:name w:val="dsp-fs4b"/>
    <w:basedOn w:val="Normal"/>
    <w:rsid w:val="008361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73FE"/>
    <w:rPr>
      <w:rFonts w:ascii="Arial" w:hAnsi="Arial" w:cs="Arial"/>
      <w:b/>
      <w:bCs/>
      <w:i/>
      <w:iCs/>
      <w:noProof/>
      <w:sz w:val="18"/>
      <w:szCs w:val="18"/>
      <w:lang w:eastAsia="zh-CN"/>
    </w:rPr>
  </w:style>
  <w:style w:type="character" w:styleId="Emphasis">
    <w:name w:val="Emphasis"/>
    <w:basedOn w:val="DefaultParagraphFont"/>
    <w:qFormat/>
    <w:rsid w:val="00825711"/>
    <w:rPr>
      <w:i/>
      <w:iCs/>
    </w:rPr>
  </w:style>
  <w:style w:type="paragraph" w:styleId="Title">
    <w:name w:val="Title"/>
    <w:basedOn w:val="Normal"/>
    <w:next w:val="Normal"/>
    <w:link w:val="TitleChar"/>
    <w:qFormat/>
    <w:rsid w:val="0082571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5711"/>
    <w:rPr>
      <w:rFonts w:asciiTheme="majorHAnsi" w:eastAsiaTheme="majorEastAsia" w:hAnsiTheme="majorHAnsi" w:cstheme="majorBidi"/>
      <w:spacing w:val="-10"/>
      <w:kern w:val="28"/>
      <w:sz w:val="56"/>
      <w:szCs w:val="56"/>
    </w:rPr>
  </w:style>
  <w:style w:type="paragraph" w:customStyle="1" w:styleId="body">
    <w:name w:val="body"/>
    <w:basedOn w:val="Normal"/>
    <w:rsid w:val="007F0BC2"/>
    <w:pPr>
      <w:spacing w:before="240" w:line="300" w:lineRule="atLeast"/>
    </w:pPr>
    <w:rPr>
      <w:rFonts w:ascii="Arial" w:eastAsia="Times New Roman" w:hAnsi="Arial" w:cs="Arial"/>
      <w:szCs w:val="24"/>
    </w:rPr>
  </w:style>
  <w:style w:type="table" w:styleId="GridTable5Dark-Accent1">
    <w:name w:val="Grid Table 5 Dark Accent 1"/>
    <w:basedOn w:val="TableNormal"/>
    <w:uiPriority w:val="50"/>
    <w:rsid w:val="005061A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Bulletedo1">
    <w:name w:val="Bulleted o 1"/>
    <w:basedOn w:val="Normal"/>
    <w:rsid w:val="005041DB"/>
    <w:pPr>
      <w:numPr>
        <w:numId w:val="3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link w:val="ListParagraph"/>
    <w:uiPriority w:val="34"/>
    <w:locked/>
    <w:rsid w:val="00B2312B"/>
    <w:rPr>
      <w:rFonts w:ascii="Calibri" w:eastAsia="Calibri" w:hAnsi="Calibri" w:cstheme="minorBidi"/>
      <w:sz w:val="22"/>
      <w:szCs w:val="22"/>
    </w:rPr>
  </w:style>
  <w:style w:type="paragraph" w:styleId="PlainText">
    <w:name w:val="Plain Text"/>
    <w:basedOn w:val="Normal"/>
    <w:link w:val="PlainTextChar"/>
    <w:uiPriority w:val="99"/>
    <w:unhideWhenUsed/>
    <w:rsid w:val="00E00FBD"/>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E00FBD"/>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246">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101340747">
      <w:bodyDiv w:val="1"/>
      <w:marLeft w:val="0"/>
      <w:marRight w:val="0"/>
      <w:marTop w:val="0"/>
      <w:marBottom w:val="0"/>
      <w:divBdr>
        <w:top w:val="none" w:sz="0" w:space="0" w:color="auto"/>
        <w:left w:val="none" w:sz="0" w:space="0" w:color="auto"/>
        <w:bottom w:val="none" w:sz="0" w:space="0" w:color="auto"/>
        <w:right w:val="none" w:sz="0" w:space="0" w:color="auto"/>
      </w:divBdr>
    </w:div>
    <w:div w:id="143284410">
      <w:bodyDiv w:val="1"/>
      <w:marLeft w:val="0"/>
      <w:marRight w:val="0"/>
      <w:marTop w:val="0"/>
      <w:marBottom w:val="0"/>
      <w:divBdr>
        <w:top w:val="none" w:sz="0" w:space="0" w:color="auto"/>
        <w:left w:val="none" w:sz="0" w:space="0" w:color="auto"/>
        <w:bottom w:val="none" w:sz="0" w:space="0" w:color="auto"/>
        <w:right w:val="none" w:sz="0" w:space="0" w:color="auto"/>
      </w:divBdr>
    </w:div>
    <w:div w:id="274873705">
      <w:bodyDiv w:val="1"/>
      <w:marLeft w:val="0"/>
      <w:marRight w:val="0"/>
      <w:marTop w:val="0"/>
      <w:marBottom w:val="0"/>
      <w:divBdr>
        <w:top w:val="none" w:sz="0" w:space="0" w:color="auto"/>
        <w:left w:val="none" w:sz="0" w:space="0" w:color="auto"/>
        <w:bottom w:val="none" w:sz="0" w:space="0" w:color="auto"/>
        <w:right w:val="none" w:sz="0" w:space="0" w:color="auto"/>
      </w:divBdr>
    </w:div>
    <w:div w:id="475729567">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02416417">
      <w:bodyDiv w:val="1"/>
      <w:marLeft w:val="0"/>
      <w:marRight w:val="0"/>
      <w:marTop w:val="0"/>
      <w:marBottom w:val="0"/>
      <w:divBdr>
        <w:top w:val="none" w:sz="0" w:space="0" w:color="auto"/>
        <w:left w:val="none" w:sz="0" w:space="0" w:color="auto"/>
        <w:bottom w:val="none" w:sz="0" w:space="0" w:color="auto"/>
        <w:right w:val="none" w:sz="0" w:space="0" w:color="auto"/>
      </w:divBdr>
      <w:divsChild>
        <w:div w:id="2106263195">
          <w:marLeft w:val="403"/>
          <w:marRight w:val="0"/>
          <w:marTop w:val="96"/>
          <w:marBottom w:val="0"/>
          <w:divBdr>
            <w:top w:val="none" w:sz="0" w:space="0" w:color="auto"/>
            <w:left w:val="none" w:sz="0" w:space="0" w:color="auto"/>
            <w:bottom w:val="none" w:sz="0" w:space="0" w:color="auto"/>
            <w:right w:val="none" w:sz="0" w:space="0" w:color="auto"/>
          </w:divBdr>
        </w:div>
        <w:div w:id="1922907350">
          <w:marLeft w:val="403"/>
          <w:marRight w:val="0"/>
          <w:marTop w:val="96"/>
          <w:marBottom w:val="0"/>
          <w:divBdr>
            <w:top w:val="none" w:sz="0" w:space="0" w:color="auto"/>
            <w:left w:val="none" w:sz="0" w:space="0" w:color="auto"/>
            <w:bottom w:val="none" w:sz="0" w:space="0" w:color="auto"/>
            <w:right w:val="none" w:sz="0" w:space="0" w:color="auto"/>
          </w:divBdr>
        </w:div>
        <w:div w:id="1222056776">
          <w:marLeft w:val="878"/>
          <w:marRight w:val="0"/>
          <w:marTop w:val="8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255900">
      <w:bodyDiv w:val="1"/>
      <w:marLeft w:val="0"/>
      <w:marRight w:val="0"/>
      <w:marTop w:val="0"/>
      <w:marBottom w:val="0"/>
      <w:divBdr>
        <w:top w:val="none" w:sz="0" w:space="0" w:color="auto"/>
        <w:left w:val="none" w:sz="0" w:space="0" w:color="auto"/>
        <w:bottom w:val="none" w:sz="0" w:space="0" w:color="auto"/>
        <w:right w:val="none" w:sz="0" w:space="0" w:color="auto"/>
      </w:divBdr>
    </w:div>
    <w:div w:id="712268841">
      <w:bodyDiv w:val="1"/>
      <w:marLeft w:val="0"/>
      <w:marRight w:val="0"/>
      <w:marTop w:val="0"/>
      <w:marBottom w:val="0"/>
      <w:divBdr>
        <w:top w:val="none" w:sz="0" w:space="0" w:color="auto"/>
        <w:left w:val="none" w:sz="0" w:space="0" w:color="auto"/>
        <w:bottom w:val="none" w:sz="0" w:space="0" w:color="auto"/>
        <w:right w:val="none" w:sz="0" w:space="0" w:color="auto"/>
      </w:divBdr>
      <w:divsChild>
        <w:div w:id="166871438">
          <w:marLeft w:val="878"/>
          <w:marRight w:val="0"/>
          <w:marTop w:val="86"/>
          <w:marBottom w:val="0"/>
          <w:divBdr>
            <w:top w:val="none" w:sz="0" w:space="0" w:color="auto"/>
            <w:left w:val="none" w:sz="0" w:space="0" w:color="auto"/>
            <w:bottom w:val="none" w:sz="0" w:space="0" w:color="auto"/>
            <w:right w:val="none" w:sz="0" w:space="0" w:color="auto"/>
          </w:divBdr>
        </w:div>
        <w:div w:id="1474715374">
          <w:marLeft w:val="878"/>
          <w:marRight w:val="0"/>
          <w:marTop w:val="86"/>
          <w:marBottom w:val="0"/>
          <w:divBdr>
            <w:top w:val="none" w:sz="0" w:space="0" w:color="auto"/>
            <w:left w:val="none" w:sz="0" w:space="0" w:color="auto"/>
            <w:bottom w:val="none" w:sz="0" w:space="0" w:color="auto"/>
            <w:right w:val="none" w:sz="0" w:space="0" w:color="auto"/>
          </w:divBdr>
        </w:div>
        <w:div w:id="1603803922">
          <w:marLeft w:val="878"/>
          <w:marRight w:val="0"/>
          <w:marTop w:val="96"/>
          <w:marBottom w:val="0"/>
          <w:divBdr>
            <w:top w:val="none" w:sz="0" w:space="0" w:color="auto"/>
            <w:left w:val="none" w:sz="0" w:space="0" w:color="auto"/>
            <w:bottom w:val="none" w:sz="0" w:space="0" w:color="auto"/>
            <w:right w:val="none" w:sz="0" w:space="0" w:color="auto"/>
          </w:divBdr>
        </w:div>
        <w:div w:id="497623504">
          <w:marLeft w:val="1210"/>
          <w:marRight w:val="0"/>
          <w:marTop w:val="86"/>
          <w:marBottom w:val="0"/>
          <w:divBdr>
            <w:top w:val="none" w:sz="0" w:space="0" w:color="auto"/>
            <w:left w:val="none" w:sz="0" w:space="0" w:color="auto"/>
            <w:bottom w:val="none" w:sz="0" w:space="0" w:color="auto"/>
            <w:right w:val="none" w:sz="0" w:space="0" w:color="auto"/>
          </w:divBdr>
        </w:div>
        <w:div w:id="347754721">
          <w:marLeft w:val="1210"/>
          <w:marRight w:val="0"/>
          <w:marTop w:val="86"/>
          <w:marBottom w:val="0"/>
          <w:divBdr>
            <w:top w:val="none" w:sz="0" w:space="0" w:color="auto"/>
            <w:left w:val="none" w:sz="0" w:space="0" w:color="auto"/>
            <w:bottom w:val="none" w:sz="0" w:space="0" w:color="auto"/>
            <w:right w:val="none" w:sz="0" w:space="0" w:color="auto"/>
          </w:divBdr>
        </w:div>
        <w:div w:id="1252006706">
          <w:marLeft w:val="1210"/>
          <w:marRight w:val="0"/>
          <w:marTop w:val="86"/>
          <w:marBottom w:val="0"/>
          <w:divBdr>
            <w:top w:val="none" w:sz="0" w:space="0" w:color="auto"/>
            <w:left w:val="none" w:sz="0" w:space="0" w:color="auto"/>
            <w:bottom w:val="none" w:sz="0" w:space="0" w:color="auto"/>
            <w:right w:val="none" w:sz="0" w:space="0" w:color="auto"/>
          </w:divBdr>
        </w:div>
        <w:div w:id="810253483">
          <w:marLeft w:val="878"/>
          <w:marRight w:val="0"/>
          <w:marTop w:val="96"/>
          <w:marBottom w:val="0"/>
          <w:divBdr>
            <w:top w:val="none" w:sz="0" w:space="0" w:color="auto"/>
            <w:left w:val="none" w:sz="0" w:space="0" w:color="auto"/>
            <w:bottom w:val="none" w:sz="0" w:space="0" w:color="auto"/>
            <w:right w:val="none" w:sz="0" w:space="0" w:color="auto"/>
          </w:divBdr>
        </w:div>
        <w:div w:id="1390693435">
          <w:marLeft w:val="1210"/>
          <w:marRight w:val="0"/>
          <w:marTop w:val="86"/>
          <w:marBottom w:val="0"/>
          <w:divBdr>
            <w:top w:val="none" w:sz="0" w:space="0" w:color="auto"/>
            <w:left w:val="none" w:sz="0" w:space="0" w:color="auto"/>
            <w:bottom w:val="none" w:sz="0" w:space="0" w:color="auto"/>
            <w:right w:val="none" w:sz="0" w:space="0" w:color="auto"/>
          </w:divBdr>
        </w:div>
        <w:div w:id="1104230378">
          <w:marLeft w:val="1210"/>
          <w:marRight w:val="0"/>
          <w:marTop w:val="86"/>
          <w:marBottom w:val="0"/>
          <w:divBdr>
            <w:top w:val="none" w:sz="0" w:space="0" w:color="auto"/>
            <w:left w:val="none" w:sz="0" w:space="0" w:color="auto"/>
            <w:bottom w:val="none" w:sz="0" w:space="0" w:color="auto"/>
            <w:right w:val="none" w:sz="0" w:space="0" w:color="auto"/>
          </w:divBdr>
        </w:div>
      </w:divsChild>
    </w:div>
    <w:div w:id="807555413">
      <w:bodyDiv w:val="1"/>
      <w:marLeft w:val="0"/>
      <w:marRight w:val="0"/>
      <w:marTop w:val="0"/>
      <w:marBottom w:val="0"/>
      <w:divBdr>
        <w:top w:val="none" w:sz="0" w:space="0" w:color="auto"/>
        <w:left w:val="none" w:sz="0" w:space="0" w:color="auto"/>
        <w:bottom w:val="none" w:sz="0" w:space="0" w:color="auto"/>
        <w:right w:val="none" w:sz="0" w:space="0" w:color="auto"/>
      </w:divBdr>
    </w:div>
    <w:div w:id="880751310">
      <w:bodyDiv w:val="1"/>
      <w:marLeft w:val="0"/>
      <w:marRight w:val="0"/>
      <w:marTop w:val="0"/>
      <w:marBottom w:val="0"/>
      <w:divBdr>
        <w:top w:val="none" w:sz="0" w:space="0" w:color="auto"/>
        <w:left w:val="none" w:sz="0" w:space="0" w:color="auto"/>
        <w:bottom w:val="none" w:sz="0" w:space="0" w:color="auto"/>
        <w:right w:val="none" w:sz="0" w:space="0" w:color="auto"/>
      </w:divBdr>
    </w:div>
    <w:div w:id="912860253">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8031725">
      <w:bodyDiv w:val="1"/>
      <w:marLeft w:val="0"/>
      <w:marRight w:val="0"/>
      <w:marTop w:val="0"/>
      <w:marBottom w:val="0"/>
      <w:divBdr>
        <w:top w:val="none" w:sz="0" w:space="0" w:color="auto"/>
        <w:left w:val="none" w:sz="0" w:space="0" w:color="auto"/>
        <w:bottom w:val="none" w:sz="0" w:space="0" w:color="auto"/>
        <w:right w:val="none" w:sz="0" w:space="0" w:color="auto"/>
      </w:divBdr>
    </w:div>
    <w:div w:id="974992149">
      <w:bodyDiv w:val="1"/>
      <w:marLeft w:val="0"/>
      <w:marRight w:val="0"/>
      <w:marTop w:val="0"/>
      <w:marBottom w:val="0"/>
      <w:divBdr>
        <w:top w:val="none" w:sz="0" w:space="0" w:color="auto"/>
        <w:left w:val="none" w:sz="0" w:space="0" w:color="auto"/>
        <w:bottom w:val="none" w:sz="0" w:space="0" w:color="auto"/>
        <w:right w:val="none" w:sz="0" w:space="0" w:color="auto"/>
      </w:divBdr>
    </w:div>
    <w:div w:id="1010638341">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73438659">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27635481">
      <w:bodyDiv w:val="1"/>
      <w:marLeft w:val="0"/>
      <w:marRight w:val="0"/>
      <w:marTop w:val="0"/>
      <w:marBottom w:val="0"/>
      <w:divBdr>
        <w:top w:val="none" w:sz="0" w:space="0" w:color="auto"/>
        <w:left w:val="none" w:sz="0" w:space="0" w:color="auto"/>
        <w:bottom w:val="none" w:sz="0" w:space="0" w:color="auto"/>
        <w:right w:val="none" w:sz="0" w:space="0" w:color="auto"/>
      </w:divBdr>
    </w:div>
    <w:div w:id="1349286125">
      <w:bodyDiv w:val="1"/>
      <w:marLeft w:val="0"/>
      <w:marRight w:val="0"/>
      <w:marTop w:val="0"/>
      <w:marBottom w:val="0"/>
      <w:divBdr>
        <w:top w:val="none" w:sz="0" w:space="0" w:color="auto"/>
        <w:left w:val="none" w:sz="0" w:space="0" w:color="auto"/>
        <w:bottom w:val="none" w:sz="0" w:space="0" w:color="auto"/>
        <w:right w:val="none" w:sz="0" w:space="0" w:color="auto"/>
      </w:divBdr>
    </w:div>
    <w:div w:id="1390958336">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16387682">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33887066">
      <w:bodyDiv w:val="1"/>
      <w:marLeft w:val="0"/>
      <w:marRight w:val="0"/>
      <w:marTop w:val="0"/>
      <w:marBottom w:val="0"/>
      <w:divBdr>
        <w:top w:val="none" w:sz="0" w:space="0" w:color="auto"/>
        <w:left w:val="none" w:sz="0" w:space="0" w:color="auto"/>
        <w:bottom w:val="none" w:sz="0" w:space="0" w:color="auto"/>
        <w:right w:val="none" w:sz="0" w:space="0" w:color="auto"/>
      </w:divBdr>
    </w:div>
    <w:div w:id="1775855805">
      <w:bodyDiv w:val="1"/>
      <w:marLeft w:val="0"/>
      <w:marRight w:val="0"/>
      <w:marTop w:val="0"/>
      <w:marBottom w:val="0"/>
      <w:divBdr>
        <w:top w:val="none" w:sz="0" w:space="0" w:color="auto"/>
        <w:left w:val="none" w:sz="0" w:space="0" w:color="auto"/>
        <w:bottom w:val="none" w:sz="0" w:space="0" w:color="auto"/>
        <w:right w:val="none" w:sz="0" w:space="0" w:color="auto"/>
      </w:divBdr>
      <w:divsChild>
        <w:div w:id="1963924331">
          <w:marLeft w:val="360"/>
          <w:marRight w:val="0"/>
          <w:marTop w:val="200"/>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892961391">
      <w:bodyDiv w:val="1"/>
      <w:marLeft w:val="0"/>
      <w:marRight w:val="0"/>
      <w:marTop w:val="0"/>
      <w:marBottom w:val="0"/>
      <w:divBdr>
        <w:top w:val="none" w:sz="0" w:space="0" w:color="auto"/>
        <w:left w:val="none" w:sz="0" w:space="0" w:color="auto"/>
        <w:bottom w:val="none" w:sz="0" w:space="0" w:color="auto"/>
        <w:right w:val="none" w:sz="0" w:space="0" w:color="auto"/>
      </w:divBdr>
      <w:divsChild>
        <w:div w:id="789321353">
          <w:marLeft w:val="403"/>
          <w:marRight w:val="0"/>
          <w:marTop w:val="96"/>
          <w:marBottom w:val="0"/>
          <w:divBdr>
            <w:top w:val="none" w:sz="0" w:space="0" w:color="auto"/>
            <w:left w:val="none" w:sz="0" w:space="0" w:color="auto"/>
            <w:bottom w:val="none" w:sz="0" w:space="0" w:color="auto"/>
            <w:right w:val="none" w:sz="0" w:space="0" w:color="auto"/>
          </w:divBdr>
        </w:div>
        <w:div w:id="301355015">
          <w:marLeft w:val="878"/>
          <w:marRight w:val="0"/>
          <w:marTop w:val="77"/>
          <w:marBottom w:val="0"/>
          <w:divBdr>
            <w:top w:val="none" w:sz="0" w:space="0" w:color="auto"/>
            <w:left w:val="none" w:sz="0" w:space="0" w:color="auto"/>
            <w:bottom w:val="none" w:sz="0" w:space="0" w:color="auto"/>
            <w:right w:val="none" w:sz="0" w:space="0" w:color="auto"/>
          </w:divBdr>
        </w:div>
        <w:div w:id="1756125523">
          <w:marLeft w:val="878"/>
          <w:marRight w:val="0"/>
          <w:marTop w:val="77"/>
          <w:marBottom w:val="0"/>
          <w:divBdr>
            <w:top w:val="none" w:sz="0" w:space="0" w:color="auto"/>
            <w:left w:val="none" w:sz="0" w:space="0" w:color="auto"/>
            <w:bottom w:val="none" w:sz="0" w:space="0" w:color="auto"/>
            <w:right w:val="none" w:sz="0" w:space="0" w:color="auto"/>
          </w:divBdr>
        </w:div>
        <w:div w:id="659115804">
          <w:marLeft w:val="878"/>
          <w:marRight w:val="0"/>
          <w:marTop w:val="77"/>
          <w:marBottom w:val="0"/>
          <w:divBdr>
            <w:top w:val="none" w:sz="0" w:space="0" w:color="auto"/>
            <w:left w:val="none" w:sz="0" w:space="0" w:color="auto"/>
            <w:bottom w:val="none" w:sz="0" w:space="0" w:color="auto"/>
            <w:right w:val="none" w:sz="0" w:space="0" w:color="auto"/>
          </w:divBdr>
        </w:div>
        <w:div w:id="1698694136">
          <w:marLeft w:val="878"/>
          <w:marRight w:val="0"/>
          <w:marTop w:val="77"/>
          <w:marBottom w:val="0"/>
          <w:divBdr>
            <w:top w:val="none" w:sz="0" w:space="0" w:color="auto"/>
            <w:left w:val="none" w:sz="0" w:space="0" w:color="auto"/>
            <w:bottom w:val="none" w:sz="0" w:space="0" w:color="auto"/>
            <w:right w:val="none" w:sz="0" w:space="0" w:color="auto"/>
          </w:divBdr>
        </w:div>
      </w:divsChild>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18200480">
      <w:bodyDiv w:val="1"/>
      <w:marLeft w:val="0"/>
      <w:marRight w:val="0"/>
      <w:marTop w:val="0"/>
      <w:marBottom w:val="0"/>
      <w:divBdr>
        <w:top w:val="none" w:sz="0" w:space="0" w:color="auto"/>
        <w:left w:val="none" w:sz="0" w:space="0" w:color="auto"/>
        <w:bottom w:val="none" w:sz="0" w:space="0" w:color="auto"/>
        <w:right w:val="none" w:sz="0" w:space="0" w:color="auto"/>
      </w:divBdr>
      <w:divsChild>
        <w:div w:id="1266187387">
          <w:marLeft w:val="878"/>
          <w:marRight w:val="0"/>
          <w:marTop w:val="96"/>
          <w:marBottom w:val="0"/>
          <w:divBdr>
            <w:top w:val="none" w:sz="0" w:space="0" w:color="auto"/>
            <w:left w:val="none" w:sz="0" w:space="0" w:color="auto"/>
            <w:bottom w:val="none" w:sz="0" w:space="0" w:color="auto"/>
            <w:right w:val="none" w:sz="0" w:space="0" w:color="auto"/>
          </w:divBdr>
        </w:div>
        <w:div w:id="532576282">
          <w:marLeft w:val="878"/>
          <w:marRight w:val="0"/>
          <w:marTop w:val="96"/>
          <w:marBottom w:val="0"/>
          <w:divBdr>
            <w:top w:val="none" w:sz="0" w:space="0" w:color="auto"/>
            <w:left w:val="none" w:sz="0" w:space="0" w:color="auto"/>
            <w:bottom w:val="none" w:sz="0" w:space="0" w:color="auto"/>
            <w:right w:val="none" w:sz="0" w:space="0" w:color="auto"/>
          </w:divBdr>
        </w:div>
        <w:div w:id="1183545134">
          <w:marLeft w:val="1210"/>
          <w:marRight w:val="0"/>
          <w:marTop w:val="86"/>
          <w:marBottom w:val="0"/>
          <w:divBdr>
            <w:top w:val="none" w:sz="0" w:space="0" w:color="auto"/>
            <w:left w:val="none" w:sz="0" w:space="0" w:color="auto"/>
            <w:bottom w:val="none" w:sz="0" w:space="0" w:color="auto"/>
            <w:right w:val="none" w:sz="0" w:space="0" w:color="auto"/>
          </w:divBdr>
        </w:div>
        <w:div w:id="417168507">
          <w:marLeft w:val="878"/>
          <w:marRight w:val="0"/>
          <w:marTop w:val="96"/>
          <w:marBottom w:val="0"/>
          <w:divBdr>
            <w:top w:val="none" w:sz="0" w:space="0" w:color="auto"/>
            <w:left w:val="none" w:sz="0" w:space="0" w:color="auto"/>
            <w:bottom w:val="none" w:sz="0" w:space="0" w:color="auto"/>
            <w:right w:val="none" w:sz="0" w:space="0" w:color="auto"/>
          </w:divBdr>
        </w:div>
        <w:div w:id="1257976537">
          <w:marLeft w:val="878"/>
          <w:marRight w:val="0"/>
          <w:marTop w:val="96"/>
          <w:marBottom w:val="0"/>
          <w:divBdr>
            <w:top w:val="none" w:sz="0" w:space="0" w:color="auto"/>
            <w:left w:val="none" w:sz="0" w:space="0" w:color="auto"/>
            <w:bottom w:val="none" w:sz="0" w:space="0" w:color="auto"/>
            <w:right w:val="none" w:sz="0" w:space="0" w:color="auto"/>
          </w:divBdr>
        </w:div>
        <w:div w:id="1365836189">
          <w:marLeft w:val="1210"/>
          <w:marRight w:val="0"/>
          <w:marTop w:val="86"/>
          <w:marBottom w:val="0"/>
          <w:divBdr>
            <w:top w:val="none" w:sz="0" w:space="0" w:color="auto"/>
            <w:left w:val="none" w:sz="0" w:space="0" w:color="auto"/>
            <w:bottom w:val="none" w:sz="0" w:space="0" w:color="auto"/>
            <w:right w:val="none" w:sz="0" w:space="0" w:color="auto"/>
          </w:divBdr>
        </w:div>
        <w:div w:id="1654484081">
          <w:marLeft w:val="878"/>
          <w:marRight w:val="0"/>
          <w:marTop w:val="96"/>
          <w:marBottom w:val="0"/>
          <w:divBdr>
            <w:top w:val="none" w:sz="0" w:space="0" w:color="auto"/>
            <w:left w:val="none" w:sz="0" w:space="0" w:color="auto"/>
            <w:bottom w:val="none" w:sz="0" w:space="0" w:color="auto"/>
            <w:right w:val="none" w:sz="0" w:space="0" w:color="auto"/>
          </w:divBdr>
        </w:div>
        <w:div w:id="1157068531">
          <w:marLeft w:val="1210"/>
          <w:marRight w:val="0"/>
          <w:marTop w:val="86"/>
          <w:marBottom w:val="0"/>
          <w:divBdr>
            <w:top w:val="none" w:sz="0" w:space="0" w:color="auto"/>
            <w:left w:val="none" w:sz="0" w:space="0" w:color="auto"/>
            <w:bottom w:val="none" w:sz="0" w:space="0" w:color="auto"/>
            <w:right w:val="none" w:sz="0" w:space="0" w:color="auto"/>
          </w:divBdr>
        </w:div>
        <w:div w:id="630943110">
          <w:marLeft w:val="878"/>
          <w:marRight w:val="0"/>
          <w:marTop w:val="96"/>
          <w:marBottom w:val="0"/>
          <w:divBdr>
            <w:top w:val="none" w:sz="0" w:space="0" w:color="auto"/>
            <w:left w:val="none" w:sz="0" w:space="0" w:color="auto"/>
            <w:bottom w:val="none" w:sz="0" w:space="0" w:color="auto"/>
            <w:right w:val="none" w:sz="0" w:space="0" w:color="auto"/>
          </w:divBdr>
        </w:div>
        <w:div w:id="1955138799">
          <w:marLeft w:val="1210"/>
          <w:marRight w:val="0"/>
          <w:marTop w:val="86"/>
          <w:marBottom w:val="0"/>
          <w:divBdr>
            <w:top w:val="none" w:sz="0" w:space="0" w:color="auto"/>
            <w:left w:val="none" w:sz="0" w:space="0" w:color="auto"/>
            <w:bottom w:val="none" w:sz="0" w:space="0" w:color="auto"/>
            <w:right w:val="none" w:sz="0" w:space="0" w:color="auto"/>
          </w:divBdr>
        </w:div>
        <w:div w:id="1557089335">
          <w:marLeft w:val="878"/>
          <w:marRight w:val="0"/>
          <w:marTop w:val="96"/>
          <w:marBottom w:val="0"/>
          <w:divBdr>
            <w:top w:val="none" w:sz="0" w:space="0" w:color="auto"/>
            <w:left w:val="none" w:sz="0" w:space="0" w:color="auto"/>
            <w:bottom w:val="none" w:sz="0" w:space="0" w:color="auto"/>
            <w:right w:val="none" w:sz="0" w:space="0" w:color="auto"/>
          </w:divBdr>
        </w:div>
      </w:divsChild>
    </w:div>
    <w:div w:id="1922447278">
      <w:bodyDiv w:val="1"/>
      <w:marLeft w:val="0"/>
      <w:marRight w:val="0"/>
      <w:marTop w:val="0"/>
      <w:marBottom w:val="0"/>
      <w:divBdr>
        <w:top w:val="none" w:sz="0" w:space="0" w:color="auto"/>
        <w:left w:val="none" w:sz="0" w:space="0" w:color="auto"/>
        <w:bottom w:val="none" w:sz="0" w:space="0" w:color="auto"/>
        <w:right w:val="none" w:sz="0" w:space="0" w:color="auto"/>
      </w:divBdr>
      <w:divsChild>
        <w:div w:id="401952585">
          <w:marLeft w:val="403"/>
          <w:marRight w:val="0"/>
          <w:marTop w:val="134"/>
          <w:marBottom w:val="0"/>
          <w:divBdr>
            <w:top w:val="none" w:sz="0" w:space="0" w:color="auto"/>
            <w:left w:val="none" w:sz="0" w:space="0" w:color="auto"/>
            <w:bottom w:val="none" w:sz="0" w:space="0" w:color="auto"/>
            <w:right w:val="none" w:sz="0" w:space="0" w:color="auto"/>
          </w:divBdr>
        </w:div>
        <w:div w:id="1108623030">
          <w:marLeft w:val="878"/>
          <w:marRight w:val="0"/>
          <w:marTop w:val="96"/>
          <w:marBottom w:val="0"/>
          <w:divBdr>
            <w:top w:val="none" w:sz="0" w:space="0" w:color="auto"/>
            <w:left w:val="none" w:sz="0" w:space="0" w:color="auto"/>
            <w:bottom w:val="none" w:sz="0" w:space="0" w:color="auto"/>
            <w:right w:val="none" w:sz="0" w:space="0" w:color="auto"/>
          </w:divBdr>
        </w:div>
        <w:div w:id="2094161371">
          <w:marLeft w:val="878"/>
          <w:marRight w:val="0"/>
          <w:marTop w:val="96"/>
          <w:marBottom w:val="0"/>
          <w:divBdr>
            <w:top w:val="none" w:sz="0" w:space="0" w:color="auto"/>
            <w:left w:val="none" w:sz="0" w:space="0" w:color="auto"/>
            <w:bottom w:val="none" w:sz="0" w:space="0" w:color="auto"/>
            <w:right w:val="none" w:sz="0" w:space="0" w:color="auto"/>
          </w:divBdr>
        </w:div>
        <w:div w:id="1954825641">
          <w:marLeft w:val="403"/>
          <w:marRight w:val="0"/>
          <w:marTop w:val="134"/>
          <w:marBottom w:val="0"/>
          <w:divBdr>
            <w:top w:val="none" w:sz="0" w:space="0" w:color="auto"/>
            <w:left w:val="none" w:sz="0" w:space="0" w:color="auto"/>
            <w:bottom w:val="none" w:sz="0" w:space="0" w:color="auto"/>
            <w:right w:val="none" w:sz="0" w:space="0" w:color="auto"/>
          </w:divBdr>
        </w:div>
        <w:div w:id="177543459">
          <w:marLeft w:val="403"/>
          <w:marRight w:val="0"/>
          <w:marTop w:val="134"/>
          <w:marBottom w:val="0"/>
          <w:divBdr>
            <w:top w:val="none" w:sz="0" w:space="0" w:color="auto"/>
            <w:left w:val="none" w:sz="0" w:space="0" w:color="auto"/>
            <w:bottom w:val="none" w:sz="0" w:space="0" w:color="auto"/>
            <w:right w:val="none" w:sz="0" w:space="0" w:color="auto"/>
          </w:divBdr>
        </w:div>
      </w:divsChild>
    </w:div>
    <w:div w:id="2030402683">
      <w:bodyDiv w:val="1"/>
      <w:marLeft w:val="0"/>
      <w:marRight w:val="0"/>
      <w:marTop w:val="0"/>
      <w:marBottom w:val="0"/>
      <w:divBdr>
        <w:top w:val="none" w:sz="0" w:space="0" w:color="auto"/>
        <w:left w:val="none" w:sz="0" w:space="0" w:color="auto"/>
        <w:bottom w:val="none" w:sz="0" w:space="0" w:color="auto"/>
        <w:right w:val="none" w:sz="0" w:space="0" w:color="auto"/>
      </w:divBdr>
    </w:div>
    <w:div w:id="2040547902">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png"/><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image" Target="media/image22.emf"/><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image" Target="media/image13.emf"/><Relationship Id="rId33" Type="http://schemas.openxmlformats.org/officeDocument/2006/relationships/image" Target="media/image21.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png"/><Relationship Id="rId35"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HR33RHYHUWRF-4-1737</_dlc_DocId>
    <_dlc_DocIdUrl xmlns="c06861ca-3f08-4d07-bff7-bb15bac121f4">
      <Url>https://projects.qualcomm.com/sites/pentari/_layouts/15/DocIdRedir.aspx?ID=HR33RHYHUWRF-4-1737</Url>
      <Description>HR33RHYHUWRF-4-1737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B6213-7010-4689-A821-22883ECBBBBB}">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DB7F63A8-64B4-44F5-9B73-7F7E1FB858A1}">
  <ds:schemaRefs>
    <ds:schemaRef ds:uri="http://schemas.microsoft.com/sharepoint/events"/>
  </ds:schemaRefs>
</ds:datastoreItem>
</file>

<file path=customXml/itemProps3.xml><?xml version="1.0" encoding="utf-8"?>
<ds:datastoreItem xmlns:ds="http://schemas.openxmlformats.org/officeDocument/2006/customXml" ds:itemID="{B99E6883-E3F8-49EB-BA4C-7B031E945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93F3C-0B39-4C37-916D-B02072A95E47}">
  <ds:schemaRefs>
    <ds:schemaRef ds:uri="http://schemas.microsoft.com/sharepoint/v3/contenttype/forms"/>
  </ds:schemaRefs>
</ds:datastoreItem>
</file>

<file path=customXml/itemProps5.xml><?xml version="1.0" encoding="utf-8"?>
<ds:datastoreItem xmlns:ds="http://schemas.openxmlformats.org/officeDocument/2006/customXml" ds:itemID="{DBA0C9A5-5003-4391-9973-2ADE185C9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2291</Words>
  <Characters>13063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2017-02-11T22:17:00Z</dcterms:created>
  <dcterms:modified xsi:type="dcterms:W3CDTF">2017-02-13T16:37:00Z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742872983</vt:i4>
  </property>
  <property fmtid="{D5CDD505-2E9C-101B-9397-08002B2CF9AE}" pid="3" name="_NewReviewCycle">
    <vt:lpwstr/>
  </property>
  <property fmtid="{D5CDD505-2E9C-101B-9397-08002B2CF9AE}" pid="4" name="_PreviousAdHocReviewCycleID">
    <vt:i4>-305661900</vt:i4>
  </property>
  <property fmtid="{D5CDD505-2E9C-101B-9397-08002B2CF9AE}" pid="5" name="ContentTypeId">
    <vt:lpwstr>0x010100BC29BFD66497B943AA3B102F0C7B1355</vt:lpwstr>
  </property>
  <property fmtid="{D5CDD505-2E9C-101B-9397-08002B2CF9AE}" pid="6" name="_dlc_DocIdItemGuid">
    <vt:lpwstr>f4bf3d5a-e2e8-462e-95b0-390be63c3973</vt:lpwstr>
  </property>
</Properties>
</file>