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AC823" w14:textId="606AB7FF" w:rsidR="00CE5F5F" w:rsidRDefault="000C63E6" w:rsidP="00CE5F5F">
      <w:pPr>
        <w:tabs>
          <w:tab w:val="right" w:pos="10000"/>
        </w:tabs>
        <w:spacing w:after="0"/>
        <w:rPr>
          <w:rFonts w:ascii="Arial" w:hAnsi="Arial" w:cs="Arial"/>
          <w:b/>
          <w:sz w:val="24"/>
          <w:szCs w:val="24"/>
        </w:rPr>
      </w:pPr>
      <w:r>
        <w:rPr>
          <w:rFonts w:ascii="Arial" w:hAnsi="Arial" w:cs="Arial"/>
          <w:b/>
          <w:sz w:val="24"/>
          <w:szCs w:val="24"/>
        </w:rPr>
        <w:t xml:space="preserve">3GPP TSG-RAN WG1 </w:t>
      </w:r>
      <w:r w:rsidR="00346F99">
        <w:rPr>
          <w:rFonts w:ascii="Arial" w:hAnsi="Arial" w:cs="Arial"/>
          <w:b/>
          <w:sz w:val="24"/>
          <w:szCs w:val="24"/>
        </w:rPr>
        <w:t>#88</w:t>
      </w:r>
      <w:r w:rsidR="00CE5F5F">
        <w:rPr>
          <w:rFonts w:ascii="Arial" w:hAnsi="Arial" w:cs="Arial"/>
          <w:b/>
          <w:sz w:val="24"/>
          <w:szCs w:val="24"/>
        </w:rPr>
        <w:t xml:space="preserve"> </w:t>
      </w:r>
      <w:r w:rsidR="00CE5F5F">
        <w:rPr>
          <w:rFonts w:ascii="Arial" w:hAnsi="Arial" w:cs="Arial"/>
          <w:b/>
          <w:sz w:val="24"/>
          <w:szCs w:val="24"/>
        </w:rPr>
        <w:tab/>
      </w:r>
      <w:r w:rsidR="00346F99" w:rsidRPr="00346F99">
        <w:rPr>
          <w:rFonts w:ascii="Arial" w:hAnsi="Arial" w:cs="Arial"/>
          <w:b/>
          <w:sz w:val="24"/>
          <w:szCs w:val="24"/>
        </w:rPr>
        <w:t>R1-1702637</w:t>
      </w:r>
    </w:p>
    <w:p w14:paraId="6FE1FC1F" w14:textId="61D31ACF" w:rsidR="00585668" w:rsidRPr="00925F0C" w:rsidRDefault="00346F99" w:rsidP="00585668">
      <w:pPr>
        <w:tabs>
          <w:tab w:val="right" w:pos="9630"/>
        </w:tabs>
        <w:spacing w:after="0"/>
        <w:jc w:val="both"/>
        <w:rPr>
          <w:rFonts w:ascii="Arial" w:hAnsi="Arial" w:cs="Arial"/>
          <w:b/>
          <w:sz w:val="24"/>
          <w:szCs w:val="24"/>
        </w:rPr>
      </w:pPr>
      <w:r>
        <w:rPr>
          <w:rFonts w:ascii="Arial" w:hAnsi="Arial" w:cs="Arial"/>
          <w:b/>
          <w:sz w:val="24"/>
          <w:szCs w:val="24"/>
        </w:rPr>
        <w:t>February</w:t>
      </w:r>
      <w:r w:rsidR="00585668">
        <w:rPr>
          <w:rFonts w:ascii="Arial" w:hAnsi="Arial" w:cs="Arial"/>
          <w:b/>
          <w:sz w:val="24"/>
          <w:szCs w:val="24"/>
        </w:rPr>
        <w:t xml:space="preserve"> </w:t>
      </w:r>
      <w:r w:rsidR="00585668" w:rsidRPr="00925F0C">
        <w:rPr>
          <w:rFonts w:ascii="Arial" w:hAnsi="Arial" w:cs="Arial"/>
          <w:b/>
          <w:sz w:val="24"/>
          <w:szCs w:val="24"/>
        </w:rPr>
        <w:t>1</w:t>
      </w:r>
      <w:r>
        <w:rPr>
          <w:rFonts w:ascii="Arial" w:hAnsi="Arial" w:cs="Arial"/>
          <w:b/>
          <w:sz w:val="24"/>
          <w:szCs w:val="24"/>
        </w:rPr>
        <w:t>3</w:t>
      </w:r>
      <w:r w:rsidR="00585668" w:rsidRPr="00925F0C">
        <w:rPr>
          <w:rFonts w:ascii="Arial" w:hAnsi="Arial" w:cs="Arial"/>
          <w:b/>
          <w:sz w:val="24"/>
          <w:szCs w:val="24"/>
          <w:vertAlign w:val="superscript"/>
        </w:rPr>
        <w:t>th</w:t>
      </w:r>
      <w:r w:rsidR="00585668" w:rsidRPr="00925F0C">
        <w:rPr>
          <w:rFonts w:ascii="Arial" w:hAnsi="Arial" w:cs="Arial"/>
          <w:b/>
          <w:sz w:val="24"/>
          <w:szCs w:val="24"/>
        </w:rPr>
        <w:t xml:space="preserve"> – </w:t>
      </w:r>
      <w:r>
        <w:rPr>
          <w:rFonts w:ascii="Arial" w:hAnsi="Arial" w:cs="Arial"/>
          <w:b/>
          <w:sz w:val="24"/>
          <w:szCs w:val="24"/>
        </w:rPr>
        <w:t>17</w:t>
      </w:r>
      <w:r w:rsidR="00585668" w:rsidRPr="00925F0C">
        <w:rPr>
          <w:rFonts w:ascii="Arial" w:hAnsi="Arial" w:cs="Arial"/>
          <w:b/>
          <w:sz w:val="24"/>
          <w:szCs w:val="24"/>
          <w:vertAlign w:val="superscript"/>
        </w:rPr>
        <w:t>th</w:t>
      </w:r>
      <w:r w:rsidR="00585668">
        <w:rPr>
          <w:rFonts w:ascii="Arial" w:hAnsi="Arial" w:cs="Arial"/>
          <w:b/>
          <w:sz w:val="24"/>
          <w:szCs w:val="24"/>
        </w:rPr>
        <w:t xml:space="preserve">, </w:t>
      </w:r>
      <w:r w:rsidR="00585668" w:rsidRPr="00925F0C">
        <w:rPr>
          <w:rFonts w:ascii="Arial" w:hAnsi="Arial" w:cs="Arial"/>
          <w:b/>
          <w:sz w:val="24"/>
          <w:szCs w:val="24"/>
        </w:rPr>
        <w:t>201</w:t>
      </w:r>
      <w:r w:rsidR="00585668">
        <w:rPr>
          <w:rFonts w:ascii="Arial" w:hAnsi="Arial" w:cs="Arial"/>
          <w:b/>
          <w:sz w:val="24"/>
          <w:szCs w:val="24"/>
        </w:rPr>
        <w:t>7</w:t>
      </w:r>
    </w:p>
    <w:p w14:paraId="2E426516" w14:textId="2597B1A5" w:rsidR="000C63E6" w:rsidRPr="000C63E6" w:rsidRDefault="00346F99" w:rsidP="000C63E6">
      <w:pPr>
        <w:tabs>
          <w:tab w:val="right" w:pos="10000"/>
        </w:tabs>
        <w:spacing w:after="0"/>
        <w:rPr>
          <w:rFonts w:ascii="Arial" w:hAnsi="Arial" w:cs="Arial"/>
          <w:b/>
          <w:sz w:val="24"/>
          <w:szCs w:val="24"/>
        </w:rPr>
      </w:pPr>
      <w:r>
        <w:rPr>
          <w:rFonts w:ascii="Arial" w:hAnsi="Arial" w:cs="Arial"/>
          <w:b/>
          <w:sz w:val="24"/>
          <w:szCs w:val="24"/>
        </w:rPr>
        <w:t>Athens</w:t>
      </w:r>
      <w:r w:rsidR="000C63E6" w:rsidRPr="000C63E6">
        <w:rPr>
          <w:rFonts w:ascii="Arial" w:hAnsi="Arial" w:cs="Arial"/>
          <w:b/>
          <w:sz w:val="24"/>
          <w:szCs w:val="24"/>
        </w:rPr>
        <w:t xml:space="preserve">, </w:t>
      </w:r>
      <w:r>
        <w:rPr>
          <w:rFonts w:ascii="Arial" w:hAnsi="Arial" w:cs="Arial"/>
          <w:b/>
          <w:sz w:val="24"/>
          <w:szCs w:val="24"/>
        </w:rPr>
        <w:t>Greece</w:t>
      </w:r>
    </w:p>
    <w:p w14:paraId="2F2D8718" w14:textId="77777777" w:rsidR="00CE5F5F" w:rsidRDefault="00CE5F5F" w:rsidP="00CE5F5F">
      <w:pPr>
        <w:pStyle w:val="Footer"/>
        <w:jc w:val="both"/>
        <w:rPr>
          <w:noProof w:val="0"/>
        </w:rPr>
      </w:pPr>
    </w:p>
    <w:p w14:paraId="00A480DC" w14:textId="4361FF6F" w:rsidR="00CE5F5F" w:rsidRDefault="00CE5F5F" w:rsidP="00CE5F5F">
      <w:pPr>
        <w:tabs>
          <w:tab w:val="left" w:pos="1985"/>
        </w:tabs>
        <w:jc w:val="both"/>
        <w:rPr>
          <w:rFonts w:ascii="Arial" w:hAnsi="Arial"/>
          <w:sz w:val="24"/>
        </w:rPr>
      </w:pPr>
      <w:r>
        <w:rPr>
          <w:rFonts w:ascii="Arial" w:hAnsi="Arial"/>
          <w:b/>
          <w:sz w:val="24"/>
        </w:rPr>
        <w:t>Agenda item:</w:t>
      </w:r>
      <w:r w:rsidR="000C63E6">
        <w:rPr>
          <w:rFonts w:ascii="Arial" w:hAnsi="Arial"/>
          <w:sz w:val="24"/>
        </w:rPr>
        <w:tab/>
      </w:r>
      <w:r w:rsidR="00346F99">
        <w:rPr>
          <w:rFonts w:ascii="Arial" w:hAnsi="Arial"/>
          <w:sz w:val="24"/>
        </w:rPr>
        <w:t>8</w:t>
      </w:r>
      <w:r>
        <w:rPr>
          <w:rFonts w:ascii="Arial" w:hAnsi="Arial"/>
          <w:sz w:val="24"/>
        </w:rPr>
        <w:t>.1.</w:t>
      </w:r>
      <w:r w:rsidR="00585668">
        <w:rPr>
          <w:rFonts w:ascii="Arial" w:hAnsi="Arial"/>
          <w:sz w:val="24"/>
        </w:rPr>
        <w:t>3</w:t>
      </w:r>
      <w:r w:rsidR="000C63E6">
        <w:rPr>
          <w:rFonts w:ascii="Arial" w:hAnsi="Arial"/>
          <w:sz w:val="24"/>
        </w:rPr>
        <w:t>.3</w:t>
      </w:r>
      <w:r w:rsidR="00346F99">
        <w:rPr>
          <w:rFonts w:ascii="Arial" w:hAnsi="Arial"/>
          <w:sz w:val="24"/>
        </w:rPr>
        <w:t>.2</w:t>
      </w:r>
    </w:p>
    <w:p w14:paraId="41F022EE" w14:textId="77777777" w:rsidR="00CE5F5F" w:rsidRDefault="00CE5F5F" w:rsidP="00CE5F5F">
      <w:pPr>
        <w:tabs>
          <w:tab w:val="left" w:pos="1985"/>
        </w:tabs>
        <w:jc w:val="both"/>
        <w:rPr>
          <w:rFonts w:ascii="Arial" w:hAnsi="Arial"/>
          <w:sz w:val="24"/>
        </w:rPr>
      </w:pPr>
      <w:r>
        <w:rPr>
          <w:rFonts w:ascii="Arial" w:hAnsi="Arial"/>
          <w:b/>
          <w:sz w:val="24"/>
        </w:rPr>
        <w:t xml:space="preserve">Source: </w:t>
      </w:r>
      <w:r>
        <w:rPr>
          <w:rFonts w:ascii="Arial" w:hAnsi="Arial"/>
          <w:b/>
          <w:sz w:val="24"/>
        </w:rPr>
        <w:tab/>
      </w:r>
      <w:bookmarkStart w:id="0" w:name="_GoBack"/>
      <w:bookmarkEnd w:id="0"/>
      <w:r>
        <w:rPr>
          <w:rFonts w:ascii="Arial" w:hAnsi="Arial"/>
          <w:sz w:val="24"/>
        </w:rPr>
        <w:t>Qualcomm Incorporated</w:t>
      </w:r>
    </w:p>
    <w:p w14:paraId="1DA708F2" w14:textId="6E060128" w:rsidR="0045039C" w:rsidRPr="009C6BE8" w:rsidRDefault="0045039C" w:rsidP="0045039C">
      <w:pPr>
        <w:ind w:left="1988" w:hanging="1988"/>
        <w:rPr>
          <w:rFonts w:ascii="Arial" w:hAnsi="Arial"/>
          <w:sz w:val="24"/>
        </w:rPr>
      </w:pPr>
      <w:r w:rsidRPr="00E05BD3">
        <w:rPr>
          <w:rFonts w:ascii="Arial" w:hAnsi="Arial"/>
          <w:b/>
          <w:sz w:val="28"/>
        </w:rPr>
        <w:t>Title:</w:t>
      </w:r>
      <w:r w:rsidRPr="00E05BD3">
        <w:rPr>
          <w:rFonts w:ascii="Arial" w:hAnsi="Arial"/>
          <w:sz w:val="28"/>
        </w:rPr>
        <w:t xml:space="preserve"> </w:t>
      </w:r>
      <w:r w:rsidRPr="00E05BD3">
        <w:rPr>
          <w:rFonts w:ascii="Arial" w:hAnsi="Arial"/>
          <w:sz w:val="24"/>
        </w:rPr>
        <w:tab/>
      </w:r>
      <w:r w:rsidR="00F34514" w:rsidRPr="00F34514">
        <w:rPr>
          <w:rFonts w:ascii="Arial" w:hAnsi="Arial"/>
          <w:sz w:val="24"/>
        </w:rPr>
        <w:t>Number of HARQ processes</w:t>
      </w:r>
    </w:p>
    <w:p w14:paraId="2C0EDD71" w14:textId="343E1CF9" w:rsidR="0045039C" w:rsidRPr="009C6BE8" w:rsidRDefault="0045039C" w:rsidP="0045039C">
      <w:pPr>
        <w:ind w:left="1988" w:hanging="1988"/>
        <w:jc w:val="both"/>
        <w:rPr>
          <w:rFonts w:ascii="Arial" w:hAnsi="Arial"/>
          <w:sz w:val="24"/>
        </w:rPr>
      </w:pPr>
      <w:r w:rsidRPr="009C6BE8">
        <w:rPr>
          <w:rFonts w:ascii="Arial" w:hAnsi="Arial"/>
          <w:b/>
          <w:sz w:val="24"/>
        </w:rPr>
        <w:t>Document for:</w:t>
      </w:r>
      <w:r w:rsidRPr="009C6BE8">
        <w:rPr>
          <w:rFonts w:ascii="Arial" w:hAnsi="Arial"/>
          <w:sz w:val="24"/>
        </w:rPr>
        <w:tab/>
        <w:t>Discussion/Decision</w:t>
      </w:r>
    </w:p>
    <w:p w14:paraId="031A1C66" w14:textId="709311F6" w:rsidR="001F2982" w:rsidRPr="00E05BD3" w:rsidRDefault="001F2982" w:rsidP="0088176C">
      <w:pPr>
        <w:pStyle w:val="Heading1"/>
        <w:rPr>
          <w:sz w:val="40"/>
          <w:lang w:val="en-US"/>
        </w:rPr>
      </w:pPr>
      <w:r w:rsidRPr="00E05BD3">
        <w:rPr>
          <w:sz w:val="40"/>
          <w:lang w:val="en-US"/>
        </w:rPr>
        <w:t>Introduction</w:t>
      </w:r>
    </w:p>
    <w:p w14:paraId="5D96B139" w14:textId="09B9149C" w:rsidR="00F34514" w:rsidRDefault="0040609D" w:rsidP="00283137">
      <w:pPr>
        <w:rPr>
          <w:sz w:val="22"/>
        </w:rPr>
      </w:pPr>
      <w:r>
        <w:rPr>
          <w:noProof/>
          <w:sz w:val="22"/>
        </w:rPr>
        <mc:AlternateContent>
          <mc:Choice Requires="wps">
            <w:drawing>
              <wp:anchor distT="0" distB="0" distL="114300" distR="114300" simplePos="0" relativeHeight="251659264" behindDoc="0" locked="0" layoutInCell="1" allowOverlap="1" wp14:anchorId="251BECB0" wp14:editId="1DA186CB">
                <wp:simplePos x="0" y="0"/>
                <wp:positionH relativeFrom="margin">
                  <wp:align>left</wp:align>
                </wp:positionH>
                <wp:positionV relativeFrom="paragraph">
                  <wp:posOffset>420255</wp:posOffset>
                </wp:positionV>
                <wp:extent cx="6359237" cy="547255"/>
                <wp:effectExtent l="0" t="0" r="22860" b="24765"/>
                <wp:wrapNone/>
                <wp:docPr id="1" name="Rounded Rectangle 1"/>
                <wp:cNvGraphicFramePr/>
                <a:graphic xmlns:a="http://schemas.openxmlformats.org/drawingml/2006/main">
                  <a:graphicData uri="http://schemas.microsoft.com/office/word/2010/wordprocessingShape">
                    <wps:wsp>
                      <wps:cNvSpPr/>
                      <wps:spPr>
                        <a:xfrm>
                          <a:off x="0" y="0"/>
                          <a:ext cx="6359237" cy="547255"/>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C75AC38" id="Rounded Rectangle 1" o:spid="_x0000_s1026" style="position:absolute;margin-left:0;margin-top:33.1pt;width:500.75pt;height:43.1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" filled="f" strokecolor="black [3213]" strokeweight="1pt">
                <v:stroke joinstyle="miter"/>
                <w10:wrap anchorx="margin"/>
              </v:roundrect>
            </w:pict>
          </mc:Fallback>
        </mc:AlternateContent>
      </w:r>
      <w:r w:rsidR="00F34514">
        <w:rPr>
          <w:sz w:val="22"/>
        </w:rPr>
        <w:t xml:space="preserve">In </w:t>
      </w:r>
      <w:r>
        <w:rPr>
          <w:sz w:val="22"/>
        </w:rPr>
        <w:t xml:space="preserve">RAN1 </w:t>
      </w:r>
      <w:r w:rsidR="00414598">
        <w:rPr>
          <w:sz w:val="22"/>
        </w:rPr>
        <w:t xml:space="preserve">#86 and RAN1 </w:t>
      </w:r>
      <w:r>
        <w:rPr>
          <w:sz w:val="22"/>
        </w:rPr>
        <w:t xml:space="preserve">#86bis, the working group reached following agreements </w:t>
      </w:r>
      <w:r w:rsidR="00414598">
        <w:rPr>
          <w:sz w:val="22"/>
        </w:rPr>
        <w:t>regarding</w:t>
      </w:r>
      <w:r>
        <w:rPr>
          <w:sz w:val="22"/>
        </w:rPr>
        <w:t xml:space="preserve"> the number of HARQ processes</w:t>
      </w:r>
      <w:r w:rsidR="00414598">
        <w:rPr>
          <w:sz w:val="22"/>
        </w:rPr>
        <w:t xml:space="preserve"> that the NR UE needs to support</w:t>
      </w:r>
      <w:r>
        <w:rPr>
          <w:sz w:val="22"/>
        </w:rPr>
        <w:t xml:space="preserve"> [</w:t>
      </w:r>
      <w:r w:rsidR="00414598">
        <w:rPr>
          <w:sz w:val="22"/>
        </w:rPr>
        <w:t>1,</w:t>
      </w:r>
      <w:r>
        <w:rPr>
          <w:sz w:val="22"/>
        </w:rPr>
        <w:t>5].</w:t>
      </w:r>
    </w:p>
    <w:p w14:paraId="64284101" w14:textId="52E8F504" w:rsidR="0040609D" w:rsidRDefault="0040609D" w:rsidP="0040609D">
      <w:pPr>
        <w:numPr>
          <w:ilvl w:val="0"/>
          <w:numId w:val="37"/>
        </w:numPr>
        <w:overflowPunct/>
        <w:autoSpaceDE/>
        <w:autoSpaceDN/>
        <w:adjustRightInd/>
        <w:spacing w:after="0"/>
        <w:textAlignment w:val="auto"/>
      </w:pPr>
      <w:r>
        <w:t>NR supports operation of more than one DL HARQ processes for a given UE</w:t>
      </w:r>
    </w:p>
    <w:p w14:paraId="7752B613" w14:textId="4BA47BC2" w:rsidR="0040609D" w:rsidRDefault="0040609D" w:rsidP="0040609D">
      <w:pPr>
        <w:numPr>
          <w:ilvl w:val="0"/>
          <w:numId w:val="37"/>
        </w:numPr>
        <w:overflowPunct/>
        <w:autoSpaceDE/>
        <w:autoSpaceDN/>
        <w:adjustRightInd/>
        <w:spacing w:after="0"/>
        <w:textAlignment w:val="auto"/>
      </w:pPr>
      <w:r>
        <w:t>NR supports operation of more than one UL HARQ processes for a given UE</w:t>
      </w:r>
    </w:p>
    <w:p w14:paraId="3B1FFAA0" w14:textId="315629AA" w:rsidR="0040609D" w:rsidRDefault="0040609D" w:rsidP="0040609D">
      <w:pPr>
        <w:numPr>
          <w:ilvl w:val="0"/>
          <w:numId w:val="37"/>
        </w:numPr>
        <w:overflowPunct/>
        <w:autoSpaceDE/>
        <w:autoSpaceDN/>
        <w:adjustRightInd/>
        <w:spacing w:after="0"/>
        <w:textAlignment w:val="auto"/>
      </w:pPr>
      <w:r>
        <w:t>FFS: URLLC case</w:t>
      </w:r>
    </w:p>
    <w:p w14:paraId="7E74B0AC" w14:textId="15D470A9" w:rsidR="0040609D" w:rsidRDefault="0040609D" w:rsidP="0040609D">
      <w:pPr>
        <w:rPr>
          <w:b/>
          <w:u w:val="single"/>
        </w:rPr>
      </w:pPr>
      <w:r>
        <w:rPr>
          <w:noProof/>
          <w:sz w:val="22"/>
        </w:rPr>
        <mc:AlternateContent>
          <mc:Choice Requires="wps">
            <w:drawing>
              <wp:anchor distT="0" distB="0" distL="114300" distR="114300" simplePos="0" relativeHeight="251661312" behindDoc="0" locked="0" layoutInCell="1" allowOverlap="1" wp14:anchorId="31DD0A87" wp14:editId="26D18106">
                <wp:simplePos x="0" y="0"/>
                <wp:positionH relativeFrom="margin">
                  <wp:align>left</wp:align>
                </wp:positionH>
                <wp:positionV relativeFrom="paragraph">
                  <wp:posOffset>251460</wp:posOffset>
                </wp:positionV>
                <wp:extent cx="6359237" cy="796636"/>
                <wp:effectExtent l="0" t="0" r="22860" b="22860"/>
                <wp:wrapNone/>
                <wp:docPr id="2" name="Rounded Rectangle 2"/>
                <wp:cNvGraphicFramePr/>
                <a:graphic xmlns:a="http://schemas.openxmlformats.org/drawingml/2006/main">
                  <a:graphicData uri="http://schemas.microsoft.com/office/word/2010/wordprocessingShape">
                    <wps:wsp>
                      <wps:cNvSpPr/>
                      <wps:spPr>
                        <a:xfrm>
                          <a:off x="0" y="0"/>
                          <a:ext cx="6359237" cy="796636"/>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CD428BD" id="Rounded Rectangle 2" o:spid="_x0000_s1026" style="position:absolute;margin-left:0;margin-top:19.8pt;width:500.75pt;height:62.7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" filled="f" strokecolor="black [3213]" strokeweight="1pt">
                <v:stroke joinstyle="miter"/>
                <w10:wrap anchorx="margin"/>
              </v:roundrect>
            </w:pict>
          </mc:Fallback>
        </mc:AlternateContent>
      </w:r>
    </w:p>
    <w:p w14:paraId="5DAAB470" w14:textId="009FAEA4" w:rsidR="0040609D" w:rsidRDefault="0040609D" w:rsidP="0040609D">
      <w:pPr>
        <w:numPr>
          <w:ilvl w:val="0"/>
          <w:numId w:val="37"/>
        </w:numPr>
        <w:overflowPunct/>
        <w:autoSpaceDE/>
        <w:autoSpaceDN/>
        <w:adjustRightInd/>
        <w:spacing w:after="0"/>
        <w:textAlignment w:val="auto"/>
      </w:pPr>
      <w:r>
        <w:t>NR supports operation of one DL HARQ process for some UEs</w:t>
      </w:r>
    </w:p>
    <w:p w14:paraId="78D91390" w14:textId="77777777" w:rsidR="0040609D" w:rsidRDefault="0040609D" w:rsidP="0040609D">
      <w:pPr>
        <w:numPr>
          <w:ilvl w:val="0"/>
          <w:numId w:val="37"/>
        </w:numPr>
        <w:overflowPunct/>
        <w:autoSpaceDE/>
        <w:autoSpaceDN/>
        <w:adjustRightInd/>
        <w:spacing w:after="0"/>
        <w:textAlignment w:val="auto"/>
      </w:pPr>
      <w:r>
        <w:t>NR supports operation of one UL HARQ process for some UEs</w:t>
      </w:r>
    </w:p>
    <w:p w14:paraId="3AD06436" w14:textId="7D38327B" w:rsidR="0040609D" w:rsidRDefault="0040609D" w:rsidP="0040609D">
      <w:pPr>
        <w:numPr>
          <w:ilvl w:val="0"/>
          <w:numId w:val="37"/>
        </w:numPr>
        <w:overflowPunct/>
        <w:autoSpaceDE/>
        <w:autoSpaceDN/>
        <w:adjustRightInd/>
        <w:spacing w:after="0"/>
        <w:textAlignment w:val="auto"/>
      </w:pPr>
      <w:r>
        <w:t>FFS: Conditions on supporting above 2 bullets</w:t>
      </w:r>
    </w:p>
    <w:p w14:paraId="67A150D8" w14:textId="008932C5" w:rsidR="0040609D" w:rsidRDefault="0040609D" w:rsidP="0040609D">
      <w:pPr>
        <w:numPr>
          <w:ilvl w:val="0"/>
          <w:numId w:val="37"/>
        </w:numPr>
        <w:overflowPunct/>
        <w:autoSpaceDE/>
        <w:autoSpaceDN/>
        <w:adjustRightInd/>
        <w:spacing w:after="0"/>
        <w:textAlignment w:val="auto"/>
      </w:pPr>
      <w:r>
        <w:t>Note: This does not mean the gNB has to schedule back-to-back</w:t>
      </w:r>
    </w:p>
    <w:p w14:paraId="32A75785" w14:textId="104F3F11" w:rsidR="0040609D" w:rsidRDefault="0040609D" w:rsidP="0040609D">
      <w:pPr>
        <w:numPr>
          <w:ilvl w:val="0"/>
          <w:numId w:val="37"/>
        </w:numPr>
        <w:overflowPunct/>
        <w:autoSpaceDE/>
        <w:autoSpaceDN/>
        <w:adjustRightInd/>
        <w:spacing w:after="0"/>
        <w:textAlignment w:val="auto"/>
      </w:pPr>
      <w:r>
        <w:t>Note: This does not mean the UE has to support K1=0 and/or K2 = 0</w:t>
      </w:r>
    </w:p>
    <w:p w14:paraId="58D5561E" w14:textId="13D750F5" w:rsidR="0040609D" w:rsidRDefault="005F5AE1" w:rsidP="0040609D">
      <w:pPr>
        <w:rPr>
          <w:b/>
          <w:u w:val="single"/>
        </w:rPr>
      </w:pPr>
      <w:r>
        <w:rPr>
          <w:noProof/>
          <w:sz w:val="22"/>
        </w:rPr>
        <mc:AlternateContent>
          <mc:Choice Requires="wps">
            <w:drawing>
              <wp:anchor distT="0" distB="0" distL="114300" distR="114300" simplePos="0" relativeHeight="251663360" behindDoc="0" locked="0" layoutInCell="1" allowOverlap="1" wp14:anchorId="64CA6CE8" wp14:editId="68FFA713">
                <wp:simplePos x="0" y="0"/>
                <wp:positionH relativeFrom="margin">
                  <wp:align>left</wp:align>
                </wp:positionH>
                <wp:positionV relativeFrom="paragraph">
                  <wp:posOffset>232410</wp:posOffset>
                </wp:positionV>
                <wp:extent cx="6359237" cy="1136073"/>
                <wp:effectExtent l="0" t="0" r="22860" b="26035"/>
                <wp:wrapNone/>
                <wp:docPr id="3" name="Rounded Rectangle 3"/>
                <wp:cNvGraphicFramePr/>
                <a:graphic xmlns:a="http://schemas.openxmlformats.org/drawingml/2006/main">
                  <a:graphicData uri="http://schemas.microsoft.com/office/word/2010/wordprocessingShape">
                    <wps:wsp>
                      <wps:cNvSpPr/>
                      <wps:spPr>
                        <a:xfrm>
                          <a:off x="0" y="0"/>
                          <a:ext cx="6359237" cy="1136073"/>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C14F0A6" id="Rounded Rectangle 3" o:spid="_x0000_s1026" style="position:absolute;margin-left:0;margin-top:18.3pt;width:500.75pt;height:89.45pt;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" filled="f" strokecolor="black [3213]" strokeweight="1pt">
                <v:stroke joinstyle="miter"/>
                <w10:wrap anchorx="margin"/>
              </v:roundrect>
            </w:pict>
          </mc:Fallback>
        </mc:AlternateContent>
      </w:r>
    </w:p>
    <w:p w14:paraId="16A98F4F" w14:textId="2461033A" w:rsidR="005F5AE1" w:rsidRDefault="005F5AE1" w:rsidP="005F5AE1">
      <w:pPr>
        <w:numPr>
          <w:ilvl w:val="0"/>
          <w:numId w:val="41"/>
        </w:numPr>
        <w:overflowPunct/>
        <w:autoSpaceDE/>
        <w:autoSpaceDN/>
        <w:adjustRightInd/>
        <w:spacing w:after="0"/>
        <w:textAlignment w:val="auto"/>
        <w:rPr>
          <w:lang w:eastAsia="ja-JP"/>
        </w:rPr>
      </w:pPr>
      <w:r>
        <w:t>For slot-based scheduling, NR specification should support the following</w:t>
      </w:r>
    </w:p>
    <w:p w14:paraId="01EB7FF4" w14:textId="5C85CB5B" w:rsidR="005F5AE1" w:rsidRDefault="005F5AE1" w:rsidP="005F5AE1">
      <w:pPr>
        <w:numPr>
          <w:ilvl w:val="1"/>
          <w:numId w:val="41"/>
        </w:numPr>
        <w:overflowPunct/>
        <w:autoSpaceDE/>
        <w:autoSpaceDN/>
        <w:adjustRightInd/>
        <w:spacing w:after="0"/>
        <w:textAlignment w:val="auto"/>
      </w:pPr>
      <w:r>
        <w:t>DL data reception in slot N and corresponding acknowledgment in slot N+K1</w:t>
      </w:r>
    </w:p>
    <w:p w14:paraId="4298543C" w14:textId="77777777" w:rsidR="005F5AE1" w:rsidRDefault="005F5AE1" w:rsidP="005F5AE1">
      <w:pPr>
        <w:numPr>
          <w:ilvl w:val="2"/>
          <w:numId w:val="41"/>
        </w:numPr>
        <w:overflowPunct/>
        <w:autoSpaceDE/>
        <w:autoSpaceDN/>
        <w:adjustRightInd/>
        <w:spacing w:after="0"/>
        <w:textAlignment w:val="auto"/>
      </w:pPr>
      <w:r>
        <w:t>All UEs should support K1≥1 with exact values for K1 FFS</w:t>
      </w:r>
    </w:p>
    <w:p w14:paraId="68E45C29" w14:textId="77777777" w:rsidR="005F5AE1" w:rsidRDefault="005F5AE1" w:rsidP="005F5AE1">
      <w:pPr>
        <w:numPr>
          <w:ilvl w:val="2"/>
          <w:numId w:val="41"/>
        </w:numPr>
        <w:overflowPunct/>
        <w:autoSpaceDE/>
        <w:autoSpaceDN/>
        <w:adjustRightInd/>
        <w:spacing w:after="0"/>
        <w:textAlignment w:val="auto"/>
      </w:pPr>
      <w:r>
        <w:t>Some UEs may support K1=0 (FFS conditions)</w:t>
      </w:r>
    </w:p>
    <w:p w14:paraId="1BB083FD" w14:textId="77777777" w:rsidR="005F5AE1" w:rsidRDefault="005F5AE1" w:rsidP="005F5AE1">
      <w:pPr>
        <w:numPr>
          <w:ilvl w:val="1"/>
          <w:numId w:val="41"/>
        </w:numPr>
        <w:overflowPunct/>
        <w:autoSpaceDE/>
        <w:autoSpaceDN/>
        <w:adjustRightInd/>
        <w:spacing w:after="0"/>
        <w:textAlignment w:val="auto"/>
      </w:pPr>
      <w:r>
        <w:t>UL assignment in slot N and corresponding uplink data transmission in slot N+K2</w:t>
      </w:r>
    </w:p>
    <w:p w14:paraId="5DC43462" w14:textId="77777777" w:rsidR="005F5AE1" w:rsidRDefault="005F5AE1" w:rsidP="005F5AE1">
      <w:pPr>
        <w:numPr>
          <w:ilvl w:val="2"/>
          <w:numId w:val="41"/>
        </w:numPr>
        <w:overflowPunct/>
        <w:autoSpaceDE/>
        <w:autoSpaceDN/>
        <w:adjustRightInd/>
        <w:spacing w:after="0"/>
        <w:textAlignment w:val="auto"/>
      </w:pPr>
      <w:r>
        <w:t>All UEs should support K2≥1 with exact values for K2 FFS</w:t>
      </w:r>
    </w:p>
    <w:p w14:paraId="4B1A8BA3" w14:textId="77777777" w:rsidR="005F5AE1" w:rsidRDefault="005F5AE1" w:rsidP="005F5AE1">
      <w:pPr>
        <w:numPr>
          <w:ilvl w:val="2"/>
          <w:numId w:val="41"/>
        </w:numPr>
        <w:overflowPunct/>
        <w:autoSpaceDE/>
        <w:autoSpaceDN/>
        <w:adjustRightInd/>
        <w:spacing w:after="0"/>
        <w:textAlignment w:val="auto"/>
      </w:pPr>
      <w:r>
        <w:t>Some UEs may support K2=0 (FFS conditions)</w:t>
      </w:r>
    </w:p>
    <w:p w14:paraId="270782A7" w14:textId="77777777" w:rsidR="005F5AE1" w:rsidRDefault="005F5AE1" w:rsidP="00017928">
      <w:pPr>
        <w:rPr>
          <w:sz w:val="22"/>
        </w:rPr>
      </w:pPr>
    </w:p>
    <w:p w14:paraId="6C4B1533" w14:textId="6C8AFC22" w:rsidR="0003623F" w:rsidRDefault="002D1224" w:rsidP="00017928">
      <w:pPr>
        <w:rPr>
          <w:sz w:val="22"/>
        </w:rPr>
      </w:pPr>
      <w:r>
        <w:rPr>
          <w:sz w:val="22"/>
        </w:rPr>
        <w:t>In [</w:t>
      </w:r>
      <w:r w:rsidR="00414598">
        <w:rPr>
          <w:sz w:val="22"/>
        </w:rPr>
        <w:t>2,3,</w:t>
      </w:r>
      <w:r>
        <w:rPr>
          <w:sz w:val="22"/>
        </w:rPr>
        <w:t xml:space="preserve">4], we provided inputs on the </w:t>
      </w:r>
      <w:r w:rsidR="00414598">
        <w:rPr>
          <w:sz w:val="22"/>
        </w:rPr>
        <w:t xml:space="preserve">feasibility and </w:t>
      </w:r>
      <w:r>
        <w:rPr>
          <w:sz w:val="22"/>
        </w:rPr>
        <w:t>need</w:t>
      </w:r>
      <w:r w:rsidR="00D7144B">
        <w:rPr>
          <w:sz w:val="22"/>
        </w:rPr>
        <w:t xml:space="preserve"> of self-contained HARQ process, where the </w:t>
      </w:r>
      <w:r w:rsidR="0003623F">
        <w:rPr>
          <w:sz w:val="22"/>
        </w:rPr>
        <w:t>main benefits could be summarized as following:</w:t>
      </w:r>
    </w:p>
    <w:p w14:paraId="48DF4BD6" w14:textId="77777777" w:rsidR="0003623F" w:rsidRPr="00584E9D" w:rsidRDefault="0003623F" w:rsidP="0003623F">
      <w:pPr>
        <w:numPr>
          <w:ilvl w:val="1"/>
          <w:numId w:val="36"/>
        </w:numPr>
        <w:rPr>
          <w:sz w:val="22"/>
        </w:rPr>
      </w:pPr>
      <w:r w:rsidRPr="00584E9D">
        <w:rPr>
          <w:sz w:val="22"/>
        </w:rPr>
        <w:t>Forward compatibility</w:t>
      </w:r>
    </w:p>
    <w:p w14:paraId="2BAB6BF1" w14:textId="77777777" w:rsidR="0003623F" w:rsidRDefault="0003623F" w:rsidP="0003623F">
      <w:pPr>
        <w:numPr>
          <w:ilvl w:val="1"/>
          <w:numId w:val="36"/>
        </w:numPr>
        <w:rPr>
          <w:sz w:val="22"/>
        </w:rPr>
      </w:pPr>
      <w:r w:rsidRPr="00584E9D">
        <w:rPr>
          <w:sz w:val="22"/>
        </w:rPr>
        <w:t>Low complexity high throughput support</w:t>
      </w:r>
    </w:p>
    <w:p w14:paraId="69D87205" w14:textId="74D36A8B" w:rsidR="0003623F" w:rsidRPr="00584E9D" w:rsidRDefault="0003623F" w:rsidP="0003623F">
      <w:pPr>
        <w:numPr>
          <w:ilvl w:val="1"/>
          <w:numId w:val="36"/>
        </w:numPr>
        <w:rPr>
          <w:sz w:val="22"/>
        </w:rPr>
      </w:pPr>
      <w:r>
        <w:rPr>
          <w:sz w:val="22"/>
        </w:rPr>
        <w:t>UE/network power saving with compact Tx and Ux procedure</w:t>
      </w:r>
    </w:p>
    <w:p w14:paraId="6005E831" w14:textId="77777777" w:rsidR="0003623F" w:rsidRPr="00563958" w:rsidRDefault="0003623F" w:rsidP="0003623F">
      <w:pPr>
        <w:numPr>
          <w:ilvl w:val="1"/>
          <w:numId w:val="36"/>
        </w:numPr>
        <w:rPr>
          <w:sz w:val="22"/>
        </w:rPr>
      </w:pPr>
      <w:r w:rsidRPr="00563958">
        <w:rPr>
          <w:sz w:val="22"/>
        </w:rPr>
        <w:t>Ultra-reliability low latency communication</w:t>
      </w:r>
    </w:p>
    <w:p w14:paraId="6074CAD8" w14:textId="77777777" w:rsidR="0003623F" w:rsidRPr="00584E9D" w:rsidRDefault="0003623F" w:rsidP="0003623F">
      <w:pPr>
        <w:numPr>
          <w:ilvl w:val="1"/>
          <w:numId w:val="36"/>
        </w:numPr>
        <w:rPr>
          <w:sz w:val="22"/>
        </w:rPr>
      </w:pPr>
      <w:r w:rsidRPr="00584E9D">
        <w:rPr>
          <w:sz w:val="22"/>
        </w:rPr>
        <w:t>Dynamic TDD</w:t>
      </w:r>
    </w:p>
    <w:p w14:paraId="6A58C05C" w14:textId="77777777" w:rsidR="0003623F" w:rsidRPr="00584E9D" w:rsidRDefault="0003623F" w:rsidP="0003623F">
      <w:pPr>
        <w:numPr>
          <w:ilvl w:val="1"/>
          <w:numId w:val="36"/>
        </w:numPr>
        <w:rPr>
          <w:sz w:val="22"/>
        </w:rPr>
      </w:pPr>
      <w:r w:rsidRPr="00584E9D">
        <w:rPr>
          <w:sz w:val="22"/>
        </w:rPr>
        <w:t>NR over unlicensed band</w:t>
      </w:r>
    </w:p>
    <w:p w14:paraId="56FF5F69" w14:textId="1BD33FBF" w:rsidR="00752AA5" w:rsidRDefault="00414598" w:rsidP="00017928">
      <w:pPr>
        <w:rPr>
          <w:sz w:val="22"/>
        </w:rPr>
      </w:pPr>
      <w:r>
        <w:rPr>
          <w:sz w:val="22"/>
        </w:rPr>
        <w:t xml:space="preserve">In [6,7], analysis is provided to define the </w:t>
      </w:r>
      <w:r w:rsidR="005F5AE1">
        <w:rPr>
          <w:sz w:val="22"/>
        </w:rPr>
        <w:t xml:space="preserve">condition for a UE to support different K1 and K2. </w:t>
      </w:r>
      <w:r w:rsidR="002D1224">
        <w:rPr>
          <w:sz w:val="22"/>
        </w:rPr>
        <w:t xml:space="preserve">In this contribution, we </w:t>
      </w:r>
      <w:r>
        <w:rPr>
          <w:sz w:val="22"/>
        </w:rPr>
        <w:t>will</w:t>
      </w:r>
      <w:r w:rsidR="002D1224">
        <w:rPr>
          <w:sz w:val="22"/>
        </w:rPr>
        <w:t xml:space="preserve"> discuss the maximum number HARQ processes</w:t>
      </w:r>
      <w:r w:rsidR="001D216E">
        <w:rPr>
          <w:sz w:val="22"/>
        </w:rPr>
        <w:t xml:space="preserve"> that a UE needs to support</w:t>
      </w:r>
      <w:r w:rsidR="005F5AE1">
        <w:rPr>
          <w:sz w:val="22"/>
        </w:rPr>
        <w:t xml:space="preserve"> in relationship to K1, K2 and network turn-around time for rescheduling</w:t>
      </w:r>
      <w:r w:rsidR="002D1224">
        <w:rPr>
          <w:sz w:val="22"/>
        </w:rPr>
        <w:t xml:space="preserve">. </w:t>
      </w:r>
    </w:p>
    <w:p w14:paraId="36609B56" w14:textId="77777777" w:rsidR="00956770" w:rsidRDefault="00956770" w:rsidP="00017928">
      <w:pPr>
        <w:rPr>
          <w:sz w:val="22"/>
        </w:rPr>
      </w:pPr>
    </w:p>
    <w:p w14:paraId="0A31AEA2" w14:textId="47FE4880" w:rsidR="00F237BB" w:rsidRPr="00E05BD3" w:rsidRDefault="00D7144B" w:rsidP="00F237BB">
      <w:pPr>
        <w:pStyle w:val="Heading1"/>
        <w:rPr>
          <w:sz w:val="40"/>
          <w:lang w:val="en-US"/>
        </w:rPr>
      </w:pPr>
      <w:r>
        <w:rPr>
          <w:sz w:val="40"/>
          <w:lang w:val="en-US"/>
        </w:rPr>
        <w:t>Maximum Number of HARQ Processes</w:t>
      </w:r>
    </w:p>
    <w:p w14:paraId="0D52B143" w14:textId="584C5826" w:rsidR="00F34514" w:rsidRPr="00017928" w:rsidRDefault="00414598" w:rsidP="00F34514">
      <w:pPr>
        <w:rPr>
          <w:sz w:val="22"/>
        </w:rPr>
      </w:pPr>
      <w:r>
        <w:rPr>
          <w:sz w:val="22"/>
        </w:rPr>
        <w:t xml:space="preserve">NR is expected to provide many new functionalities based on self-contained subframes. </w:t>
      </w:r>
      <w:r w:rsidR="00F34514" w:rsidRPr="00017928">
        <w:rPr>
          <w:sz w:val="22"/>
        </w:rPr>
        <w:t xml:space="preserve">An illustration of </w:t>
      </w:r>
      <w:r>
        <w:rPr>
          <w:sz w:val="22"/>
        </w:rPr>
        <w:t>D</w:t>
      </w:r>
      <w:r w:rsidR="0003623F">
        <w:rPr>
          <w:sz w:val="22"/>
        </w:rPr>
        <w:t>L</w:t>
      </w:r>
      <w:r>
        <w:rPr>
          <w:sz w:val="22"/>
        </w:rPr>
        <w:t xml:space="preserve"> and UL</w:t>
      </w:r>
      <w:r w:rsidR="0003623F">
        <w:rPr>
          <w:sz w:val="22"/>
        </w:rPr>
        <w:t xml:space="preserve"> self-contained su</w:t>
      </w:r>
      <w:r>
        <w:rPr>
          <w:sz w:val="22"/>
        </w:rPr>
        <w:t xml:space="preserve">bframes (K1=0 &amp; K2 =0) </w:t>
      </w:r>
      <w:r w:rsidR="0003623F">
        <w:rPr>
          <w:sz w:val="22"/>
        </w:rPr>
        <w:t>is shown</w:t>
      </w:r>
      <w:r w:rsidR="00F34514" w:rsidRPr="00017928">
        <w:rPr>
          <w:sz w:val="22"/>
        </w:rPr>
        <w:t xml:space="preserve"> in Figure 1.</w:t>
      </w:r>
      <w:r w:rsidR="001D216E">
        <w:rPr>
          <w:sz w:val="22"/>
        </w:rPr>
        <w:t xml:space="preserve"> As noted in [5], a UE providing acknowledgement with K1=0 </w:t>
      </w:r>
      <w:r>
        <w:rPr>
          <w:sz w:val="22"/>
        </w:rPr>
        <w:t xml:space="preserve">or immediately transmitting UL data after the grant </w:t>
      </w:r>
      <w:r w:rsidR="001D216E">
        <w:rPr>
          <w:sz w:val="22"/>
        </w:rPr>
        <w:t>does not imply the eNB has to schedule back to back retransmission. Instead, the eNB could schedule another HARQ processes while processing the ACK</w:t>
      </w:r>
      <w:r w:rsidR="00845E1D">
        <w:rPr>
          <w:sz w:val="22"/>
        </w:rPr>
        <w:t xml:space="preserve"> and data</w:t>
      </w:r>
      <w:r w:rsidR="001D216E">
        <w:rPr>
          <w:sz w:val="22"/>
        </w:rPr>
        <w:t>. W</w:t>
      </w:r>
      <w:r w:rsidR="00845E1D">
        <w:rPr>
          <w:sz w:val="22"/>
        </w:rPr>
        <w:t xml:space="preserve">hile greater than </w:t>
      </w:r>
      <w:r w:rsidR="001D216E">
        <w:rPr>
          <w:sz w:val="22"/>
        </w:rPr>
        <w:t>1 HARQ processes allows a</w:t>
      </w:r>
      <w:r w:rsidR="0019443E">
        <w:rPr>
          <w:sz w:val="22"/>
        </w:rPr>
        <w:t>n</w:t>
      </w:r>
      <w:r w:rsidR="001D216E">
        <w:rPr>
          <w:sz w:val="22"/>
        </w:rPr>
        <w:t xml:space="preserve"> eNB to have more time to prepare and schedule retransmissions, it also implies increased retransmission latency</w:t>
      </w:r>
      <w:r w:rsidR="0019443E">
        <w:rPr>
          <w:sz w:val="22"/>
        </w:rPr>
        <w:t>, slow link adaption</w:t>
      </w:r>
      <w:r w:rsidR="008671D7">
        <w:rPr>
          <w:sz w:val="22"/>
        </w:rPr>
        <w:t xml:space="preserve"> </w:t>
      </w:r>
      <w:r w:rsidR="001D216E">
        <w:rPr>
          <w:sz w:val="22"/>
        </w:rPr>
        <w:t xml:space="preserve">and larger soft buffer size at the UE. </w:t>
      </w:r>
      <w:r w:rsidR="00845E1D">
        <w:rPr>
          <w:sz w:val="22"/>
        </w:rPr>
        <w:t>In this contribution, we will discuss the performance/complexity tradeoff of supporting different number of HARQ processes.</w:t>
      </w:r>
    </w:p>
    <w:p w14:paraId="38671588" w14:textId="32E1341D" w:rsidR="00F34514" w:rsidRDefault="0077117C" w:rsidP="00F34514">
      <w:pPr>
        <w:keepNext/>
        <w:jc w:val="center"/>
      </w:pPr>
      <w:r>
        <w:object w:dxaOrig="7232" w:dyaOrig="3648" w14:anchorId="4B22B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1pt;height:142.1pt" o:ole="">
            <v:imagedata r:id="rId12" o:title=""/>
          </v:shape>
          <o:OLEObject Type="Embed" ProgID="Visio.Drawing.11" ShapeID="_x0000_i1025" DrawAspect="Content" ObjectID="_1547926838" r:id="rId13"/>
        </w:object>
      </w:r>
    </w:p>
    <w:p w14:paraId="65B1D31A" w14:textId="19751EE1" w:rsidR="00F34514" w:rsidRDefault="00F34514" w:rsidP="00F34514">
      <w:pPr>
        <w:pStyle w:val="Caption"/>
        <w:jc w:val="center"/>
      </w:pPr>
      <w:r>
        <w:t xml:space="preserve">Figure </w:t>
      </w:r>
      <w:r w:rsidR="002024B8">
        <w:fldChar w:fldCharType="begin"/>
      </w:r>
      <w:r w:rsidR="002024B8">
        <w:instrText xml:space="preserve"> SEQ Figure \* ARABIC </w:instrText>
      </w:r>
      <w:r w:rsidR="002024B8">
        <w:fldChar w:fldCharType="separate"/>
      </w:r>
      <w:r>
        <w:rPr>
          <w:noProof/>
        </w:rPr>
        <w:t>1</w:t>
      </w:r>
      <w:r w:rsidR="002024B8">
        <w:rPr>
          <w:noProof/>
        </w:rPr>
        <w:fldChar w:fldCharType="end"/>
      </w:r>
      <w:r>
        <w:t xml:space="preserve">. </w:t>
      </w:r>
      <w:r w:rsidR="00D21064">
        <w:t>K1=0 and K2=0</w:t>
      </w:r>
      <w:r w:rsidR="0019443E">
        <w:t xml:space="preserve"> for slot based scheduling on DL and UL</w:t>
      </w:r>
    </w:p>
    <w:p w14:paraId="02F488F5" w14:textId="5FB133FB" w:rsidR="001D216E" w:rsidRDefault="001D216E" w:rsidP="008F7D52">
      <w:pPr>
        <w:overflowPunct/>
        <w:autoSpaceDE/>
        <w:autoSpaceDN/>
        <w:adjustRightInd/>
        <w:spacing w:before="100" w:beforeAutospacing="1" w:after="100" w:afterAutospacing="1"/>
        <w:textAlignment w:val="auto"/>
        <w:rPr>
          <w:sz w:val="22"/>
        </w:rPr>
      </w:pPr>
      <w:r>
        <w:rPr>
          <w:sz w:val="22"/>
        </w:rPr>
        <w:t>In Figure 2,</w:t>
      </w:r>
      <w:r w:rsidR="00C43F70">
        <w:rPr>
          <w:sz w:val="22"/>
        </w:rPr>
        <w:t xml:space="preserve"> we illustrate </w:t>
      </w:r>
      <w:r w:rsidR="00845E1D">
        <w:rPr>
          <w:sz w:val="22"/>
        </w:rPr>
        <w:t>desired</w:t>
      </w:r>
      <w:r w:rsidR="00C43F70">
        <w:rPr>
          <w:sz w:val="22"/>
        </w:rPr>
        <w:t xml:space="preserve"> </w:t>
      </w:r>
      <w:r w:rsidR="0019443E">
        <w:rPr>
          <w:sz w:val="22"/>
        </w:rPr>
        <w:t xml:space="preserve">DL </w:t>
      </w:r>
      <w:r w:rsidR="00C43F70">
        <w:rPr>
          <w:sz w:val="22"/>
        </w:rPr>
        <w:t>HARQ configurations</w:t>
      </w:r>
      <w:r w:rsidR="0019443E">
        <w:rPr>
          <w:sz w:val="22"/>
        </w:rPr>
        <w:t xml:space="preserve"> for slot-based scheduling with K1=0, where 1 or 2 HARQ processes are supported depending the UE capability and network turn-around capability. </w:t>
      </w:r>
      <w:r w:rsidR="00A811FE">
        <w:rPr>
          <w:sz w:val="22"/>
        </w:rPr>
        <w:t xml:space="preserve">Note that 1 HARQ process with back-to-back scheduling is mostly applicable </w:t>
      </w:r>
      <w:r w:rsidR="00845E1D">
        <w:rPr>
          <w:sz w:val="22"/>
        </w:rPr>
        <w:t>to</w:t>
      </w:r>
      <w:r w:rsidR="00A811FE">
        <w:rPr>
          <w:sz w:val="22"/>
        </w:rPr>
        <w:t xml:space="preserve"> the use cases where there are few active UEs in a cell. </w:t>
      </w:r>
      <w:r w:rsidR="00845E1D">
        <w:rPr>
          <w:sz w:val="22"/>
        </w:rPr>
        <w:t xml:space="preserve">In a multi-UE scheduling scenario, 2 HARQ interlace operation provides the best performance and network scheduling complexity tradeoff. </w:t>
      </w:r>
      <w:r w:rsidR="0019443E">
        <w:rPr>
          <w:sz w:val="22"/>
        </w:rPr>
        <w:t xml:space="preserve">We do not recommend more than 2 HARQ processes for </w:t>
      </w:r>
      <w:r w:rsidR="00845E1D">
        <w:rPr>
          <w:sz w:val="22"/>
        </w:rPr>
        <w:t xml:space="preserve">operations </w:t>
      </w:r>
      <w:r w:rsidR="0019443E">
        <w:rPr>
          <w:sz w:val="22"/>
        </w:rPr>
        <w:t xml:space="preserve">with K1=0 due to degraded latency performance and </w:t>
      </w:r>
      <w:r w:rsidR="00A811FE">
        <w:rPr>
          <w:sz w:val="22"/>
        </w:rPr>
        <w:t>associated increase in UE memory requirements.</w:t>
      </w:r>
    </w:p>
    <w:p w14:paraId="746E4471" w14:textId="52A659E2" w:rsidR="00C43F70" w:rsidRDefault="0019443E" w:rsidP="00845E1D">
      <w:pPr>
        <w:overflowPunct/>
        <w:autoSpaceDE/>
        <w:autoSpaceDN/>
        <w:adjustRightInd/>
        <w:spacing w:before="100" w:beforeAutospacing="1" w:after="100" w:afterAutospacing="1"/>
        <w:jc w:val="center"/>
        <w:textAlignment w:val="auto"/>
        <w:rPr>
          <w:sz w:val="22"/>
        </w:rPr>
      </w:pPr>
      <w:r w:rsidRPr="0019443E">
        <w:rPr>
          <w:sz w:val="22"/>
        </w:rPr>
        <w:object w:dxaOrig="9681" w:dyaOrig="3584" w14:anchorId="6B2EA210">
          <v:shape id="_x0000_i1026" type="#_x0000_t75" style="width:386.3pt;height:143.35pt" o:ole="">
            <v:imagedata r:id="rId14" o:title=""/>
          </v:shape>
          <o:OLEObject Type="Embed" ProgID="Visio.Drawing.11" ShapeID="_x0000_i1026" DrawAspect="Content" ObjectID="_1547926839" r:id="rId15"/>
        </w:object>
      </w:r>
    </w:p>
    <w:p w14:paraId="3824E9B7" w14:textId="20A28901" w:rsidR="0019443E" w:rsidRDefault="0019443E" w:rsidP="0019443E">
      <w:pPr>
        <w:pStyle w:val="Caption"/>
        <w:jc w:val="center"/>
      </w:pPr>
      <w:r>
        <w:t xml:space="preserve">Figure </w:t>
      </w:r>
      <w:fldSimple w:instr=" SEQ Figure \* ARABIC ">
        <w:r>
          <w:rPr>
            <w:noProof/>
          </w:rPr>
          <w:t>2</w:t>
        </w:r>
      </w:fldSimple>
      <w:r>
        <w:t xml:space="preserve">. HARQ processes supported for DL slot-based scheduling with K1=0 </w:t>
      </w:r>
    </w:p>
    <w:p w14:paraId="2F26CB4D" w14:textId="24223F24" w:rsidR="0019443E" w:rsidRDefault="0019443E" w:rsidP="0019443E">
      <w:pPr>
        <w:overflowPunct/>
        <w:autoSpaceDE/>
        <w:autoSpaceDN/>
        <w:adjustRightInd/>
        <w:spacing w:before="100" w:beforeAutospacing="1" w:after="100" w:afterAutospacing="1"/>
        <w:textAlignment w:val="auto"/>
        <w:rPr>
          <w:sz w:val="22"/>
        </w:rPr>
      </w:pPr>
      <w:r>
        <w:rPr>
          <w:sz w:val="22"/>
        </w:rPr>
        <w:t xml:space="preserve">In Figure 3, we illustrate the </w:t>
      </w:r>
      <w:r w:rsidR="00845E1D">
        <w:rPr>
          <w:sz w:val="22"/>
        </w:rPr>
        <w:t>desired</w:t>
      </w:r>
      <w:r>
        <w:rPr>
          <w:sz w:val="22"/>
        </w:rPr>
        <w:t xml:space="preserve"> DL HARQ configurations for slot-based scheduling with K1=1, where 2 or 3 HARQ processes are supported depending on UE and network </w:t>
      </w:r>
      <w:r w:rsidR="008671D7">
        <w:rPr>
          <w:sz w:val="22"/>
        </w:rPr>
        <w:t xml:space="preserve">capability. </w:t>
      </w:r>
      <w:r w:rsidR="00845E1D">
        <w:rPr>
          <w:sz w:val="22"/>
        </w:rPr>
        <w:t xml:space="preserve">Note that operation </w:t>
      </w:r>
      <w:r w:rsidR="008671D7">
        <w:rPr>
          <w:sz w:val="22"/>
        </w:rPr>
        <w:t xml:space="preserve">with K1=1 has been considered for enhanced performance at high Doppler, where a UE could take advantage of </w:t>
      </w:r>
      <w:r w:rsidR="00845E1D">
        <w:rPr>
          <w:sz w:val="22"/>
        </w:rPr>
        <w:t xml:space="preserve">the </w:t>
      </w:r>
      <w:r w:rsidR="008671D7">
        <w:rPr>
          <w:sz w:val="22"/>
        </w:rPr>
        <w:t xml:space="preserve">relaxed </w:t>
      </w:r>
      <w:r w:rsidR="00845E1D">
        <w:rPr>
          <w:sz w:val="22"/>
        </w:rPr>
        <w:lastRenderedPageBreak/>
        <w:t xml:space="preserve">ACK/NAK feedback </w:t>
      </w:r>
      <w:r w:rsidR="008671D7">
        <w:rPr>
          <w:sz w:val="22"/>
        </w:rPr>
        <w:t>latency by performing non-causal channel/interference estimation. Further relaxation of K1 has diminishing return in performance at the cost of higher latency. On the network side, depending on the use case</w:t>
      </w:r>
      <w:r w:rsidR="00A811FE">
        <w:rPr>
          <w:sz w:val="22"/>
        </w:rPr>
        <w:t>s</w:t>
      </w:r>
      <w:r w:rsidR="008671D7">
        <w:rPr>
          <w:sz w:val="22"/>
        </w:rPr>
        <w:t>,</w:t>
      </w:r>
      <w:r w:rsidR="00A811FE">
        <w:rPr>
          <w:sz w:val="22"/>
        </w:rPr>
        <w:t xml:space="preserve"> either none or one additional slot </w:t>
      </w:r>
      <w:r w:rsidR="00845E1D">
        <w:rPr>
          <w:sz w:val="22"/>
        </w:rPr>
        <w:t>should be</w:t>
      </w:r>
      <w:r w:rsidR="00A811FE">
        <w:rPr>
          <w:sz w:val="22"/>
        </w:rPr>
        <w:t xml:space="preserve"> used to schedule new/retransmission. </w:t>
      </w:r>
      <w:r w:rsidR="008671D7">
        <w:rPr>
          <w:sz w:val="22"/>
        </w:rPr>
        <w:t xml:space="preserve"> </w:t>
      </w:r>
      <w:r w:rsidR="00845E1D">
        <w:rPr>
          <w:sz w:val="22"/>
        </w:rPr>
        <w:t>Further network scheduling delay is not justified as it would further increase latency and UE buffering requirements.</w:t>
      </w:r>
    </w:p>
    <w:p w14:paraId="2F9F0F72" w14:textId="7DCF4B5D" w:rsidR="0019443E" w:rsidRDefault="005F5AE1" w:rsidP="0019443E">
      <w:r w:rsidRPr="0019443E">
        <w:object w:dxaOrig="12618" w:dyaOrig="4957" w14:anchorId="6C197B18">
          <v:shape id="_x0000_i1027" type="#_x0000_t75" style="width:498.35pt;height:195.35pt" o:ole="">
            <v:imagedata r:id="rId16" o:title=""/>
          </v:shape>
          <o:OLEObject Type="Embed" ProgID="Visio.Drawing.11" ShapeID="_x0000_i1027" DrawAspect="Content" ObjectID="_1547926840" r:id="rId17"/>
        </w:object>
      </w:r>
    </w:p>
    <w:p w14:paraId="0F496D0F" w14:textId="0DFF36B9" w:rsidR="0019443E" w:rsidRDefault="0019443E" w:rsidP="0019443E">
      <w:pPr>
        <w:pStyle w:val="Caption"/>
        <w:jc w:val="center"/>
      </w:pPr>
      <w:r>
        <w:t xml:space="preserve">Figure </w:t>
      </w:r>
      <w:fldSimple w:instr=" SEQ Figure \* ARABIC ">
        <w:r>
          <w:rPr>
            <w:noProof/>
          </w:rPr>
          <w:t>3</w:t>
        </w:r>
      </w:fldSimple>
      <w:r>
        <w:t xml:space="preserve">. HARQ processes supported for DL slot-based scheduling with K1=1 </w:t>
      </w:r>
      <w:r w:rsidR="005F5AE1">
        <w:t>in TDD</w:t>
      </w:r>
    </w:p>
    <w:p w14:paraId="0E613FC6" w14:textId="3AC28AF2" w:rsidR="00A811FE" w:rsidRDefault="00A811FE" w:rsidP="00A811FE">
      <w:pPr>
        <w:overflowPunct/>
        <w:autoSpaceDE/>
        <w:autoSpaceDN/>
        <w:adjustRightInd/>
        <w:spacing w:before="100" w:beforeAutospacing="1" w:after="100" w:afterAutospacing="1"/>
        <w:textAlignment w:val="auto"/>
        <w:rPr>
          <w:sz w:val="22"/>
        </w:rPr>
      </w:pPr>
      <w:r w:rsidRPr="00A811FE">
        <w:rPr>
          <w:sz w:val="22"/>
        </w:rPr>
        <w:t xml:space="preserve">In summary, </w:t>
      </w:r>
      <w:r w:rsidR="00845E1D">
        <w:rPr>
          <w:sz w:val="22"/>
        </w:rPr>
        <w:t>T</w:t>
      </w:r>
      <w:r w:rsidRPr="00A811FE">
        <w:rPr>
          <w:sz w:val="22"/>
        </w:rPr>
        <w:t xml:space="preserve">able </w:t>
      </w:r>
      <w:r w:rsidR="00845E1D">
        <w:rPr>
          <w:sz w:val="22"/>
        </w:rPr>
        <w:t xml:space="preserve">1 </w:t>
      </w:r>
      <w:r w:rsidRPr="00A811FE">
        <w:rPr>
          <w:sz w:val="22"/>
        </w:rPr>
        <w:t xml:space="preserve">summarizes </w:t>
      </w:r>
      <w:r w:rsidR="00845E1D">
        <w:rPr>
          <w:sz w:val="22"/>
        </w:rPr>
        <w:t xml:space="preserve">the </w:t>
      </w:r>
      <w:r w:rsidRPr="00A811FE">
        <w:rPr>
          <w:sz w:val="22"/>
        </w:rPr>
        <w:t>recommended HARQ processes for slot-based DL scheduling</w:t>
      </w:r>
      <w:r w:rsidR="00845E1D">
        <w:rPr>
          <w:sz w:val="22"/>
        </w:rPr>
        <w:t xml:space="preserve"> in TDD</w:t>
      </w:r>
      <w:r w:rsidRPr="00A811FE">
        <w:rPr>
          <w:sz w:val="22"/>
        </w:rPr>
        <w:t>.</w:t>
      </w:r>
      <w:r w:rsidR="00956770">
        <w:rPr>
          <w:sz w:val="22"/>
        </w:rPr>
        <w:t xml:space="preserve"> </w:t>
      </w:r>
    </w:p>
    <w:p w14:paraId="5EBD2E95" w14:textId="12E30E95" w:rsidR="00956770" w:rsidRPr="00A811FE" w:rsidRDefault="00956770" w:rsidP="00956770">
      <w:pPr>
        <w:pStyle w:val="Caption"/>
        <w:jc w:val="center"/>
        <w:rPr>
          <w:sz w:val="22"/>
        </w:rPr>
      </w:pPr>
      <w:r>
        <w:t xml:space="preserve">Table </w:t>
      </w:r>
      <w:r w:rsidR="002024B8">
        <w:fldChar w:fldCharType="begin"/>
      </w:r>
      <w:r w:rsidR="002024B8">
        <w:instrText xml:space="preserve"> SEQ Table \* ARABIC </w:instrText>
      </w:r>
      <w:r w:rsidR="002024B8">
        <w:fldChar w:fldCharType="separate"/>
      </w:r>
      <w:r>
        <w:rPr>
          <w:noProof/>
        </w:rPr>
        <w:t>1</w:t>
      </w:r>
      <w:r w:rsidR="002024B8">
        <w:rPr>
          <w:noProof/>
        </w:rPr>
        <w:fldChar w:fldCharType="end"/>
      </w:r>
      <w:r>
        <w:t xml:space="preserve"> NR supported HARQ Processes on DL</w:t>
      </w:r>
      <w:r w:rsidR="005F5AE1">
        <w:t xml:space="preserve"> in TDD</w:t>
      </w:r>
    </w:p>
    <w:tbl>
      <w:tblPr>
        <w:tblStyle w:val="GridTable4-Accent2"/>
        <w:tblW w:w="0" w:type="auto"/>
        <w:tblLook w:val="04A0" w:firstRow="1" w:lastRow="0" w:firstColumn="1" w:lastColumn="0" w:noHBand="0" w:noVBand="1"/>
      </w:tblPr>
      <w:tblGrid>
        <w:gridCol w:w="2603"/>
        <w:gridCol w:w="2453"/>
        <w:gridCol w:w="2453"/>
        <w:gridCol w:w="2453"/>
      </w:tblGrid>
      <w:tr w:rsidR="00A811FE" w14:paraId="2AF0DA27" w14:textId="0C879E11" w:rsidTr="00956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6C353293" w14:textId="5610F515" w:rsidR="00A811FE" w:rsidRDefault="00A811FE" w:rsidP="00A811FE">
            <w:pPr>
              <w:overflowPunct/>
              <w:autoSpaceDE/>
              <w:autoSpaceDN/>
              <w:adjustRightInd/>
              <w:spacing w:before="100" w:beforeAutospacing="1" w:after="100" w:afterAutospacing="1"/>
              <w:textAlignment w:val="auto"/>
              <w:rPr>
                <w:sz w:val="22"/>
              </w:rPr>
            </w:pPr>
            <w:r>
              <w:rPr>
                <w:sz w:val="22"/>
              </w:rPr>
              <w:t>Delay (slot)</w:t>
            </w:r>
          </w:p>
        </w:tc>
        <w:tc>
          <w:tcPr>
            <w:tcW w:w="2453" w:type="dxa"/>
          </w:tcPr>
          <w:p w14:paraId="4FE21BE0" w14:textId="6AC7B210" w:rsidR="00A811FE" w:rsidRDefault="00A811FE" w:rsidP="00A811FE">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 ACK+1</w:t>
            </w:r>
          </w:p>
        </w:tc>
        <w:tc>
          <w:tcPr>
            <w:tcW w:w="2453" w:type="dxa"/>
          </w:tcPr>
          <w:p w14:paraId="30543E90" w14:textId="467A8D90" w:rsidR="00A811FE" w:rsidRDefault="00A811FE" w:rsidP="00A811FE">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 ACK+2</w:t>
            </w:r>
          </w:p>
        </w:tc>
        <w:tc>
          <w:tcPr>
            <w:tcW w:w="2453" w:type="dxa"/>
          </w:tcPr>
          <w:p w14:paraId="49C797DD" w14:textId="3AAE6A22" w:rsidR="00A811FE" w:rsidRDefault="00A811FE" w:rsidP="00A811FE">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 ACK&gt;2 FSS</w:t>
            </w:r>
          </w:p>
        </w:tc>
      </w:tr>
      <w:tr w:rsidR="00A811FE" w14:paraId="65A9263C" w14:textId="0919E124" w:rsidTr="009567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74EDDAB7" w14:textId="63970A0F" w:rsidR="00A811FE" w:rsidRDefault="00A811FE" w:rsidP="00A811FE">
            <w:pPr>
              <w:overflowPunct/>
              <w:autoSpaceDE/>
              <w:autoSpaceDN/>
              <w:adjustRightInd/>
              <w:spacing w:before="100" w:beforeAutospacing="1" w:after="100" w:afterAutospacing="1"/>
              <w:textAlignment w:val="auto"/>
              <w:rPr>
                <w:sz w:val="22"/>
              </w:rPr>
            </w:pPr>
            <w:r>
              <w:rPr>
                <w:sz w:val="22"/>
              </w:rPr>
              <w:t>UE ACK K1 = 0</w:t>
            </w:r>
          </w:p>
        </w:tc>
        <w:tc>
          <w:tcPr>
            <w:tcW w:w="2453" w:type="dxa"/>
          </w:tcPr>
          <w:p w14:paraId="63EC826F" w14:textId="502A6A00" w:rsidR="00A811FE" w:rsidRDefault="00A811FE" w:rsidP="00A811FE">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1</w:t>
            </w:r>
          </w:p>
        </w:tc>
        <w:tc>
          <w:tcPr>
            <w:tcW w:w="2453" w:type="dxa"/>
          </w:tcPr>
          <w:p w14:paraId="0354C228" w14:textId="06315F11" w:rsidR="00A811FE" w:rsidRDefault="00A811FE" w:rsidP="00A811FE">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2</w:t>
            </w:r>
          </w:p>
        </w:tc>
        <w:tc>
          <w:tcPr>
            <w:tcW w:w="2453" w:type="dxa"/>
          </w:tcPr>
          <w:p w14:paraId="40DECC1D" w14:textId="1872F6E3" w:rsidR="00A811FE" w:rsidRDefault="00A811FE" w:rsidP="00A811FE">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r w:rsidR="00A811FE" w14:paraId="21763F5B" w14:textId="3E494A8E" w:rsidTr="00956770">
        <w:tc>
          <w:tcPr>
            <w:cnfStyle w:val="001000000000" w:firstRow="0" w:lastRow="0" w:firstColumn="1" w:lastColumn="0" w:oddVBand="0" w:evenVBand="0" w:oddHBand="0" w:evenHBand="0" w:firstRowFirstColumn="0" w:firstRowLastColumn="0" w:lastRowFirstColumn="0" w:lastRowLastColumn="0"/>
            <w:tcW w:w="2603" w:type="dxa"/>
          </w:tcPr>
          <w:p w14:paraId="252CC45C" w14:textId="3469BCB7" w:rsidR="00A811FE" w:rsidRDefault="00A811FE" w:rsidP="00A811FE">
            <w:pPr>
              <w:overflowPunct/>
              <w:autoSpaceDE/>
              <w:autoSpaceDN/>
              <w:adjustRightInd/>
              <w:spacing w:before="100" w:beforeAutospacing="1" w:after="100" w:afterAutospacing="1"/>
              <w:textAlignment w:val="auto"/>
              <w:rPr>
                <w:sz w:val="22"/>
              </w:rPr>
            </w:pPr>
            <w:r>
              <w:rPr>
                <w:sz w:val="22"/>
              </w:rPr>
              <w:t>UE ACK K1 = 1</w:t>
            </w:r>
          </w:p>
        </w:tc>
        <w:tc>
          <w:tcPr>
            <w:tcW w:w="2453" w:type="dxa"/>
          </w:tcPr>
          <w:p w14:paraId="4175D1DE" w14:textId="2F18B338" w:rsidR="00A811FE" w:rsidRDefault="00A811FE" w:rsidP="00A811FE">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2</w:t>
            </w:r>
          </w:p>
        </w:tc>
        <w:tc>
          <w:tcPr>
            <w:tcW w:w="2453" w:type="dxa"/>
          </w:tcPr>
          <w:p w14:paraId="60010052" w14:textId="61A02CFB" w:rsidR="00A811FE" w:rsidRDefault="00A811FE" w:rsidP="00A811FE">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3</w:t>
            </w:r>
          </w:p>
        </w:tc>
        <w:tc>
          <w:tcPr>
            <w:tcW w:w="2453" w:type="dxa"/>
          </w:tcPr>
          <w:p w14:paraId="1CBDF125" w14:textId="0D761ABD" w:rsidR="00A811FE" w:rsidRDefault="00A811FE" w:rsidP="00A811FE">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FFS</w:t>
            </w:r>
          </w:p>
        </w:tc>
      </w:tr>
      <w:tr w:rsidR="00A811FE" w14:paraId="6B3472D1" w14:textId="3DD8DDD3" w:rsidTr="009567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5069394F" w14:textId="58EA7784" w:rsidR="00A811FE" w:rsidRDefault="00A811FE" w:rsidP="00A811FE">
            <w:pPr>
              <w:overflowPunct/>
              <w:autoSpaceDE/>
              <w:autoSpaceDN/>
              <w:adjustRightInd/>
              <w:spacing w:before="100" w:beforeAutospacing="1" w:after="100" w:afterAutospacing="1"/>
              <w:textAlignment w:val="auto"/>
              <w:rPr>
                <w:sz w:val="22"/>
              </w:rPr>
            </w:pPr>
            <w:r>
              <w:rPr>
                <w:sz w:val="22"/>
              </w:rPr>
              <w:t xml:space="preserve">UE ACK K1 &gt; 1 </w:t>
            </w:r>
          </w:p>
        </w:tc>
        <w:tc>
          <w:tcPr>
            <w:tcW w:w="2453" w:type="dxa"/>
          </w:tcPr>
          <w:p w14:paraId="6FC86ED4" w14:textId="35F7F718" w:rsidR="00A811FE" w:rsidRDefault="00A811FE" w:rsidP="00A811FE">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7750A0C4" w14:textId="04CF1C07" w:rsidR="00A811FE" w:rsidRDefault="00A811FE" w:rsidP="00A811FE">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43C2C922" w14:textId="06EC87F3" w:rsidR="00A811FE" w:rsidRDefault="00A811FE" w:rsidP="00A811FE">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bl>
    <w:p w14:paraId="63637F8E" w14:textId="5459423A" w:rsidR="00A811FE" w:rsidRPr="00A811FE" w:rsidRDefault="00956770" w:rsidP="00A811FE">
      <w:pPr>
        <w:overflowPunct/>
        <w:autoSpaceDE/>
        <w:autoSpaceDN/>
        <w:adjustRightInd/>
        <w:spacing w:before="100" w:beforeAutospacing="1" w:after="100" w:afterAutospacing="1"/>
        <w:textAlignment w:val="auto"/>
        <w:rPr>
          <w:sz w:val="22"/>
        </w:rPr>
      </w:pPr>
      <w:r>
        <w:rPr>
          <w:sz w:val="22"/>
        </w:rPr>
        <w:t>Similarly, NR supported HARQ processes on UL could also be derived from UL data to grant delay K2 and eNB reTx delay. Table 2 captures the recommended NR UL HARQ processes</w:t>
      </w:r>
      <w:r w:rsidR="00845E1D">
        <w:rPr>
          <w:sz w:val="22"/>
        </w:rPr>
        <w:t xml:space="preserve"> in TDD</w:t>
      </w:r>
      <w:r>
        <w:rPr>
          <w:sz w:val="22"/>
        </w:rPr>
        <w:t>.</w:t>
      </w:r>
    </w:p>
    <w:p w14:paraId="061BDCCD" w14:textId="2BB32686" w:rsidR="00956770" w:rsidRPr="00A811FE" w:rsidRDefault="00956770" w:rsidP="00956770">
      <w:pPr>
        <w:pStyle w:val="Caption"/>
        <w:jc w:val="center"/>
        <w:rPr>
          <w:sz w:val="22"/>
        </w:rPr>
      </w:pPr>
      <w:r>
        <w:t xml:space="preserve">Table </w:t>
      </w:r>
      <w:fldSimple w:instr=" SEQ Table \* ARABIC ">
        <w:r>
          <w:rPr>
            <w:noProof/>
          </w:rPr>
          <w:t>2</w:t>
        </w:r>
      </w:fldSimple>
      <w:r>
        <w:t xml:space="preserve"> NR supported HARQ Processes on UL</w:t>
      </w:r>
      <w:r w:rsidR="005F5AE1">
        <w:t xml:space="preserve"> in TDD</w:t>
      </w:r>
    </w:p>
    <w:tbl>
      <w:tblPr>
        <w:tblStyle w:val="GridTable4-Accent2"/>
        <w:tblW w:w="0" w:type="auto"/>
        <w:tblLook w:val="04A0" w:firstRow="1" w:lastRow="0" w:firstColumn="1" w:lastColumn="0" w:noHBand="0" w:noVBand="1"/>
      </w:tblPr>
      <w:tblGrid>
        <w:gridCol w:w="2603"/>
        <w:gridCol w:w="2453"/>
        <w:gridCol w:w="2453"/>
        <w:gridCol w:w="2453"/>
      </w:tblGrid>
      <w:tr w:rsidR="00956770" w14:paraId="2B215EC0" w14:textId="77777777" w:rsidTr="003912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75F24AE8" w14:textId="77777777" w:rsidR="00956770" w:rsidRDefault="00956770" w:rsidP="003912F6">
            <w:pPr>
              <w:overflowPunct/>
              <w:autoSpaceDE/>
              <w:autoSpaceDN/>
              <w:adjustRightInd/>
              <w:spacing w:before="100" w:beforeAutospacing="1" w:after="100" w:afterAutospacing="1"/>
              <w:textAlignment w:val="auto"/>
              <w:rPr>
                <w:sz w:val="22"/>
              </w:rPr>
            </w:pPr>
            <w:r>
              <w:rPr>
                <w:sz w:val="22"/>
              </w:rPr>
              <w:t>Delay (slot)</w:t>
            </w:r>
          </w:p>
        </w:tc>
        <w:tc>
          <w:tcPr>
            <w:tcW w:w="2453" w:type="dxa"/>
          </w:tcPr>
          <w:p w14:paraId="6B30AD73" w14:textId="00BC50CE" w:rsidR="00956770" w:rsidRDefault="00956770" w:rsidP="003912F6">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 Data+1</w:t>
            </w:r>
          </w:p>
        </w:tc>
        <w:tc>
          <w:tcPr>
            <w:tcW w:w="2453" w:type="dxa"/>
          </w:tcPr>
          <w:p w14:paraId="457B08B1" w14:textId="3A58E1B2" w:rsidR="00956770" w:rsidRDefault="00956770" w:rsidP="003912F6">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 Data+2</w:t>
            </w:r>
          </w:p>
        </w:tc>
        <w:tc>
          <w:tcPr>
            <w:tcW w:w="2453" w:type="dxa"/>
          </w:tcPr>
          <w:p w14:paraId="1C094824" w14:textId="23623C3E" w:rsidR="00956770" w:rsidRDefault="00956770" w:rsidP="003912F6">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 Data&gt;2 FSS</w:t>
            </w:r>
          </w:p>
        </w:tc>
      </w:tr>
      <w:tr w:rsidR="00956770" w14:paraId="1E0C53C3" w14:textId="77777777" w:rsidTr="00391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3A3CC524" w14:textId="1D8C7D2D" w:rsidR="00956770" w:rsidRDefault="00956770" w:rsidP="003912F6">
            <w:pPr>
              <w:overflowPunct/>
              <w:autoSpaceDE/>
              <w:autoSpaceDN/>
              <w:adjustRightInd/>
              <w:spacing w:before="100" w:beforeAutospacing="1" w:after="100" w:afterAutospacing="1"/>
              <w:textAlignment w:val="auto"/>
              <w:rPr>
                <w:sz w:val="22"/>
              </w:rPr>
            </w:pPr>
            <w:r>
              <w:rPr>
                <w:sz w:val="22"/>
              </w:rPr>
              <w:t>UE Data K2 = 0</w:t>
            </w:r>
          </w:p>
        </w:tc>
        <w:tc>
          <w:tcPr>
            <w:tcW w:w="2453" w:type="dxa"/>
          </w:tcPr>
          <w:p w14:paraId="4863C44E" w14:textId="77777777" w:rsidR="00956770" w:rsidRDefault="00956770" w:rsidP="003912F6">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1</w:t>
            </w:r>
          </w:p>
        </w:tc>
        <w:tc>
          <w:tcPr>
            <w:tcW w:w="2453" w:type="dxa"/>
          </w:tcPr>
          <w:p w14:paraId="366EB017" w14:textId="77777777" w:rsidR="00956770" w:rsidRDefault="00956770" w:rsidP="003912F6">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2</w:t>
            </w:r>
          </w:p>
        </w:tc>
        <w:tc>
          <w:tcPr>
            <w:tcW w:w="2453" w:type="dxa"/>
          </w:tcPr>
          <w:p w14:paraId="4F662E55" w14:textId="77777777" w:rsidR="00956770" w:rsidRDefault="00956770" w:rsidP="003912F6">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r w:rsidR="00956770" w14:paraId="29B2AC8E" w14:textId="77777777" w:rsidTr="003912F6">
        <w:tc>
          <w:tcPr>
            <w:cnfStyle w:val="001000000000" w:firstRow="0" w:lastRow="0" w:firstColumn="1" w:lastColumn="0" w:oddVBand="0" w:evenVBand="0" w:oddHBand="0" w:evenHBand="0" w:firstRowFirstColumn="0" w:firstRowLastColumn="0" w:lastRowFirstColumn="0" w:lastRowLastColumn="0"/>
            <w:tcW w:w="2603" w:type="dxa"/>
          </w:tcPr>
          <w:p w14:paraId="59F6345C" w14:textId="72751777" w:rsidR="00956770" w:rsidRDefault="00956770" w:rsidP="003912F6">
            <w:pPr>
              <w:overflowPunct/>
              <w:autoSpaceDE/>
              <w:autoSpaceDN/>
              <w:adjustRightInd/>
              <w:spacing w:before="100" w:beforeAutospacing="1" w:after="100" w:afterAutospacing="1"/>
              <w:textAlignment w:val="auto"/>
              <w:rPr>
                <w:sz w:val="22"/>
              </w:rPr>
            </w:pPr>
            <w:r>
              <w:rPr>
                <w:sz w:val="22"/>
              </w:rPr>
              <w:t>UE Data K2 = 1</w:t>
            </w:r>
          </w:p>
        </w:tc>
        <w:tc>
          <w:tcPr>
            <w:tcW w:w="2453" w:type="dxa"/>
          </w:tcPr>
          <w:p w14:paraId="55438310" w14:textId="77777777" w:rsidR="00956770" w:rsidRDefault="00956770" w:rsidP="003912F6">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2</w:t>
            </w:r>
          </w:p>
        </w:tc>
        <w:tc>
          <w:tcPr>
            <w:tcW w:w="2453" w:type="dxa"/>
          </w:tcPr>
          <w:p w14:paraId="1A07EE42" w14:textId="77777777" w:rsidR="00956770" w:rsidRDefault="00956770" w:rsidP="003912F6">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3</w:t>
            </w:r>
          </w:p>
        </w:tc>
        <w:tc>
          <w:tcPr>
            <w:tcW w:w="2453" w:type="dxa"/>
          </w:tcPr>
          <w:p w14:paraId="3D4C0D9A" w14:textId="77777777" w:rsidR="00956770" w:rsidRDefault="00956770" w:rsidP="003912F6">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FFS</w:t>
            </w:r>
          </w:p>
        </w:tc>
      </w:tr>
      <w:tr w:rsidR="00956770" w14:paraId="569C2740" w14:textId="77777777" w:rsidTr="00391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469294BC" w14:textId="18DC93B6" w:rsidR="00956770" w:rsidRDefault="00956770" w:rsidP="00956770">
            <w:pPr>
              <w:overflowPunct/>
              <w:autoSpaceDE/>
              <w:autoSpaceDN/>
              <w:adjustRightInd/>
              <w:spacing w:before="100" w:beforeAutospacing="1" w:after="100" w:afterAutospacing="1"/>
              <w:textAlignment w:val="auto"/>
              <w:rPr>
                <w:sz w:val="22"/>
              </w:rPr>
            </w:pPr>
            <w:r>
              <w:rPr>
                <w:sz w:val="22"/>
              </w:rPr>
              <w:t xml:space="preserve">UE Data K2 &gt; 1 </w:t>
            </w:r>
          </w:p>
        </w:tc>
        <w:tc>
          <w:tcPr>
            <w:tcW w:w="2453" w:type="dxa"/>
          </w:tcPr>
          <w:p w14:paraId="0060BF47" w14:textId="77777777" w:rsidR="00956770" w:rsidRDefault="00956770" w:rsidP="003912F6">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1A96A524" w14:textId="77777777" w:rsidR="00956770" w:rsidRDefault="00956770" w:rsidP="003912F6">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204A1F36" w14:textId="77777777" w:rsidR="00956770" w:rsidRDefault="00956770" w:rsidP="003912F6">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bl>
    <w:p w14:paraId="53082FC1" w14:textId="77777777" w:rsidR="005F5AE1" w:rsidRDefault="005F5AE1" w:rsidP="00A811FE">
      <w:pPr>
        <w:overflowPunct/>
        <w:autoSpaceDE/>
        <w:autoSpaceDN/>
        <w:adjustRightInd/>
        <w:spacing w:before="100" w:beforeAutospacing="1" w:after="100" w:afterAutospacing="1"/>
        <w:textAlignment w:val="auto"/>
        <w:rPr>
          <w:b/>
          <w:sz w:val="22"/>
        </w:rPr>
      </w:pPr>
    </w:p>
    <w:p w14:paraId="3EEB87CE" w14:textId="3BCB39B6" w:rsidR="0019443E" w:rsidRDefault="00956770" w:rsidP="00A811FE">
      <w:pPr>
        <w:overflowPunct/>
        <w:autoSpaceDE/>
        <w:autoSpaceDN/>
        <w:adjustRightInd/>
        <w:spacing w:before="100" w:beforeAutospacing="1" w:after="100" w:afterAutospacing="1"/>
        <w:textAlignment w:val="auto"/>
        <w:rPr>
          <w:sz w:val="22"/>
        </w:rPr>
      </w:pPr>
      <w:r w:rsidRPr="00956770">
        <w:rPr>
          <w:b/>
          <w:sz w:val="22"/>
        </w:rPr>
        <w:t>Proposal 1</w:t>
      </w:r>
      <w:r>
        <w:rPr>
          <w:sz w:val="22"/>
        </w:rPr>
        <w:t xml:space="preserve">: The maximum number of HARQ processes of NR </w:t>
      </w:r>
      <w:r w:rsidR="00845E1D">
        <w:rPr>
          <w:sz w:val="22"/>
        </w:rPr>
        <w:t xml:space="preserve">shall </w:t>
      </w:r>
      <w:r>
        <w:rPr>
          <w:sz w:val="22"/>
        </w:rPr>
        <w:t>include</w:t>
      </w:r>
      <w:r w:rsidR="00845E1D">
        <w:rPr>
          <w:sz w:val="22"/>
        </w:rPr>
        <w:t xml:space="preserve"> at least</w:t>
      </w:r>
      <w:r>
        <w:rPr>
          <w:sz w:val="22"/>
        </w:rPr>
        <w:t xml:space="preserve"> 1, 2 and 3 on both DL and UL</w:t>
      </w:r>
      <w:r w:rsidR="00B930AA">
        <w:rPr>
          <w:sz w:val="22"/>
        </w:rPr>
        <w:t xml:space="preserve"> </w:t>
      </w:r>
      <w:r w:rsidR="00845E1D">
        <w:rPr>
          <w:sz w:val="22"/>
        </w:rPr>
        <w:t>in</w:t>
      </w:r>
      <w:r w:rsidR="00B930AA">
        <w:rPr>
          <w:sz w:val="22"/>
        </w:rPr>
        <w:t xml:space="preserve"> TDD</w:t>
      </w:r>
      <w:r>
        <w:rPr>
          <w:sz w:val="22"/>
        </w:rPr>
        <w:t xml:space="preserve">. </w:t>
      </w:r>
    </w:p>
    <w:p w14:paraId="4D04ADD5" w14:textId="3B3574F5" w:rsidR="00956770" w:rsidRPr="00A811FE" w:rsidRDefault="00956770" w:rsidP="00A811FE">
      <w:pPr>
        <w:overflowPunct/>
        <w:autoSpaceDE/>
        <w:autoSpaceDN/>
        <w:adjustRightInd/>
        <w:spacing w:before="100" w:beforeAutospacing="1" w:after="100" w:afterAutospacing="1"/>
        <w:textAlignment w:val="auto"/>
        <w:rPr>
          <w:sz w:val="22"/>
        </w:rPr>
      </w:pPr>
      <w:r w:rsidRPr="00956770">
        <w:rPr>
          <w:b/>
          <w:sz w:val="22"/>
        </w:rPr>
        <w:t>Proposal 2</w:t>
      </w:r>
      <w:r>
        <w:rPr>
          <w:sz w:val="22"/>
        </w:rPr>
        <w:t xml:space="preserve">: The benefits of maximum number of HARQ processes greater than 3 </w:t>
      </w:r>
      <w:r w:rsidR="00B930AA">
        <w:rPr>
          <w:sz w:val="22"/>
        </w:rPr>
        <w:t xml:space="preserve">for TDD </w:t>
      </w:r>
      <w:r>
        <w:rPr>
          <w:sz w:val="22"/>
        </w:rPr>
        <w:t>require further study.</w:t>
      </w:r>
    </w:p>
    <w:p w14:paraId="5BE0AC90" w14:textId="77777777" w:rsidR="00FC6D8C" w:rsidRDefault="003A38AC" w:rsidP="00AA0D9A">
      <w:pPr>
        <w:pStyle w:val="Heading1"/>
        <w:rPr>
          <w:sz w:val="40"/>
        </w:rPr>
      </w:pPr>
      <w:bookmarkStart w:id="1" w:name="_Ref378529477"/>
      <w:r w:rsidRPr="00E05BD3">
        <w:rPr>
          <w:sz w:val="40"/>
        </w:rPr>
        <w:lastRenderedPageBreak/>
        <w:t>C</w:t>
      </w:r>
      <w:r w:rsidR="001021DD" w:rsidRPr="00E05BD3">
        <w:rPr>
          <w:sz w:val="40"/>
        </w:rPr>
        <w:t>onclusions</w:t>
      </w:r>
    </w:p>
    <w:p w14:paraId="6BCDBBBB" w14:textId="35B15637" w:rsidR="00B930AA" w:rsidRPr="00B930AA" w:rsidRDefault="00B930AA" w:rsidP="00B930AA">
      <w:pPr>
        <w:rPr>
          <w:lang w:val="en-GB"/>
        </w:rPr>
      </w:pPr>
      <w:r>
        <w:rPr>
          <w:lang w:val="en-GB"/>
        </w:rPr>
        <w:t>In this contribution, we analysed the maximum number of HARQ processes that NR should support in relationship to K1, K2 and network retransmission turnaround time. Based on the analysis, we recommend the working group to consider following proposals:</w:t>
      </w:r>
    </w:p>
    <w:bookmarkEnd w:id="1"/>
    <w:p w14:paraId="25EA44E1" w14:textId="2643F7F6" w:rsidR="00B930AA" w:rsidRDefault="00B930AA" w:rsidP="00B930AA">
      <w:pPr>
        <w:overflowPunct/>
        <w:autoSpaceDE/>
        <w:autoSpaceDN/>
        <w:adjustRightInd/>
        <w:spacing w:before="100" w:beforeAutospacing="1" w:after="100" w:afterAutospacing="1"/>
        <w:textAlignment w:val="auto"/>
        <w:rPr>
          <w:sz w:val="22"/>
        </w:rPr>
      </w:pPr>
      <w:r w:rsidRPr="00956770">
        <w:rPr>
          <w:b/>
          <w:sz w:val="22"/>
        </w:rPr>
        <w:t>Proposal 1</w:t>
      </w:r>
      <w:r>
        <w:rPr>
          <w:sz w:val="22"/>
        </w:rPr>
        <w:t xml:space="preserve">: The maximum number of HARQ processes of NR </w:t>
      </w:r>
      <w:r w:rsidR="00845E1D">
        <w:rPr>
          <w:sz w:val="22"/>
        </w:rPr>
        <w:t xml:space="preserve">shall include </w:t>
      </w:r>
      <w:r>
        <w:rPr>
          <w:sz w:val="22"/>
        </w:rPr>
        <w:t xml:space="preserve">at least 1, 2 and 3 on both DL and UL for TDD. </w:t>
      </w:r>
    </w:p>
    <w:p w14:paraId="2761304D" w14:textId="77777777" w:rsidR="00B930AA" w:rsidRPr="00A811FE" w:rsidRDefault="00B930AA" w:rsidP="00B930AA">
      <w:pPr>
        <w:overflowPunct/>
        <w:autoSpaceDE/>
        <w:autoSpaceDN/>
        <w:adjustRightInd/>
        <w:spacing w:before="100" w:beforeAutospacing="1" w:after="100" w:afterAutospacing="1"/>
        <w:textAlignment w:val="auto"/>
        <w:rPr>
          <w:sz w:val="22"/>
        </w:rPr>
      </w:pPr>
      <w:r w:rsidRPr="00956770">
        <w:rPr>
          <w:b/>
          <w:sz w:val="22"/>
        </w:rPr>
        <w:t>Proposal 2</w:t>
      </w:r>
      <w:r>
        <w:rPr>
          <w:sz w:val="22"/>
        </w:rPr>
        <w:t>: The benefits of maximum number of HARQ processes greater than 3 for TDD require further study.</w:t>
      </w:r>
    </w:p>
    <w:p w14:paraId="5BE0AC98" w14:textId="77777777" w:rsidR="00E523F3" w:rsidRPr="00E05BD3" w:rsidRDefault="00E523F3" w:rsidP="00BC0E9A">
      <w:pPr>
        <w:pStyle w:val="Heading1"/>
        <w:numPr>
          <w:ilvl w:val="0"/>
          <w:numId w:val="0"/>
        </w:numPr>
        <w:ind w:left="432" w:hanging="432"/>
        <w:rPr>
          <w:sz w:val="40"/>
          <w:lang w:val="en-US"/>
        </w:rPr>
      </w:pPr>
      <w:r w:rsidRPr="00E05BD3">
        <w:rPr>
          <w:sz w:val="40"/>
          <w:lang w:val="en-US"/>
        </w:rPr>
        <w:t>References</w:t>
      </w:r>
    </w:p>
    <w:p w14:paraId="20F98EA8" w14:textId="77777777" w:rsidR="00D610F8" w:rsidRPr="00E05BD3" w:rsidRDefault="001F2982" w:rsidP="005D4043">
      <w:pPr>
        <w:numPr>
          <w:ilvl w:val="0"/>
          <w:numId w:val="2"/>
        </w:numPr>
        <w:spacing w:before="100" w:beforeAutospacing="1" w:after="100" w:afterAutospacing="1"/>
        <w:ind w:left="562" w:hanging="562"/>
        <w:rPr>
          <w:sz w:val="22"/>
          <w:szCs w:val="22"/>
        </w:rPr>
      </w:pPr>
      <w:bookmarkStart w:id="2" w:name="_Ref458548305"/>
      <w:bookmarkStart w:id="3" w:name="_Ref430766234"/>
      <w:r w:rsidRPr="00E05BD3">
        <w:rPr>
          <w:sz w:val="22"/>
          <w:szCs w:val="22"/>
        </w:rPr>
        <w:t xml:space="preserve">RAN1 #85 </w:t>
      </w:r>
      <w:r w:rsidR="00D610F8" w:rsidRPr="00E05BD3">
        <w:rPr>
          <w:sz w:val="22"/>
          <w:szCs w:val="22"/>
        </w:rPr>
        <w:t>Chairman Notes</w:t>
      </w:r>
      <w:bookmarkEnd w:id="2"/>
    </w:p>
    <w:p w14:paraId="5BE0AC99" w14:textId="24E702AE" w:rsidR="003855C1" w:rsidRPr="00E05BD3" w:rsidRDefault="00911CBA" w:rsidP="00911CBA">
      <w:pPr>
        <w:numPr>
          <w:ilvl w:val="0"/>
          <w:numId w:val="2"/>
        </w:numPr>
        <w:spacing w:before="100" w:beforeAutospacing="1" w:after="100" w:afterAutospacing="1"/>
        <w:rPr>
          <w:sz w:val="22"/>
          <w:szCs w:val="22"/>
        </w:rPr>
      </w:pPr>
      <w:bookmarkStart w:id="4" w:name="_Ref458800081"/>
      <w:bookmarkEnd w:id="3"/>
      <w:r w:rsidRPr="00E05BD3">
        <w:rPr>
          <w:sz w:val="22"/>
          <w:szCs w:val="22"/>
        </w:rPr>
        <w:t>R1-166361, “Control interval and scheduling interval”,</w:t>
      </w:r>
      <w:r w:rsidRPr="00E05BD3">
        <w:rPr>
          <w:sz w:val="22"/>
        </w:rPr>
        <w:t xml:space="preserve"> Qualcomm Incorporated, RAN1 #86, Gothenburg, Sweden</w:t>
      </w:r>
      <w:bookmarkEnd w:id="4"/>
    </w:p>
    <w:p w14:paraId="3B9EEDC0" w14:textId="0DC57CC8" w:rsidR="002B0BEF" w:rsidRDefault="002B0BEF" w:rsidP="002B0BEF">
      <w:pPr>
        <w:numPr>
          <w:ilvl w:val="0"/>
          <w:numId w:val="2"/>
        </w:numPr>
        <w:spacing w:before="100" w:beforeAutospacing="1" w:after="100" w:afterAutospacing="1"/>
        <w:rPr>
          <w:sz w:val="22"/>
        </w:rPr>
      </w:pPr>
      <w:bookmarkStart w:id="5" w:name="_Ref458798945"/>
      <w:r w:rsidRPr="00E05BD3">
        <w:rPr>
          <w:sz w:val="22"/>
        </w:rPr>
        <w:t xml:space="preserve">R1-166363, “Scalable Numerology Control Design for NR”, </w:t>
      </w:r>
      <w:r w:rsidR="00775B1D" w:rsidRPr="00E05BD3">
        <w:rPr>
          <w:sz w:val="22"/>
        </w:rPr>
        <w:t>Qualcomm Incorporated, RAN1</w:t>
      </w:r>
      <w:r w:rsidRPr="00E05BD3">
        <w:rPr>
          <w:sz w:val="22"/>
        </w:rPr>
        <w:t xml:space="preserve"> #86, Gothenburg, Sweden</w:t>
      </w:r>
      <w:bookmarkEnd w:id="5"/>
    </w:p>
    <w:p w14:paraId="4B095DAD" w14:textId="0C30A6E8" w:rsidR="00FC1EBD" w:rsidRDefault="00FC1EBD" w:rsidP="00FC1EBD">
      <w:pPr>
        <w:numPr>
          <w:ilvl w:val="0"/>
          <w:numId w:val="2"/>
        </w:numPr>
        <w:spacing w:before="100" w:beforeAutospacing="1" w:after="100" w:afterAutospacing="1"/>
        <w:rPr>
          <w:sz w:val="22"/>
        </w:rPr>
      </w:pPr>
      <w:r w:rsidRPr="00FC1EBD">
        <w:rPr>
          <w:sz w:val="22"/>
          <w:szCs w:val="22"/>
        </w:rPr>
        <w:t>R1-1610180</w:t>
      </w:r>
      <w:r>
        <w:rPr>
          <w:sz w:val="22"/>
          <w:szCs w:val="22"/>
        </w:rPr>
        <w:t>, “</w:t>
      </w:r>
      <w:r w:rsidRPr="00FC1EBD">
        <w:rPr>
          <w:sz w:val="22"/>
          <w:szCs w:val="22"/>
        </w:rPr>
        <w:t>Number of HARQ processes”, Qualcomm Incorp</w:t>
      </w:r>
      <w:r w:rsidRPr="00E05BD3">
        <w:rPr>
          <w:sz w:val="22"/>
        </w:rPr>
        <w:t>orated, RAN1 #86</w:t>
      </w:r>
      <w:r>
        <w:rPr>
          <w:sz w:val="22"/>
        </w:rPr>
        <w:t>b, Lisbon, Portugal</w:t>
      </w:r>
    </w:p>
    <w:p w14:paraId="26131DF3" w14:textId="1C6F6DD2" w:rsidR="00862F15" w:rsidRDefault="00862F15" w:rsidP="00862F15">
      <w:pPr>
        <w:numPr>
          <w:ilvl w:val="0"/>
          <w:numId w:val="2"/>
        </w:numPr>
        <w:spacing w:before="100" w:beforeAutospacing="1" w:after="100" w:afterAutospacing="1"/>
        <w:ind w:left="562" w:hanging="562"/>
        <w:rPr>
          <w:sz w:val="22"/>
          <w:szCs w:val="22"/>
        </w:rPr>
      </w:pPr>
      <w:r>
        <w:rPr>
          <w:sz w:val="22"/>
          <w:szCs w:val="22"/>
        </w:rPr>
        <w:t>RAN1 #86bis</w:t>
      </w:r>
      <w:r w:rsidRPr="00E05BD3">
        <w:rPr>
          <w:sz w:val="22"/>
          <w:szCs w:val="22"/>
        </w:rPr>
        <w:t xml:space="preserve"> Chairman Notes</w:t>
      </w:r>
    </w:p>
    <w:p w14:paraId="62B9341C" w14:textId="4A9F33F6" w:rsidR="00B930AA" w:rsidRDefault="00B930AA" w:rsidP="00B930AA">
      <w:pPr>
        <w:numPr>
          <w:ilvl w:val="0"/>
          <w:numId w:val="2"/>
        </w:numPr>
        <w:spacing w:before="100" w:beforeAutospacing="1" w:after="100" w:afterAutospacing="1"/>
        <w:rPr>
          <w:sz w:val="22"/>
        </w:rPr>
      </w:pPr>
      <w:r>
        <w:rPr>
          <w:sz w:val="22"/>
          <w:szCs w:val="22"/>
        </w:rPr>
        <w:t>R1-1612077, “DL processing time consideration</w:t>
      </w:r>
      <w:r w:rsidRPr="00FC1EBD">
        <w:rPr>
          <w:sz w:val="22"/>
          <w:szCs w:val="22"/>
        </w:rPr>
        <w:t>”, Qualcomm Incorp</w:t>
      </w:r>
      <w:r>
        <w:rPr>
          <w:sz w:val="22"/>
        </w:rPr>
        <w:t>orated, RAN1 #87, Reno, USA</w:t>
      </w:r>
    </w:p>
    <w:p w14:paraId="5A96B561" w14:textId="4A9CE29B" w:rsidR="00B930AA" w:rsidRPr="00B930AA" w:rsidRDefault="00B930AA" w:rsidP="00B930AA">
      <w:pPr>
        <w:numPr>
          <w:ilvl w:val="0"/>
          <w:numId w:val="2"/>
        </w:numPr>
        <w:spacing w:before="100" w:beforeAutospacing="1" w:after="100" w:afterAutospacing="1"/>
        <w:rPr>
          <w:sz w:val="22"/>
        </w:rPr>
      </w:pPr>
      <w:r>
        <w:rPr>
          <w:sz w:val="22"/>
          <w:szCs w:val="22"/>
        </w:rPr>
        <w:t>R1-1612078, “UL processing time consideration</w:t>
      </w:r>
      <w:r w:rsidRPr="00FC1EBD">
        <w:rPr>
          <w:sz w:val="22"/>
          <w:szCs w:val="22"/>
        </w:rPr>
        <w:t>”, Qualcomm Incorp</w:t>
      </w:r>
      <w:r w:rsidRPr="00E05BD3">
        <w:rPr>
          <w:sz w:val="22"/>
        </w:rPr>
        <w:t>orated, RAN1 #8</w:t>
      </w:r>
      <w:r>
        <w:rPr>
          <w:sz w:val="22"/>
        </w:rPr>
        <w:t>7, Reno, USA</w:t>
      </w:r>
    </w:p>
    <w:sectPr w:rsidR="00B930AA" w:rsidRPr="00B930AA"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A43A7" w14:textId="77777777" w:rsidR="002024B8" w:rsidRDefault="002024B8">
      <w:r>
        <w:separator/>
      </w:r>
    </w:p>
  </w:endnote>
  <w:endnote w:type="continuationSeparator" w:id="0">
    <w:p w14:paraId="34DBB4B4" w14:textId="77777777" w:rsidR="002024B8" w:rsidRDefault="002024B8">
      <w:r>
        <w:continuationSeparator/>
      </w:r>
    </w:p>
  </w:endnote>
  <w:endnote w:type="continuationNotice" w:id="1">
    <w:p w14:paraId="6018DD10" w14:textId="77777777" w:rsidR="002024B8" w:rsidRDefault="002024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B77605" w:rsidRDefault="00B776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77605" w:rsidRDefault="00B776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B77605" w:rsidRDefault="00B776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46F9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6F99">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DE3FD" w14:textId="77777777" w:rsidR="002024B8" w:rsidRDefault="002024B8">
      <w:r>
        <w:separator/>
      </w:r>
    </w:p>
  </w:footnote>
  <w:footnote w:type="continuationSeparator" w:id="0">
    <w:p w14:paraId="6D2CA556" w14:textId="77777777" w:rsidR="002024B8" w:rsidRDefault="002024B8">
      <w:r>
        <w:continuationSeparator/>
      </w:r>
    </w:p>
  </w:footnote>
  <w:footnote w:type="continuationNotice" w:id="1">
    <w:p w14:paraId="142FC9ED" w14:textId="77777777" w:rsidR="002024B8" w:rsidRDefault="002024B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B77605" w:rsidRDefault="00B776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82992"/>
    <w:multiLevelType w:val="hybridMultilevel"/>
    <w:tmpl w:val="D2161100"/>
    <w:lvl w:ilvl="0" w:tplc="9CD2C9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DC73A23"/>
    <w:multiLevelType w:val="hybridMultilevel"/>
    <w:tmpl w:val="7C0C4466"/>
    <w:lvl w:ilvl="0" w:tplc="AC8C2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cs="Times New Roman" w:hint="default"/>
      </w:rPr>
    </w:lvl>
    <w:lvl w:ilvl="1" w:tplc="CD386374">
      <w:start w:val="2695"/>
      <w:numFmt w:val="bullet"/>
      <w:lvlText w:val="–"/>
      <w:lvlJc w:val="left"/>
      <w:pPr>
        <w:tabs>
          <w:tab w:val="num" w:pos="1440"/>
        </w:tabs>
        <w:ind w:left="1440" w:hanging="360"/>
      </w:pPr>
      <w:rPr>
        <w:rFonts w:ascii="Arial" w:hAnsi="Arial" w:cs="Times New Roman" w:hint="default"/>
      </w:rPr>
    </w:lvl>
    <w:lvl w:ilvl="2" w:tplc="E2047626">
      <w:start w:val="1"/>
      <w:numFmt w:val="bullet"/>
      <w:lvlText w:val="•"/>
      <w:lvlJc w:val="left"/>
      <w:pPr>
        <w:tabs>
          <w:tab w:val="num" w:pos="2160"/>
        </w:tabs>
        <w:ind w:left="2160" w:hanging="360"/>
      </w:pPr>
      <w:rPr>
        <w:rFonts w:ascii="Arial" w:hAnsi="Arial" w:cs="Times New Roman" w:hint="default"/>
      </w:rPr>
    </w:lvl>
    <w:lvl w:ilvl="3" w:tplc="1E7E1964">
      <w:start w:val="1"/>
      <w:numFmt w:val="bullet"/>
      <w:lvlText w:val="•"/>
      <w:lvlJc w:val="left"/>
      <w:pPr>
        <w:tabs>
          <w:tab w:val="num" w:pos="2880"/>
        </w:tabs>
        <w:ind w:left="2880" w:hanging="360"/>
      </w:pPr>
      <w:rPr>
        <w:rFonts w:ascii="Arial" w:hAnsi="Arial" w:cs="Times New Roman" w:hint="default"/>
      </w:rPr>
    </w:lvl>
    <w:lvl w:ilvl="4" w:tplc="5576234E">
      <w:start w:val="1"/>
      <w:numFmt w:val="bullet"/>
      <w:lvlText w:val="•"/>
      <w:lvlJc w:val="left"/>
      <w:pPr>
        <w:tabs>
          <w:tab w:val="num" w:pos="3600"/>
        </w:tabs>
        <w:ind w:left="3600" w:hanging="360"/>
      </w:pPr>
      <w:rPr>
        <w:rFonts w:ascii="Arial" w:hAnsi="Arial" w:cs="Times New Roman" w:hint="default"/>
      </w:rPr>
    </w:lvl>
    <w:lvl w:ilvl="5" w:tplc="CD6C602A">
      <w:start w:val="1"/>
      <w:numFmt w:val="bullet"/>
      <w:lvlText w:val="•"/>
      <w:lvlJc w:val="left"/>
      <w:pPr>
        <w:tabs>
          <w:tab w:val="num" w:pos="4320"/>
        </w:tabs>
        <w:ind w:left="4320" w:hanging="360"/>
      </w:pPr>
      <w:rPr>
        <w:rFonts w:ascii="Arial" w:hAnsi="Arial" w:cs="Times New Roman" w:hint="default"/>
      </w:rPr>
    </w:lvl>
    <w:lvl w:ilvl="6" w:tplc="7E70FDD2">
      <w:start w:val="1"/>
      <w:numFmt w:val="bullet"/>
      <w:lvlText w:val="•"/>
      <w:lvlJc w:val="left"/>
      <w:pPr>
        <w:tabs>
          <w:tab w:val="num" w:pos="5040"/>
        </w:tabs>
        <w:ind w:left="5040" w:hanging="360"/>
      </w:pPr>
      <w:rPr>
        <w:rFonts w:ascii="Arial" w:hAnsi="Arial" w:cs="Times New Roman" w:hint="default"/>
      </w:rPr>
    </w:lvl>
    <w:lvl w:ilvl="7" w:tplc="17E8A84E">
      <w:start w:val="1"/>
      <w:numFmt w:val="bullet"/>
      <w:lvlText w:val="•"/>
      <w:lvlJc w:val="left"/>
      <w:pPr>
        <w:tabs>
          <w:tab w:val="num" w:pos="5760"/>
        </w:tabs>
        <w:ind w:left="5760" w:hanging="360"/>
      </w:pPr>
      <w:rPr>
        <w:rFonts w:ascii="Arial" w:hAnsi="Arial" w:cs="Times New Roman" w:hint="default"/>
      </w:rPr>
    </w:lvl>
    <w:lvl w:ilvl="8" w:tplc="57E6AA8C">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2936BC"/>
    <w:multiLevelType w:val="hybridMultilevel"/>
    <w:tmpl w:val="EF9482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cs="Times New Roman" w:hint="default"/>
      </w:rPr>
    </w:lvl>
    <w:lvl w:ilvl="1" w:tplc="B4ACBE2A">
      <w:start w:val="1806"/>
      <w:numFmt w:val="bullet"/>
      <w:lvlText w:val="–"/>
      <w:lvlJc w:val="left"/>
      <w:pPr>
        <w:tabs>
          <w:tab w:val="num" w:pos="1440"/>
        </w:tabs>
        <w:ind w:left="1440" w:hanging="360"/>
      </w:pPr>
      <w:rPr>
        <w:rFonts w:ascii="Arial" w:hAnsi="Arial" w:cs="Times New Roman" w:hint="default"/>
      </w:rPr>
    </w:lvl>
    <w:lvl w:ilvl="2" w:tplc="06C03560">
      <w:start w:val="1"/>
      <w:numFmt w:val="bullet"/>
      <w:lvlText w:val="•"/>
      <w:lvlJc w:val="left"/>
      <w:pPr>
        <w:tabs>
          <w:tab w:val="num" w:pos="2160"/>
        </w:tabs>
        <w:ind w:left="2160" w:hanging="360"/>
      </w:pPr>
      <w:rPr>
        <w:rFonts w:ascii="Arial" w:hAnsi="Arial" w:cs="Times New Roman" w:hint="default"/>
      </w:rPr>
    </w:lvl>
    <w:lvl w:ilvl="3" w:tplc="155A7EAE">
      <w:start w:val="1"/>
      <w:numFmt w:val="bullet"/>
      <w:lvlText w:val="•"/>
      <w:lvlJc w:val="left"/>
      <w:pPr>
        <w:tabs>
          <w:tab w:val="num" w:pos="2880"/>
        </w:tabs>
        <w:ind w:left="2880" w:hanging="360"/>
      </w:pPr>
      <w:rPr>
        <w:rFonts w:ascii="Arial" w:hAnsi="Arial" w:cs="Times New Roman" w:hint="default"/>
      </w:rPr>
    </w:lvl>
    <w:lvl w:ilvl="4" w:tplc="75A00D20">
      <w:start w:val="1"/>
      <w:numFmt w:val="bullet"/>
      <w:lvlText w:val="•"/>
      <w:lvlJc w:val="left"/>
      <w:pPr>
        <w:tabs>
          <w:tab w:val="num" w:pos="3600"/>
        </w:tabs>
        <w:ind w:left="3600" w:hanging="360"/>
      </w:pPr>
      <w:rPr>
        <w:rFonts w:ascii="Arial" w:hAnsi="Arial" w:cs="Times New Roman" w:hint="default"/>
      </w:rPr>
    </w:lvl>
    <w:lvl w:ilvl="5" w:tplc="009A861E">
      <w:start w:val="1"/>
      <w:numFmt w:val="bullet"/>
      <w:lvlText w:val="•"/>
      <w:lvlJc w:val="left"/>
      <w:pPr>
        <w:tabs>
          <w:tab w:val="num" w:pos="4320"/>
        </w:tabs>
        <w:ind w:left="4320" w:hanging="360"/>
      </w:pPr>
      <w:rPr>
        <w:rFonts w:ascii="Arial" w:hAnsi="Arial" w:cs="Times New Roman" w:hint="default"/>
      </w:rPr>
    </w:lvl>
    <w:lvl w:ilvl="6" w:tplc="996A2742">
      <w:start w:val="1"/>
      <w:numFmt w:val="bullet"/>
      <w:lvlText w:val="•"/>
      <w:lvlJc w:val="left"/>
      <w:pPr>
        <w:tabs>
          <w:tab w:val="num" w:pos="5040"/>
        </w:tabs>
        <w:ind w:left="5040" w:hanging="360"/>
      </w:pPr>
      <w:rPr>
        <w:rFonts w:ascii="Arial" w:hAnsi="Arial" w:cs="Times New Roman" w:hint="default"/>
      </w:rPr>
    </w:lvl>
    <w:lvl w:ilvl="7" w:tplc="8836EF9A">
      <w:start w:val="1"/>
      <w:numFmt w:val="bullet"/>
      <w:lvlText w:val="•"/>
      <w:lvlJc w:val="left"/>
      <w:pPr>
        <w:tabs>
          <w:tab w:val="num" w:pos="5760"/>
        </w:tabs>
        <w:ind w:left="5760" w:hanging="360"/>
      </w:pPr>
      <w:rPr>
        <w:rFonts w:ascii="Arial" w:hAnsi="Arial" w:cs="Times New Roman" w:hint="default"/>
      </w:rPr>
    </w:lvl>
    <w:lvl w:ilvl="8" w:tplc="7020E8E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cs="Times New Roman" w:hint="default"/>
      </w:rPr>
    </w:lvl>
    <w:lvl w:ilvl="1" w:tplc="C01684CC">
      <w:start w:val="3109"/>
      <w:numFmt w:val="bullet"/>
      <w:lvlText w:val="–"/>
      <w:lvlJc w:val="left"/>
      <w:pPr>
        <w:tabs>
          <w:tab w:val="num" w:pos="1440"/>
        </w:tabs>
        <w:ind w:left="1440" w:hanging="360"/>
      </w:pPr>
      <w:rPr>
        <w:rFonts w:ascii="Arial" w:hAnsi="Arial" w:cs="Times New Roman" w:hint="default"/>
      </w:rPr>
    </w:lvl>
    <w:lvl w:ilvl="2" w:tplc="1312E1BA">
      <w:start w:val="1"/>
      <w:numFmt w:val="bullet"/>
      <w:lvlText w:val="•"/>
      <w:lvlJc w:val="left"/>
      <w:pPr>
        <w:tabs>
          <w:tab w:val="num" w:pos="2160"/>
        </w:tabs>
        <w:ind w:left="2160" w:hanging="360"/>
      </w:pPr>
      <w:rPr>
        <w:rFonts w:ascii="Arial" w:hAnsi="Arial" w:cs="Times New Roman" w:hint="default"/>
      </w:rPr>
    </w:lvl>
    <w:lvl w:ilvl="3" w:tplc="5FD4AEB2">
      <w:start w:val="1"/>
      <w:numFmt w:val="bullet"/>
      <w:lvlText w:val="•"/>
      <w:lvlJc w:val="left"/>
      <w:pPr>
        <w:tabs>
          <w:tab w:val="num" w:pos="2880"/>
        </w:tabs>
        <w:ind w:left="2880" w:hanging="360"/>
      </w:pPr>
      <w:rPr>
        <w:rFonts w:ascii="Arial" w:hAnsi="Arial" w:cs="Times New Roman" w:hint="default"/>
      </w:rPr>
    </w:lvl>
    <w:lvl w:ilvl="4" w:tplc="77A8D6D8">
      <w:start w:val="1"/>
      <w:numFmt w:val="bullet"/>
      <w:lvlText w:val="•"/>
      <w:lvlJc w:val="left"/>
      <w:pPr>
        <w:tabs>
          <w:tab w:val="num" w:pos="3600"/>
        </w:tabs>
        <w:ind w:left="3600" w:hanging="360"/>
      </w:pPr>
      <w:rPr>
        <w:rFonts w:ascii="Arial" w:hAnsi="Arial" w:cs="Times New Roman" w:hint="default"/>
      </w:rPr>
    </w:lvl>
    <w:lvl w:ilvl="5" w:tplc="C76628E0">
      <w:start w:val="1"/>
      <w:numFmt w:val="bullet"/>
      <w:lvlText w:val="•"/>
      <w:lvlJc w:val="left"/>
      <w:pPr>
        <w:tabs>
          <w:tab w:val="num" w:pos="4320"/>
        </w:tabs>
        <w:ind w:left="4320" w:hanging="360"/>
      </w:pPr>
      <w:rPr>
        <w:rFonts w:ascii="Arial" w:hAnsi="Arial" w:cs="Times New Roman" w:hint="default"/>
      </w:rPr>
    </w:lvl>
    <w:lvl w:ilvl="6" w:tplc="8E9ED77C">
      <w:start w:val="1"/>
      <w:numFmt w:val="bullet"/>
      <w:lvlText w:val="•"/>
      <w:lvlJc w:val="left"/>
      <w:pPr>
        <w:tabs>
          <w:tab w:val="num" w:pos="5040"/>
        </w:tabs>
        <w:ind w:left="5040" w:hanging="360"/>
      </w:pPr>
      <w:rPr>
        <w:rFonts w:ascii="Arial" w:hAnsi="Arial" w:cs="Times New Roman" w:hint="default"/>
      </w:rPr>
    </w:lvl>
    <w:lvl w:ilvl="7" w:tplc="63261E5E">
      <w:start w:val="1"/>
      <w:numFmt w:val="bullet"/>
      <w:lvlText w:val="•"/>
      <w:lvlJc w:val="left"/>
      <w:pPr>
        <w:tabs>
          <w:tab w:val="num" w:pos="5760"/>
        </w:tabs>
        <w:ind w:left="5760" w:hanging="360"/>
      </w:pPr>
      <w:rPr>
        <w:rFonts w:ascii="Arial" w:hAnsi="Arial" w:cs="Times New Roman" w:hint="default"/>
      </w:rPr>
    </w:lvl>
    <w:lvl w:ilvl="8" w:tplc="62FA80F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63942"/>
    <w:multiLevelType w:val="hybridMultilevel"/>
    <w:tmpl w:val="BAE4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bullet"/>
      <w:lvlText w:val="•"/>
      <w:lvlJc w:val="left"/>
      <w:pPr>
        <w:tabs>
          <w:tab w:val="num" w:pos="2880"/>
        </w:tabs>
        <w:ind w:left="2880" w:hanging="360"/>
      </w:pPr>
      <w:rPr>
        <w:rFonts w:ascii="Arial" w:hAnsi="Arial" w:cs="Times New Roman" w:hint="default"/>
      </w:rPr>
    </w:lvl>
    <w:lvl w:ilvl="4" w:tplc="B1EC1BF0">
      <w:start w:val="1"/>
      <w:numFmt w:val="bullet"/>
      <w:lvlText w:val="•"/>
      <w:lvlJc w:val="left"/>
      <w:pPr>
        <w:tabs>
          <w:tab w:val="num" w:pos="3600"/>
        </w:tabs>
        <w:ind w:left="3600" w:hanging="360"/>
      </w:pPr>
      <w:rPr>
        <w:rFonts w:ascii="Arial" w:hAnsi="Arial" w:cs="Times New Roman" w:hint="default"/>
      </w:rPr>
    </w:lvl>
    <w:lvl w:ilvl="5" w:tplc="184454CE">
      <w:start w:val="1"/>
      <w:numFmt w:val="bullet"/>
      <w:lvlText w:val="•"/>
      <w:lvlJc w:val="left"/>
      <w:pPr>
        <w:tabs>
          <w:tab w:val="num" w:pos="4320"/>
        </w:tabs>
        <w:ind w:left="4320" w:hanging="360"/>
      </w:pPr>
      <w:rPr>
        <w:rFonts w:ascii="Arial" w:hAnsi="Arial" w:cs="Times New Roman" w:hint="default"/>
      </w:rPr>
    </w:lvl>
    <w:lvl w:ilvl="6" w:tplc="C7A469A6">
      <w:start w:val="1"/>
      <w:numFmt w:val="bullet"/>
      <w:lvlText w:val="•"/>
      <w:lvlJc w:val="left"/>
      <w:pPr>
        <w:tabs>
          <w:tab w:val="num" w:pos="5040"/>
        </w:tabs>
        <w:ind w:left="5040" w:hanging="360"/>
      </w:pPr>
      <w:rPr>
        <w:rFonts w:ascii="Arial" w:hAnsi="Arial" w:cs="Times New Roman" w:hint="default"/>
      </w:rPr>
    </w:lvl>
    <w:lvl w:ilvl="7" w:tplc="5E08F17E">
      <w:start w:val="1"/>
      <w:numFmt w:val="bullet"/>
      <w:lvlText w:val="•"/>
      <w:lvlJc w:val="left"/>
      <w:pPr>
        <w:tabs>
          <w:tab w:val="num" w:pos="5760"/>
        </w:tabs>
        <w:ind w:left="5760" w:hanging="360"/>
      </w:pPr>
      <w:rPr>
        <w:rFonts w:ascii="Arial" w:hAnsi="Arial" w:cs="Times New Roman" w:hint="default"/>
      </w:rPr>
    </w:lvl>
    <w:lvl w:ilvl="8" w:tplc="078A9EE6">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E440AC"/>
    <w:multiLevelType w:val="hybridMultilevel"/>
    <w:tmpl w:val="903E1356"/>
    <w:lvl w:ilvl="0" w:tplc="99E45C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36FD6"/>
    <w:multiLevelType w:val="hybridMultilevel"/>
    <w:tmpl w:val="731C7860"/>
    <w:lvl w:ilvl="0" w:tplc="0B9CA2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EB0390"/>
    <w:multiLevelType w:val="hybridMultilevel"/>
    <w:tmpl w:val="BF524E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cs="Times New Roman" w:hint="default"/>
      </w:rPr>
    </w:lvl>
    <w:lvl w:ilvl="1" w:tplc="1132FB80">
      <w:start w:val="1"/>
      <w:numFmt w:val="bullet"/>
      <w:lvlText w:val="•"/>
      <w:lvlJc w:val="left"/>
      <w:pPr>
        <w:tabs>
          <w:tab w:val="num" w:pos="1440"/>
        </w:tabs>
        <w:ind w:left="1440" w:hanging="360"/>
      </w:pPr>
      <w:rPr>
        <w:rFonts w:ascii="Arial" w:hAnsi="Arial" w:cs="Times New Roman" w:hint="default"/>
      </w:rPr>
    </w:lvl>
    <w:lvl w:ilvl="2" w:tplc="214CA2D6">
      <w:start w:val="1"/>
      <w:numFmt w:val="bullet"/>
      <w:lvlText w:val="•"/>
      <w:lvlJc w:val="left"/>
      <w:pPr>
        <w:tabs>
          <w:tab w:val="num" w:pos="2160"/>
        </w:tabs>
        <w:ind w:left="2160" w:hanging="360"/>
      </w:pPr>
      <w:rPr>
        <w:rFonts w:ascii="Arial" w:hAnsi="Arial" w:cs="Times New Roman" w:hint="default"/>
      </w:rPr>
    </w:lvl>
    <w:lvl w:ilvl="3" w:tplc="5890067A">
      <w:start w:val="1"/>
      <w:numFmt w:val="bullet"/>
      <w:lvlText w:val="•"/>
      <w:lvlJc w:val="left"/>
      <w:pPr>
        <w:tabs>
          <w:tab w:val="num" w:pos="2880"/>
        </w:tabs>
        <w:ind w:left="2880" w:hanging="360"/>
      </w:pPr>
      <w:rPr>
        <w:rFonts w:ascii="Arial" w:hAnsi="Arial" w:cs="Times New Roman" w:hint="default"/>
      </w:rPr>
    </w:lvl>
    <w:lvl w:ilvl="4" w:tplc="B2FAD136">
      <w:start w:val="1"/>
      <w:numFmt w:val="bullet"/>
      <w:lvlText w:val="•"/>
      <w:lvlJc w:val="left"/>
      <w:pPr>
        <w:tabs>
          <w:tab w:val="num" w:pos="3600"/>
        </w:tabs>
        <w:ind w:left="3600" w:hanging="360"/>
      </w:pPr>
      <w:rPr>
        <w:rFonts w:ascii="Arial" w:hAnsi="Arial" w:cs="Times New Roman" w:hint="default"/>
      </w:rPr>
    </w:lvl>
    <w:lvl w:ilvl="5" w:tplc="A456FF96">
      <w:start w:val="1"/>
      <w:numFmt w:val="bullet"/>
      <w:lvlText w:val="•"/>
      <w:lvlJc w:val="left"/>
      <w:pPr>
        <w:tabs>
          <w:tab w:val="num" w:pos="4320"/>
        </w:tabs>
        <w:ind w:left="4320" w:hanging="360"/>
      </w:pPr>
      <w:rPr>
        <w:rFonts w:ascii="Arial" w:hAnsi="Arial" w:cs="Times New Roman" w:hint="default"/>
      </w:rPr>
    </w:lvl>
    <w:lvl w:ilvl="6" w:tplc="A2C4B4A8">
      <w:start w:val="1"/>
      <w:numFmt w:val="bullet"/>
      <w:lvlText w:val="•"/>
      <w:lvlJc w:val="left"/>
      <w:pPr>
        <w:tabs>
          <w:tab w:val="num" w:pos="5040"/>
        </w:tabs>
        <w:ind w:left="5040" w:hanging="360"/>
      </w:pPr>
      <w:rPr>
        <w:rFonts w:ascii="Arial" w:hAnsi="Arial" w:cs="Times New Roman" w:hint="default"/>
      </w:rPr>
    </w:lvl>
    <w:lvl w:ilvl="7" w:tplc="3F4EEFB8">
      <w:start w:val="1"/>
      <w:numFmt w:val="bullet"/>
      <w:lvlText w:val="•"/>
      <w:lvlJc w:val="left"/>
      <w:pPr>
        <w:tabs>
          <w:tab w:val="num" w:pos="5760"/>
        </w:tabs>
        <w:ind w:left="5760" w:hanging="360"/>
      </w:pPr>
      <w:rPr>
        <w:rFonts w:ascii="Arial" w:hAnsi="Arial" w:cs="Times New Roman" w:hint="default"/>
      </w:rPr>
    </w:lvl>
    <w:lvl w:ilvl="8" w:tplc="04CA32C8">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657817"/>
    <w:multiLevelType w:val="hybridMultilevel"/>
    <w:tmpl w:val="A77E3D24"/>
    <w:lvl w:ilvl="0" w:tplc="07B61BB4">
      <w:start w:val="1"/>
      <w:numFmt w:val="bullet"/>
      <w:lvlText w:val="•"/>
      <w:lvlJc w:val="left"/>
      <w:pPr>
        <w:tabs>
          <w:tab w:val="num" w:pos="720"/>
        </w:tabs>
        <w:ind w:left="720" w:hanging="360"/>
      </w:pPr>
      <w:rPr>
        <w:rFonts w:ascii="Arial" w:hAnsi="Arial" w:hint="default"/>
      </w:rPr>
    </w:lvl>
    <w:lvl w:ilvl="1" w:tplc="137A7ED0">
      <w:start w:val="35"/>
      <w:numFmt w:val="bullet"/>
      <w:lvlText w:val="–"/>
      <w:lvlJc w:val="left"/>
      <w:pPr>
        <w:tabs>
          <w:tab w:val="num" w:pos="1440"/>
        </w:tabs>
        <w:ind w:left="1440" w:hanging="360"/>
      </w:pPr>
      <w:rPr>
        <w:rFonts w:ascii="Arial" w:hAnsi="Arial" w:hint="default"/>
      </w:rPr>
    </w:lvl>
    <w:lvl w:ilvl="2" w:tplc="928A4C1E">
      <w:start w:val="35"/>
      <w:numFmt w:val="bullet"/>
      <w:lvlText w:val="•"/>
      <w:lvlJc w:val="left"/>
      <w:pPr>
        <w:tabs>
          <w:tab w:val="num" w:pos="2160"/>
        </w:tabs>
        <w:ind w:left="2160" w:hanging="360"/>
      </w:pPr>
      <w:rPr>
        <w:rFonts w:ascii="Arial" w:hAnsi="Arial" w:hint="default"/>
      </w:rPr>
    </w:lvl>
    <w:lvl w:ilvl="3" w:tplc="9E7A246C">
      <w:start w:val="35"/>
      <w:numFmt w:val="bullet"/>
      <w:lvlText w:val="–"/>
      <w:lvlJc w:val="left"/>
      <w:pPr>
        <w:tabs>
          <w:tab w:val="num" w:pos="2880"/>
        </w:tabs>
        <w:ind w:left="2880" w:hanging="360"/>
      </w:pPr>
      <w:rPr>
        <w:rFonts w:ascii="Arial" w:hAnsi="Arial" w:hint="default"/>
      </w:rPr>
    </w:lvl>
    <w:lvl w:ilvl="4" w:tplc="9462DB9E" w:tentative="1">
      <w:start w:val="1"/>
      <w:numFmt w:val="bullet"/>
      <w:lvlText w:val="•"/>
      <w:lvlJc w:val="left"/>
      <w:pPr>
        <w:tabs>
          <w:tab w:val="num" w:pos="3600"/>
        </w:tabs>
        <w:ind w:left="3600" w:hanging="360"/>
      </w:pPr>
      <w:rPr>
        <w:rFonts w:ascii="Arial" w:hAnsi="Arial" w:hint="default"/>
      </w:rPr>
    </w:lvl>
    <w:lvl w:ilvl="5" w:tplc="F6629156" w:tentative="1">
      <w:start w:val="1"/>
      <w:numFmt w:val="bullet"/>
      <w:lvlText w:val="•"/>
      <w:lvlJc w:val="left"/>
      <w:pPr>
        <w:tabs>
          <w:tab w:val="num" w:pos="4320"/>
        </w:tabs>
        <w:ind w:left="4320" w:hanging="360"/>
      </w:pPr>
      <w:rPr>
        <w:rFonts w:ascii="Arial" w:hAnsi="Arial" w:hint="default"/>
      </w:rPr>
    </w:lvl>
    <w:lvl w:ilvl="6" w:tplc="FD26509E" w:tentative="1">
      <w:start w:val="1"/>
      <w:numFmt w:val="bullet"/>
      <w:lvlText w:val="•"/>
      <w:lvlJc w:val="left"/>
      <w:pPr>
        <w:tabs>
          <w:tab w:val="num" w:pos="5040"/>
        </w:tabs>
        <w:ind w:left="5040" w:hanging="360"/>
      </w:pPr>
      <w:rPr>
        <w:rFonts w:ascii="Arial" w:hAnsi="Arial" w:hint="default"/>
      </w:rPr>
    </w:lvl>
    <w:lvl w:ilvl="7" w:tplc="3738D826" w:tentative="1">
      <w:start w:val="1"/>
      <w:numFmt w:val="bullet"/>
      <w:lvlText w:val="•"/>
      <w:lvlJc w:val="left"/>
      <w:pPr>
        <w:tabs>
          <w:tab w:val="num" w:pos="5760"/>
        </w:tabs>
        <w:ind w:left="5760" w:hanging="360"/>
      </w:pPr>
      <w:rPr>
        <w:rFonts w:ascii="Arial" w:hAnsi="Arial" w:hint="default"/>
      </w:rPr>
    </w:lvl>
    <w:lvl w:ilvl="8" w:tplc="E128540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0"/>
  </w:num>
  <w:num w:numId="3">
    <w:abstractNumId w:val="2"/>
  </w:num>
  <w:num w:numId="4">
    <w:abstractNumId w:val="21"/>
  </w:num>
  <w:num w:numId="5">
    <w:abstractNumId w:val="3"/>
  </w:num>
  <w:num w:numId="6">
    <w:abstractNumId w:val="12"/>
  </w:num>
  <w:num w:numId="7">
    <w:abstractNumId w:val="14"/>
  </w:num>
  <w:num w:numId="8">
    <w:abstractNumId w:val="1"/>
  </w:num>
  <w:num w:numId="9">
    <w:abstractNumId w:val="5"/>
  </w:num>
  <w:num w:numId="10">
    <w:abstractNumId w:val="4"/>
  </w:num>
  <w:num w:numId="11">
    <w:abstractNumId w:val="36"/>
  </w:num>
  <w:num w:numId="12">
    <w:abstractNumId w:val="27"/>
  </w:num>
  <w:num w:numId="13">
    <w:abstractNumId w:val="15"/>
  </w:num>
  <w:num w:numId="14">
    <w:abstractNumId w:val="9"/>
  </w:num>
  <w:num w:numId="15">
    <w:abstractNumId w:val="8"/>
  </w:num>
  <w:num w:numId="16">
    <w:abstractNumId w:val="11"/>
  </w:num>
  <w:num w:numId="17">
    <w:abstractNumId w:val="22"/>
  </w:num>
  <w:num w:numId="18">
    <w:abstractNumId w:val="32"/>
  </w:num>
  <w:num w:numId="19">
    <w:abstractNumId w:val="19"/>
  </w:num>
  <w:num w:numId="20">
    <w:abstractNumId w:val="7"/>
  </w:num>
  <w:num w:numId="21">
    <w:abstractNumId w:val="10"/>
  </w:num>
  <w:num w:numId="22">
    <w:abstractNumId w:val="31"/>
  </w:num>
  <w:num w:numId="23">
    <w:abstractNumId w:val="30"/>
  </w:num>
  <w:num w:numId="24">
    <w:abstractNumId w:val="25"/>
  </w:num>
  <w:num w:numId="25">
    <w:abstractNumId w:val="28"/>
  </w:num>
  <w:num w:numId="26">
    <w:abstractNumId w:val="37"/>
  </w:num>
  <w:num w:numId="27">
    <w:abstractNumId w:val="33"/>
  </w:num>
  <w:num w:numId="28">
    <w:abstractNumId w:val="23"/>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20"/>
  </w:num>
  <w:num w:numId="32">
    <w:abstractNumId w:val="17"/>
  </w:num>
  <w:num w:numId="33">
    <w:abstractNumId w:val="13"/>
  </w:num>
  <w:num w:numId="34">
    <w:abstractNumId w:val="2"/>
  </w:num>
  <w:num w:numId="35">
    <w:abstractNumId w:val="38"/>
  </w:num>
  <w:num w:numId="36">
    <w:abstractNumId w:val="24"/>
  </w:num>
  <w:num w:numId="37">
    <w:abstractNumId w:val="35"/>
  </w:num>
  <w:num w:numId="38">
    <w:abstractNumId w:val="26"/>
  </w:num>
  <w:num w:numId="39">
    <w:abstractNumId w:val="18"/>
  </w:num>
  <w:num w:numId="40">
    <w:abstractNumId w:val="29"/>
  </w:num>
  <w:num w:numId="41">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E2"/>
    <w:rsid w:val="00070192"/>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96"/>
    <w:rsid w:val="001D7FE2"/>
    <w:rsid w:val="001E09F4"/>
    <w:rsid w:val="001E0A73"/>
    <w:rsid w:val="001E0F8B"/>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BF"/>
    <w:rsid w:val="00216C53"/>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504"/>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D8"/>
    <w:rsid w:val="00532B16"/>
    <w:rsid w:val="00532C9D"/>
    <w:rsid w:val="00533215"/>
    <w:rsid w:val="005334E4"/>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096"/>
    <w:rsid w:val="005E35FD"/>
    <w:rsid w:val="005E383F"/>
    <w:rsid w:val="005E3B77"/>
    <w:rsid w:val="005E3BEE"/>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B4"/>
    <w:rsid w:val="007A0BDA"/>
    <w:rsid w:val="007A0CDD"/>
    <w:rsid w:val="007A0D0D"/>
    <w:rsid w:val="007A0DAC"/>
    <w:rsid w:val="007A1189"/>
    <w:rsid w:val="007A15BA"/>
    <w:rsid w:val="007A16E9"/>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BE8"/>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4685"/>
    <w:rsid w:val="00A34DA0"/>
    <w:rsid w:val="00A35A0B"/>
    <w:rsid w:val="00A35BD0"/>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0C9C"/>
    <w:rsid w:val="00A71209"/>
    <w:rsid w:val="00A7141F"/>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C09"/>
    <w:rsid w:val="00AA4F41"/>
    <w:rsid w:val="00AA5584"/>
    <w:rsid w:val="00AA576F"/>
    <w:rsid w:val="00AA6026"/>
    <w:rsid w:val="00AA6206"/>
    <w:rsid w:val="00AA6207"/>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2B"/>
    <w:rsid w:val="00B049C5"/>
    <w:rsid w:val="00B04AD7"/>
    <w:rsid w:val="00B04D36"/>
    <w:rsid w:val="00B04E0E"/>
    <w:rsid w:val="00B04F11"/>
    <w:rsid w:val="00B0504B"/>
    <w:rsid w:val="00B0540A"/>
    <w:rsid w:val="00B05688"/>
    <w:rsid w:val="00B0588E"/>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E7EBC"/>
    <w:rsid w:val="00BF02E6"/>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AE6"/>
    <w:rsid w:val="00BF3C10"/>
    <w:rsid w:val="00BF46F1"/>
    <w:rsid w:val="00BF4923"/>
    <w:rsid w:val="00BF4B69"/>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CD3"/>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A6D"/>
    <w:rsid w:val="00F42C2B"/>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_dlc_DocId>
    <_dlc_DocIdUrl xmlns="c06861ca-3f08-4d07-bff7-bb15bac121f4">
      <Url>https://projects.qualcomm.com/sites/pentari/_layouts/15/DocIdRedir.aspx?ID=HR33RHYHUWRF-4-611</Url>
      <Description>HR33RHYHUWRF-4-611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3E8B9957-84AD-4504-B52C-EBECA8338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4</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12</cp:revision>
  <cp:lastPrinted>2014-11-07T05:38:00Z</cp:lastPrinted>
  <dcterms:created xsi:type="dcterms:W3CDTF">2016-11-04T19:34:00Z</dcterms:created>
  <dcterms:modified xsi:type="dcterms:W3CDTF">2017-02-07T06:54:00Z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24a4d24e-7334-4e6c-bbe4-4a68af5c70ef</vt:lpwstr>
  </property>
  <property fmtid="{D5CDD505-2E9C-101B-9397-08002B2CF9AE}" pid="9" name="ContentTypeId">
    <vt:lpwstr>0x010100BC29BFD66497B943AA3B102F0C7B1355</vt:lpwstr>
  </property>
  <property fmtid="{D5CDD505-2E9C-101B-9397-08002B2CF9AE}" pid="10" name="_ReviewingToolsShownOnce">
    <vt:lpwstr/>
  </property>
</Properties>
</file>