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5C097" w14:textId="79DCACD2" w:rsidR="001251C0" w:rsidRPr="000A64D8" w:rsidRDefault="001251C0" w:rsidP="001251C0">
      <w:pPr>
        <w:tabs>
          <w:tab w:val="right" w:pos="10000"/>
        </w:tabs>
        <w:spacing w:after="0"/>
        <w:rPr>
          <w:rFonts w:ascii="Arial" w:hAnsi="Arial" w:cs="Arial"/>
          <w:b/>
          <w:sz w:val="24"/>
          <w:szCs w:val="24"/>
        </w:rPr>
      </w:pPr>
      <w:r w:rsidRPr="000A64D8">
        <w:rPr>
          <w:rFonts w:ascii="Arial" w:hAnsi="Arial" w:cs="Arial"/>
          <w:b/>
          <w:sz w:val="24"/>
          <w:szCs w:val="24"/>
        </w:rPr>
        <w:t>3GPP TSG-RAN WG1</w:t>
      </w:r>
      <w:r>
        <w:rPr>
          <w:rFonts w:ascii="Arial" w:hAnsi="Arial" w:cs="Arial"/>
          <w:b/>
          <w:sz w:val="24"/>
          <w:szCs w:val="24"/>
        </w:rPr>
        <w:t>#88</w:t>
      </w:r>
      <w:r w:rsidRPr="000A64D8">
        <w:rPr>
          <w:rFonts w:ascii="Arial" w:hAnsi="Arial" w:cs="Arial"/>
          <w:b/>
          <w:sz w:val="24"/>
          <w:szCs w:val="24"/>
        </w:rPr>
        <w:t xml:space="preserve"> </w:t>
      </w:r>
      <w:r w:rsidRPr="000A64D8">
        <w:rPr>
          <w:rFonts w:ascii="Arial" w:hAnsi="Arial" w:cs="Arial"/>
          <w:b/>
          <w:sz w:val="24"/>
          <w:szCs w:val="24"/>
        </w:rPr>
        <w:tab/>
      </w:r>
      <w:r w:rsidRPr="00961A61">
        <w:rPr>
          <w:rFonts w:ascii="Arial" w:hAnsi="Arial" w:cs="Arial"/>
          <w:b/>
          <w:sz w:val="24"/>
          <w:szCs w:val="24"/>
        </w:rPr>
        <w:t>R1-1</w:t>
      </w:r>
      <w:r>
        <w:rPr>
          <w:rFonts w:ascii="Arial" w:hAnsi="Arial" w:cs="Arial"/>
          <w:b/>
          <w:sz w:val="24"/>
          <w:szCs w:val="24"/>
        </w:rPr>
        <w:t>702625</w:t>
      </w:r>
    </w:p>
    <w:p w14:paraId="0BDA55BF" w14:textId="1364F55D" w:rsidR="001251C0" w:rsidRDefault="001251C0" w:rsidP="001251C0">
      <w:pPr>
        <w:pStyle w:val="Footer"/>
        <w:jc w:val="both"/>
        <w:rPr>
          <w:i w:val="0"/>
          <w:sz w:val="24"/>
          <w:szCs w:val="24"/>
          <w:lang w:val="en-GB" w:eastAsia="ja-JP"/>
        </w:rPr>
      </w:pPr>
      <w:r>
        <w:rPr>
          <w:i w:val="0"/>
          <w:iCs/>
          <w:sz w:val="24"/>
          <w:szCs w:val="24"/>
          <w:lang w:val="en-GB" w:eastAsia="ja-JP"/>
        </w:rPr>
        <w:t>February 13</w:t>
      </w:r>
      <w:r>
        <w:rPr>
          <w:i w:val="0"/>
          <w:iCs/>
          <w:sz w:val="24"/>
          <w:szCs w:val="24"/>
          <w:vertAlign w:val="superscript"/>
          <w:lang w:val="en-GB" w:eastAsia="ja-JP"/>
        </w:rPr>
        <w:t>th</w:t>
      </w:r>
      <w:r w:rsidR="00326A57">
        <w:rPr>
          <w:i w:val="0"/>
          <w:iCs/>
          <w:sz w:val="24"/>
          <w:szCs w:val="24"/>
          <w:lang w:val="en-GB" w:eastAsia="ja-JP"/>
        </w:rPr>
        <w:t xml:space="preserve"> - 17</w:t>
      </w:r>
      <w:r>
        <w:rPr>
          <w:i w:val="0"/>
          <w:iCs/>
          <w:sz w:val="24"/>
          <w:szCs w:val="24"/>
          <w:vertAlign w:val="superscript"/>
          <w:lang w:val="en-GB" w:eastAsia="ja-JP"/>
        </w:rPr>
        <w:t>th</w:t>
      </w:r>
      <w:r>
        <w:rPr>
          <w:i w:val="0"/>
          <w:iCs/>
          <w:sz w:val="24"/>
          <w:szCs w:val="24"/>
          <w:lang w:val="en-GB" w:eastAsia="ja-JP"/>
        </w:rPr>
        <w:t>, 2017</w:t>
      </w:r>
    </w:p>
    <w:p w14:paraId="521841A6" w14:textId="77777777" w:rsidR="001251C0" w:rsidRDefault="001251C0" w:rsidP="001251C0">
      <w:pPr>
        <w:pStyle w:val="Footer"/>
        <w:jc w:val="both"/>
        <w:rPr>
          <w:i w:val="0"/>
          <w:iCs/>
          <w:sz w:val="24"/>
          <w:szCs w:val="24"/>
          <w:lang w:val="en-GB" w:eastAsia="ja-JP"/>
        </w:rPr>
      </w:pPr>
      <w:r>
        <w:rPr>
          <w:i w:val="0"/>
          <w:iCs/>
          <w:sz w:val="24"/>
          <w:szCs w:val="24"/>
          <w:lang w:val="en-GB" w:eastAsia="zh-CN"/>
        </w:rPr>
        <w:t>Athens, Greece</w:t>
      </w:r>
    </w:p>
    <w:p w14:paraId="079B5F2A" w14:textId="77777777" w:rsidR="001251C0" w:rsidRPr="000423F3" w:rsidRDefault="001251C0" w:rsidP="001251C0">
      <w:pPr>
        <w:pStyle w:val="Footer"/>
        <w:jc w:val="both"/>
        <w:rPr>
          <w:noProof w:val="0"/>
          <w:lang w:val="en-GB"/>
        </w:rPr>
      </w:pPr>
    </w:p>
    <w:p w14:paraId="6E9E8A46" w14:textId="0161D702" w:rsidR="001251C0" w:rsidRPr="000A64D8" w:rsidRDefault="001251C0" w:rsidP="001251C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Pr>
          <w:rFonts w:ascii="Arial" w:hAnsi="Arial"/>
          <w:sz w:val="24"/>
        </w:rPr>
        <w:t>8.1.3.1.1</w:t>
      </w:r>
    </w:p>
    <w:p w14:paraId="532B8C3A" w14:textId="77777777" w:rsidR="001251C0" w:rsidRPr="000A64D8" w:rsidRDefault="001251C0" w:rsidP="001251C0">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8AF5D05" w14:textId="384854BF" w:rsidR="001251C0" w:rsidRPr="0007796D" w:rsidRDefault="001251C0" w:rsidP="001251C0">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4"/>
          <w:szCs w:val="24"/>
        </w:rPr>
        <w:t>PDCCH RS and transmission scheme</w:t>
      </w:r>
    </w:p>
    <w:p w14:paraId="0A905B64" w14:textId="77777777" w:rsidR="001251C0" w:rsidRDefault="001251C0" w:rsidP="001251C0">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5F0EC53F" w14:textId="77777777" w:rsidR="001251C0" w:rsidRPr="00183CB7" w:rsidRDefault="001251C0" w:rsidP="001251C0">
      <w:pPr>
        <w:pStyle w:val="Heading1"/>
      </w:pPr>
      <w:r w:rsidRPr="00183CB7">
        <w:t>Introduction</w:t>
      </w:r>
    </w:p>
    <w:p w14:paraId="54B1EB63" w14:textId="52DAD8B2" w:rsidR="001251C0" w:rsidRDefault="00903AFF" w:rsidP="001251C0">
      <w:pPr>
        <w:jc w:val="both"/>
        <w:rPr>
          <w:szCs w:val="22"/>
        </w:rPr>
      </w:pPr>
      <w:r>
        <w:rPr>
          <w:szCs w:val="22"/>
        </w:rPr>
        <w:t xml:space="preserve">During RAN1 NR </w:t>
      </w:r>
      <w:proofErr w:type="spellStart"/>
      <w:r>
        <w:rPr>
          <w:szCs w:val="22"/>
        </w:rPr>
        <w:t>AdHoc</w:t>
      </w:r>
      <w:proofErr w:type="spellEnd"/>
      <w:r>
        <w:rPr>
          <w:szCs w:val="22"/>
        </w:rPr>
        <w:t xml:space="preserve">, the following agreements were made related to </w:t>
      </w:r>
      <w:r w:rsidR="00BE5E94">
        <w:rPr>
          <w:szCs w:val="22"/>
        </w:rPr>
        <w:t>NR DL control channel</w:t>
      </w:r>
      <w:r w:rsidR="009848E4">
        <w:rPr>
          <w:szCs w:val="22"/>
        </w:rPr>
        <w:t xml:space="preserve"> </w:t>
      </w:r>
      <w:proofErr w:type="gramStart"/>
      <w:r w:rsidR="009848E4">
        <w:rPr>
          <w:szCs w:val="22"/>
        </w:rPr>
        <w:t>Tx</w:t>
      </w:r>
      <w:proofErr w:type="gramEnd"/>
      <w:r w:rsidR="009848E4">
        <w:rPr>
          <w:szCs w:val="22"/>
        </w:rPr>
        <w:t xml:space="preserve"> diversity and RS design</w:t>
      </w:r>
      <w:r>
        <w:rPr>
          <w:szCs w:val="22"/>
        </w:rPr>
        <w:t>:</w:t>
      </w:r>
    </w:p>
    <w:p w14:paraId="2025EE08" w14:textId="77777777" w:rsidR="00903AFF" w:rsidRPr="00F24B1D" w:rsidRDefault="00903AFF" w:rsidP="00903AFF">
      <w:pPr>
        <w:rPr>
          <w:rFonts w:eastAsia="MS Mincho"/>
          <w:b/>
          <w:u w:val="single"/>
          <w:lang w:eastAsia="ja-JP"/>
        </w:rPr>
      </w:pPr>
      <w:r w:rsidRPr="00337F00">
        <w:rPr>
          <w:rFonts w:eastAsia="MS Mincho" w:hint="eastAsia"/>
          <w:b/>
          <w:highlight w:val="green"/>
          <w:u w:val="single"/>
          <w:lang w:eastAsia="ja-JP"/>
        </w:rPr>
        <w:t>Agreements:</w:t>
      </w:r>
    </w:p>
    <w:p w14:paraId="6A295B8E" w14:textId="77777777" w:rsidR="00903AFF" w:rsidRPr="000516F1" w:rsidRDefault="00903AFF" w:rsidP="00903AFF">
      <w:pPr>
        <w:numPr>
          <w:ilvl w:val="0"/>
          <w:numId w:val="37"/>
        </w:numPr>
        <w:overflowPunct/>
        <w:autoSpaceDE/>
        <w:autoSpaceDN/>
        <w:adjustRightInd/>
        <w:spacing w:after="0"/>
        <w:textAlignment w:val="auto"/>
      </w:pPr>
      <w:r w:rsidRPr="000516F1">
        <w:t>NR supports at least following functionalities</w:t>
      </w:r>
    </w:p>
    <w:p w14:paraId="4FAA4EB2" w14:textId="77777777" w:rsidR="00903AFF" w:rsidRPr="00F24B1D" w:rsidRDefault="00903AFF" w:rsidP="00903AFF">
      <w:pPr>
        <w:numPr>
          <w:ilvl w:val="1"/>
          <w:numId w:val="37"/>
        </w:numPr>
        <w:overflowPunct/>
        <w:autoSpaceDE/>
        <w:autoSpaceDN/>
        <w:adjustRightInd/>
        <w:spacing w:after="0"/>
        <w:jc w:val="both"/>
        <w:textAlignment w:val="auto"/>
        <w:rPr>
          <w:b/>
        </w:rPr>
      </w:pPr>
      <w:r w:rsidRPr="00BA7C2D">
        <w:rPr>
          <w:rFonts w:eastAsia="MS Mincho" w:hint="eastAsia"/>
          <w:lang w:eastAsia="ja-JP"/>
        </w:rPr>
        <w:t xml:space="preserve">At least for </w:t>
      </w:r>
      <w:proofErr w:type="spellStart"/>
      <w:r w:rsidRPr="00BA7C2D">
        <w:rPr>
          <w:rFonts w:eastAsia="MS Mincho" w:hint="eastAsia"/>
          <w:lang w:eastAsia="ja-JP"/>
        </w:rPr>
        <w:t>eMBB</w:t>
      </w:r>
      <w:proofErr w:type="spellEnd"/>
      <w:r w:rsidRPr="00BA7C2D">
        <w:rPr>
          <w:rFonts w:eastAsia="MS Mincho" w:hint="eastAsia"/>
          <w:lang w:eastAsia="ja-JP"/>
        </w:rPr>
        <w:t>, i</w:t>
      </w:r>
      <w:r w:rsidRPr="00F24B1D">
        <w:t>n one OFDM symbol, multiple CCEs cannot be tran</w:t>
      </w:r>
      <w:bookmarkStart w:id="2" w:name="_GoBack"/>
      <w:bookmarkEnd w:id="2"/>
      <w:r w:rsidRPr="00F24B1D">
        <w:t>smitted on the same PRB except for spatial multiplexing to different UEs (MU-MIMO)</w:t>
      </w:r>
    </w:p>
    <w:p w14:paraId="5399E305" w14:textId="77777777" w:rsidR="00903AFF" w:rsidRPr="00F24B1D" w:rsidRDefault="00903AFF" w:rsidP="00903AFF">
      <w:pPr>
        <w:numPr>
          <w:ilvl w:val="1"/>
          <w:numId w:val="37"/>
        </w:numPr>
        <w:overflowPunct/>
        <w:autoSpaceDE/>
        <w:autoSpaceDN/>
        <w:adjustRightInd/>
        <w:spacing w:after="0"/>
        <w:jc w:val="both"/>
        <w:textAlignment w:val="auto"/>
        <w:rPr>
          <w:b/>
        </w:rPr>
      </w:pPr>
      <w:r w:rsidRPr="00F24B1D">
        <w:t>A PDCCH candidate consists of a set of CCEs. A CCE consists of a set of REGs. A REG is one RB during one OFDM sy</w:t>
      </w:r>
      <w:r>
        <w:t>mbol</w:t>
      </w:r>
      <w:r w:rsidRPr="00F24B1D">
        <w:t>.</w:t>
      </w:r>
    </w:p>
    <w:p w14:paraId="51A72748" w14:textId="77777777" w:rsidR="00903AFF" w:rsidRPr="00F24B1D" w:rsidRDefault="00903AFF" w:rsidP="00903AFF">
      <w:pPr>
        <w:pStyle w:val="BodyText"/>
        <w:numPr>
          <w:ilvl w:val="1"/>
          <w:numId w:val="37"/>
        </w:numPr>
        <w:overflowPunct/>
        <w:autoSpaceDE/>
        <w:autoSpaceDN/>
        <w:adjustRightInd/>
        <w:spacing w:after="0"/>
        <w:textAlignment w:val="auto"/>
        <w:rPr>
          <w:szCs w:val="20"/>
        </w:rPr>
      </w:pPr>
      <w:r w:rsidRPr="00F24B1D">
        <w:rPr>
          <w:szCs w:val="20"/>
        </w:rPr>
        <w:t>For one UE, the channel estimate obtained for one R</w:t>
      </w:r>
      <w:r w:rsidRPr="00F24B1D">
        <w:rPr>
          <w:rFonts w:eastAsia="MS Mincho" w:hint="eastAsia"/>
          <w:szCs w:val="20"/>
          <w:lang w:eastAsia="ja-JP"/>
        </w:rPr>
        <w:t>E</w:t>
      </w:r>
      <w:r w:rsidRPr="00F24B1D">
        <w:rPr>
          <w:szCs w:val="20"/>
        </w:rPr>
        <w:t xml:space="preserve"> </w:t>
      </w:r>
      <w:r w:rsidRPr="00F24B1D">
        <w:rPr>
          <w:rFonts w:eastAsia="MS Mincho"/>
          <w:szCs w:val="20"/>
          <w:lang w:eastAsia="ja-JP"/>
        </w:rPr>
        <w:t>should be</w:t>
      </w:r>
      <w:r w:rsidRPr="00F24B1D">
        <w:rPr>
          <w:szCs w:val="20"/>
        </w:rPr>
        <w:t xml:space="preserve"> reusable across multiple blind </w:t>
      </w:r>
      <w:proofErr w:type="spellStart"/>
      <w:r w:rsidRPr="00F24B1D">
        <w:rPr>
          <w:szCs w:val="20"/>
        </w:rPr>
        <w:t>decodings</w:t>
      </w:r>
      <w:proofErr w:type="spellEnd"/>
      <w:r w:rsidRPr="00F24B1D">
        <w:rPr>
          <w:szCs w:val="20"/>
        </w:rPr>
        <w:t xml:space="preserve"> involving that R</w:t>
      </w:r>
      <w:r w:rsidRPr="00F24B1D">
        <w:rPr>
          <w:rFonts w:eastAsia="MS Mincho" w:hint="eastAsia"/>
          <w:szCs w:val="20"/>
          <w:lang w:eastAsia="ja-JP"/>
        </w:rPr>
        <w:t>E</w:t>
      </w:r>
      <w:r w:rsidRPr="00F24B1D">
        <w:rPr>
          <w:rFonts w:eastAsia="MS Mincho"/>
          <w:szCs w:val="20"/>
          <w:lang w:eastAsia="ja-JP"/>
        </w:rPr>
        <w:t xml:space="preserve"> in at least the same control resource set and type of search space (common or UE-specific).</w:t>
      </w:r>
    </w:p>
    <w:p w14:paraId="149AE7A6" w14:textId="77777777" w:rsidR="00903AFF" w:rsidRPr="00F24B1D" w:rsidRDefault="00903AFF" w:rsidP="00903AFF">
      <w:pPr>
        <w:numPr>
          <w:ilvl w:val="1"/>
          <w:numId w:val="37"/>
        </w:numPr>
        <w:overflowPunct/>
        <w:autoSpaceDE/>
        <w:autoSpaceDN/>
        <w:adjustRightInd/>
        <w:spacing w:after="0"/>
        <w:jc w:val="both"/>
        <w:textAlignment w:val="auto"/>
        <w:rPr>
          <w:b/>
        </w:rPr>
      </w:pPr>
      <w:r w:rsidRPr="00BA7C2D">
        <w:rPr>
          <w:rFonts w:eastAsia="MS Mincho" w:hint="eastAsia"/>
          <w:lang w:eastAsia="ja-JP"/>
        </w:rPr>
        <w:t>At least for DL data scheduled for a slot, t</w:t>
      </w:r>
      <w:r w:rsidRPr="00F24B1D">
        <w:t xml:space="preserve">he DL </w:t>
      </w:r>
      <w:r w:rsidRPr="00F24B1D">
        <w:rPr>
          <w:rFonts w:eastAsia="MS Mincho"/>
          <w:lang w:eastAsia="ja-JP"/>
        </w:rPr>
        <w:t xml:space="preserve">data </w:t>
      </w:r>
      <w:r>
        <w:t>DM</w:t>
      </w:r>
      <w:r w:rsidRPr="00F24B1D">
        <w:t xml:space="preserve">RS location in time </w:t>
      </w:r>
      <w:r w:rsidRPr="00F24B1D">
        <w:rPr>
          <w:rFonts w:eastAsia="MS Mincho"/>
          <w:lang w:eastAsia="ja-JP"/>
        </w:rPr>
        <w:t>is not dynamically varying relative to the start of slot</w:t>
      </w:r>
    </w:p>
    <w:p w14:paraId="6474D358" w14:textId="77777777" w:rsidR="00903AFF" w:rsidRPr="00417921" w:rsidRDefault="00903AFF" w:rsidP="00903AFF">
      <w:pPr>
        <w:rPr>
          <w:rFonts w:eastAsia="MS Mincho"/>
          <w:b/>
          <w:u w:val="single"/>
          <w:lang w:eastAsia="ja-JP"/>
        </w:rPr>
      </w:pPr>
      <w:r w:rsidRPr="00FC60D5">
        <w:rPr>
          <w:rFonts w:eastAsia="MS Mincho" w:hint="eastAsia"/>
          <w:b/>
          <w:highlight w:val="green"/>
          <w:u w:val="single"/>
          <w:lang w:eastAsia="ja-JP"/>
        </w:rPr>
        <w:t>Agreements:</w:t>
      </w:r>
    </w:p>
    <w:p w14:paraId="70DCB886" w14:textId="77777777" w:rsidR="00903AFF" w:rsidRPr="00417921" w:rsidRDefault="00903AFF" w:rsidP="00903AFF">
      <w:pPr>
        <w:numPr>
          <w:ilvl w:val="0"/>
          <w:numId w:val="39"/>
        </w:numPr>
        <w:overflowPunct/>
        <w:autoSpaceDE/>
        <w:autoSpaceDN/>
        <w:adjustRightInd/>
        <w:spacing w:after="0"/>
        <w:textAlignment w:val="auto"/>
        <w:rPr>
          <w:rFonts w:eastAsia="MS Mincho"/>
          <w:lang w:eastAsia="ja-JP"/>
        </w:rPr>
      </w:pPr>
      <w:r w:rsidRPr="00417921">
        <w:rPr>
          <w:rFonts w:eastAsia="MS Mincho"/>
          <w:lang w:eastAsia="ja-JP"/>
        </w:rPr>
        <w:t xml:space="preserve">Transmit diversity scheme for DL control channel </w:t>
      </w:r>
      <w:proofErr w:type="gramStart"/>
      <w:r w:rsidRPr="00417921">
        <w:rPr>
          <w:rFonts w:eastAsia="MS Mincho"/>
          <w:lang w:eastAsia="ja-JP"/>
        </w:rPr>
        <w:t>is supported</w:t>
      </w:r>
      <w:proofErr w:type="gramEnd"/>
      <w:r w:rsidRPr="00417921">
        <w:rPr>
          <w:rFonts w:eastAsia="MS Mincho"/>
          <w:lang w:eastAsia="ja-JP"/>
        </w:rPr>
        <w:t>.</w:t>
      </w:r>
    </w:p>
    <w:p w14:paraId="5E9FD98D" w14:textId="77777777" w:rsidR="00903AFF" w:rsidRPr="00417921" w:rsidRDefault="00903AFF" w:rsidP="00903AFF">
      <w:pPr>
        <w:numPr>
          <w:ilvl w:val="1"/>
          <w:numId w:val="39"/>
        </w:numPr>
        <w:overflowPunct/>
        <w:autoSpaceDE/>
        <w:autoSpaceDN/>
        <w:adjustRightInd/>
        <w:spacing w:after="0"/>
        <w:textAlignment w:val="auto"/>
        <w:rPr>
          <w:rFonts w:eastAsia="MS Mincho"/>
          <w:lang w:eastAsia="ja-JP"/>
        </w:rPr>
      </w:pPr>
      <w:r w:rsidRPr="00417921">
        <w:rPr>
          <w:rFonts w:eastAsia="MS Mincho"/>
          <w:lang w:eastAsia="ja-JP"/>
        </w:rPr>
        <w:t xml:space="preserve">FFS; SFBC or </w:t>
      </w:r>
      <w:proofErr w:type="spellStart"/>
      <w:r w:rsidRPr="00417921">
        <w:rPr>
          <w:rFonts w:eastAsia="MS Mincho"/>
          <w:lang w:eastAsia="ja-JP"/>
        </w:rPr>
        <w:t>precoder</w:t>
      </w:r>
      <w:proofErr w:type="spellEnd"/>
      <w:r w:rsidRPr="00417921">
        <w:rPr>
          <w:rFonts w:eastAsia="MS Mincho"/>
          <w:lang w:eastAsia="ja-JP"/>
        </w:rPr>
        <w:t xml:space="preserve">-cycling, </w:t>
      </w:r>
      <w:proofErr w:type="spellStart"/>
      <w:r w:rsidRPr="00417921">
        <w:rPr>
          <w:rFonts w:eastAsia="MS Mincho"/>
          <w:lang w:eastAsia="ja-JP"/>
        </w:rPr>
        <w:t>etc</w:t>
      </w:r>
      <w:proofErr w:type="spellEnd"/>
    </w:p>
    <w:p w14:paraId="3569CD37" w14:textId="77777777" w:rsidR="00903AFF" w:rsidRPr="00417921" w:rsidRDefault="00903AFF" w:rsidP="00903AFF">
      <w:pPr>
        <w:numPr>
          <w:ilvl w:val="2"/>
          <w:numId w:val="39"/>
        </w:numPr>
        <w:overflowPunct/>
        <w:autoSpaceDE/>
        <w:autoSpaceDN/>
        <w:adjustRightInd/>
        <w:spacing w:after="0"/>
        <w:textAlignment w:val="auto"/>
        <w:rPr>
          <w:rFonts w:eastAsia="MS Mincho"/>
          <w:lang w:eastAsia="ja-JP"/>
        </w:rPr>
      </w:pPr>
      <w:r w:rsidRPr="00417921">
        <w:rPr>
          <w:rFonts w:eastAsia="MS Mincho"/>
          <w:lang w:eastAsia="ja-JP"/>
        </w:rPr>
        <w:t>Other schemes are not precluded</w:t>
      </w:r>
    </w:p>
    <w:p w14:paraId="36F28C66" w14:textId="77777777" w:rsidR="00903AFF" w:rsidRPr="00417921" w:rsidRDefault="00903AFF" w:rsidP="00903AFF">
      <w:pPr>
        <w:numPr>
          <w:ilvl w:val="1"/>
          <w:numId w:val="39"/>
        </w:numPr>
        <w:overflowPunct/>
        <w:autoSpaceDE/>
        <w:autoSpaceDN/>
        <w:adjustRightInd/>
        <w:spacing w:after="0"/>
        <w:textAlignment w:val="auto"/>
        <w:rPr>
          <w:rFonts w:eastAsia="MS Mincho"/>
          <w:lang w:eastAsia="ja-JP"/>
        </w:rPr>
      </w:pPr>
      <w:r w:rsidRPr="00417921">
        <w:rPr>
          <w:rFonts w:eastAsia="MS Mincho"/>
          <w:lang w:eastAsia="ja-JP"/>
        </w:rPr>
        <w:t>FFS number of antenna ports (1 or 2)</w:t>
      </w:r>
    </w:p>
    <w:p w14:paraId="12010198" w14:textId="77777777" w:rsidR="00903AFF" w:rsidRPr="00417921" w:rsidRDefault="00903AFF" w:rsidP="00903AFF">
      <w:pPr>
        <w:numPr>
          <w:ilvl w:val="0"/>
          <w:numId w:val="39"/>
        </w:numPr>
        <w:overflowPunct/>
        <w:autoSpaceDE/>
        <w:autoSpaceDN/>
        <w:adjustRightInd/>
        <w:spacing w:after="0"/>
        <w:textAlignment w:val="auto"/>
        <w:rPr>
          <w:rFonts w:eastAsia="MS Mincho"/>
          <w:lang w:eastAsia="ja-JP"/>
        </w:rPr>
      </w:pPr>
      <w:r w:rsidRPr="00417921">
        <w:rPr>
          <w:rFonts w:eastAsia="MS Mincho"/>
          <w:lang w:eastAsia="ja-JP"/>
        </w:rPr>
        <w:t>A UE assumes fixed number of RS REs per REG for control channel rate matching when the REG contains RS REs</w:t>
      </w:r>
    </w:p>
    <w:p w14:paraId="4BA6E435" w14:textId="77777777" w:rsidR="00903AFF" w:rsidRDefault="00903AFF" w:rsidP="00903AFF">
      <w:pPr>
        <w:numPr>
          <w:ilvl w:val="1"/>
          <w:numId w:val="39"/>
        </w:numPr>
        <w:overflowPunct/>
        <w:autoSpaceDE/>
        <w:autoSpaceDN/>
        <w:adjustRightInd/>
        <w:spacing w:after="0"/>
        <w:textAlignment w:val="auto"/>
        <w:rPr>
          <w:rFonts w:eastAsia="MS Mincho"/>
          <w:lang w:eastAsia="ja-JP"/>
        </w:rPr>
      </w:pPr>
      <w:r w:rsidRPr="00417921">
        <w:rPr>
          <w:rFonts w:eastAsia="MS Mincho"/>
          <w:lang w:eastAsia="ja-JP"/>
        </w:rPr>
        <w:t>FFS;  if the fixed number is configurable</w:t>
      </w:r>
    </w:p>
    <w:p w14:paraId="3E10E3C1" w14:textId="77777777" w:rsidR="00903AFF" w:rsidRPr="00284ECB" w:rsidRDefault="00903AFF" w:rsidP="00903AFF">
      <w:pPr>
        <w:rPr>
          <w:rFonts w:eastAsia="MS Mincho"/>
          <w:b/>
          <w:u w:val="single"/>
          <w:lang w:eastAsia="ja-JP"/>
        </w:rPr>
      </w:pPr>
      <w:r w:rsidRPr="00284ECB">
        <w:rPr>
          <w:rFonts w:eastAsia="MS Mincho" w:hint="eastAsia"/>
          <w:b/>
          <w:highlight w:val="green"/>
          <w:u w:val="single"/>
          <w:lang w:eastAsia="ja-JP"/>
        </w:rPr>
        <w:t>Agreements:</w:t>
      </w:r>
    </w:p>
    <w:p w14:paraId="28FE3C81" w14:textId="77777777" w:rsidR="00903AFF" w:rsidRPr="00284ECB" w:rsidRDefault="00903AFF" w:rsidP="00903AFF">
      <w:pPr>
        <w:numPr>
          <w:ilvl w:val="0"/>
          <w:numId w:val="40"/>
        </w:numPr>
        <w:overflowPunct/>
        <w:autoSpaceDE/>
        <w:autoSpaceDN/>
        <w:adjustRightInd/>
        <w:spacing w:after="0"/>
        <w:textAlignment w:val="auto"/>
        <w:rPr>
          <w:rFonts w:eastAsia="MS Mincho"/>
          <w:lang w:eastAsia="ja-JP"/>
        </w:rPr>
      </w:pPr>
      <w:r w:rsidRPr="00284ECB">
        <w:rPr>
          <w:rFonts w:eastAsia="MS Mincho"/>
          <w:lang w:eastAsia="ja-JP"/>
        </w:rPr>
        <w:t>A control resource set is defined as a set of REGs under a given numerology</w:t>
      </w:r>
    </w:p>
    <w:p w14:paraId="3C63EF17" w14:textId="77777777" w:rsidR="00903AFF" w:rsidRPr="00284ECB" w:rsidRDefault="00903AFF" w:rsidP="00903AFF">
      <w:pPr>
        <w:numPr>
          <w:ilvl w:val="0"/>
          <w:numId w:val="40"/>
        </w:numPr>
        <w:overflowPunct/>
        <w:autoSpaceDE/>
        <w:autoSpaceDN/>
        <w:adjustRightInd/>
        <w:spacing w:after="0"/>
        <w:textAlignment w:val="auto"/>
        <w:rPr>
          <w:rFonts w:eastAsia="MS Mincho"/>
          <w:lang w:eastAsia="ja-JP"/>
        </w:rPr>
      </w:pPr>
      <w:r w:rsidRPr="00284ECB">
        <w:rPr>
          <w:rFonts w:eastAsia="MS Mincho"/>
          <w:lang w:eastAsia="ja-JP"/>
        </w:rPr>
        <w:t>Control search space includes at least the following properties</w:t>
      </w:r>
    </w:p>
    <w:p w14:paraId="60D8111B" w14:textId="77777777" w:rsidR="00903AFF" w:rsidRPr="00284ECB" w:rsidRDefault="00903AFF" w:rsidP="00903AFF">
      <w:pPr>
        <w:numPr>
          <w:ilvl w:val="1"/>
          <w:numId w:val="40"/>
        </w:numPr>
        <w:overflowPunct/>
        <w:autoSpaceDE/>
        <w:autoSpaceDN/>
        <w:adjustRightInd/>
        <w:spacing w:after="0"/>
        <w:textAlignment w:val="auto"/>
        <w:rPr>
          <w:rFonts w:eastAsia="MS Mincho"/>
          <w:lang w:eastAsia="ja-JP"/>
        </w:rPr>
      </w:pPr>
      <w:r w:rsidRPr="00284ECB">
        <w:rPr>
          <w:rFonts w:eastAsia="MS Mincho"/>
          <w:lang w:eastAsia="ja-JP"/>
        </w:rPr>
        <w:t>Aggregation level(s)</w:t>
      </w:r>
    </w:p>
    <w:p w14:paraId="5C152B26" w14:textId="77777777" w:rsidR="00903AFF" w:rsidRPr="00284ECB" w:rsidRDefault="00903AFF" w:rsidP="00903AFF">
      <w:pPr>
        <w:numPr>
          <w:ilvl w:val="1"/>
          <w:numId w:val="40"/>
        </w:numPr>
        <w:overflowPunct/>
        <w:autoSpaceDE/>
        <w:autoSpaceDN/>
        <w:adjustRightInd/>
        <w:spacing w:after="0"/>
        <w:textAlignment w:val="auto"/>
        <w:rPr>
          <w:rFonts w:eastAsia="MS Mincho"/>
          <w:lang w:eastAsia="ja-JP"/>
        </w:rPr>
      </w:pPr>
      <w:r w:rsidRPr="00284ECB">
        <w:rPr>
          <w:rFonts w:eastAsia="MS Mincho"/>
          <w:lang w:eastAsia="ja-JP"/>
        </w:rPr>
        <w:t>Number of decoding candidates for each aggregation level</w:t>
      </w:r>
    </w:p>
    <w:p w14:paraId="332531B0" w14:textId="77777777" w:rsidR="00903AFF" w:rsidRPr="00284ECB" w:rsidRDefault="00903AFF" w:rsidP="00903AFF">
      <w:pPr>
        <w:numPr>
          <w:ilvl w:val="1"/>
          <w:numId w:val="40"/>
        </w:numPr>
        <w:overflowPunct/>
        <w:autoSpaceDE/>
        <w:autoSpaceDN/>
        <w:adjustRightInd/>
        <w:spacing w:after="0"/>
        <w:textAlignment w:val="auto"/>
        <w:rPr>
          <w:rFonts w:eastAsia="MS Mincho"/>
          <w:lang w:eastAsia="ja-JP"/>
        </w:rPr>
      </w:pPr>
      <w:r w:rsidRPr="00284ECB">
        <w:rPr>
          <w:rFonts w:eastAsia="MS Mincho"/>
          <w:lang w:eastAsia="ja-JP"/>
        </w:rPr>
        <w:t>The set of CCEs for each decoding candidate</w:t>
      </w:r>
    </w:p>
    <w:p w14:paraId="34F00175" w14:textId="77777777" w:rsidR="00903AFF" w:rsidRPr="00284ECB" w:rsidRDefault="00903AFF" w:rsidP="00903AFF">
      <w:pPr>
        <w:numPr>
          <w:ilvl w:val="0"/>
          <w:numId w:val="40"/>
        </w:numPr>
        <w:overflowPunct/>
        <w:autoSpaceDE/>
        <w:autoSpaceDN/>
        <w:adjustRightInd/>
        <w:spacing w:after="0"/>
        <w:textAlignment w:val="auto"/>
        <w:rPr>
          <w:rFonts w:eastAsia="MS Mincho"/>
          <w:lang w:eastAsia="ja-JP"/>
        </w:rPr>
      </w:pPr>
      <w:r w:rsidRPr="00284ECB">
        <w:rPr>
          <w:rFonts w:eastAsia="MS Mincho"/>
          <w:lang w:eastAsia="ja-JP"/>
        </w:rPr>
        <w:t>FFS: if any of the following properties belong to control resource set or control search space</w:t>
      </w:r>
    </w:p>
    <w:p w14:paraId="7674BB25" w14:textId="77777777" w:rsidR="00903AFF" w:rsidRPr="00284ECB" w:rsidRDefault="00903AFF" w:rsidP="00903AFF">
      <w:pPr>
        <w:numPr>
          <w:ilvl w:val="1"/>
          <w:numId w:val="40"/>
        </w:numPr>
        <w:overflowPunct/>
        <w:autoSpaceDE/>
        <w:autoSpaceDN/>
        <w:adjustRightInd/>
        <w:spacing w:after="0"/>
        <w:textAlignment w:val="auto"/>
        <w:rPr>
          <w:rFonts w:eastAsia="MS Mincho"/>
          <w:lang w:eastAsia="ja-JP"/>
        </w:rPr>
      </w:pPr>
      <w:r w:rsidRPr="00284ECB">
        <w:rPr>
          <w:rFonts w:eastAsia="MS Mincho"/>
          <w:lang w:eastAsia="ja-JP"/>
        </w:rPr>
        <w:t>Transmission/diversity scheme</w:t>
      </w:r>
    </w:p>
    <w:p w14:paraId="773C6BE1" w14:textId="77777777" w:rsidR="00903AFF" w:rsidRPr="00284ECB" w:rsidRDefault="00903AFF" w:rsidP="00903AFF">
      <w:pPr>
        <w:numPr>
          <w:ilvl w:val="1"/>
          <w:numId w:val="40"/>
        </w:numPr>
        <w:overflowPunct/>
        <w:autoSpaceDE/>
        <w:autoSpaceDN/>
        <w:adjustRightInd/>
        <w:spacing w:after="0"/>
        <w:textAlignment w:val="auto"/>
        <w:rPr>
          <w:rFonts w:eastAsia="MS Mincho"/>
          <w:lang w:eastAsia="ja-JP"/>
        </w:rPr>
      </w:pPr>
      <w:r w:rsidRPr="00284ECB">
        <w:rPr>
          <w:rFonts w:eastAsia="MS Mincho"/>
          <w:lang w:eastAsia="ja-JP"/>
        </w:rPr>
        <w:t>CCE to REG mapping</w:t>
      </w:r>
    </w:p>
    <w:p w14:paraId="6403973D" w14:textId="77777777" w:rsidR="00903AFF" w:rsidRPr="00284ECB" w:rsidRDefault="00903AFF" w:rsidP="00903AFF">
      <w:pPr>
        <w:numPr>
          <w:ilvl w:val="1"/>
          <w:numId w:val="40"/>
        </w:numPr>
        <w:overflowPunct/>
        <w:autoSpaceDE/>
        <w:autoSpaceDN/>
        <w:adjustRightInd/>
        <w:spacing w:after="0"/>
        <w:textAlignment w:val="auto"/>
        <w:rPr>
          <w:rFonts w:eastAsia="MS Mincho"/>
          <w:lang w:eastAsia="ja-JP"/>
        </w:rPr>
      </w:pPr>
      <w:r w:rsidRPr="00284ECB">
        <w:rPr>
          <w:rFonts w:eastAsia="MS Mincho"/>
          <w:lang w:eastAsia="ja-JP"/>
        </w:rPr>
        <w:t>RS structure</w:t>
      </w:r>
    </w:p>
    <w:p w14:paraId="78CDECC7" w14:textId="77777777" w:rsidR="00903AFF" w:rsidRPr="00284ECB" w:rsidRDefault="00903AFF" w:rsidP="00903AFF">
      <w:pPr>
        <w:numPr>
          <w:ilvl w:val="1"/>
          <w:numId w:val="40"/>
        </w:numPr>
        <w:overflowPunct/>
        <w:autoSpaceDE/>
        <w:autoSpaceDN/>
        <w:adjustRightInd/>
        <w:spacing w:after="0"/>
        <w:textAlignment w:val="auto"/>
        <w:rPr>
          <w:rFonts w:eastAsia="MS Mincho"/>
          <w:lang w:eastAsia="ja-JP"/>
        </w:rPr>
      </w:pPr>
      <w:r w:rsidRPr="00284ECB">
        <w:rPr>
          <w:rFonts w:eastAsia="MS Mincho"/>
          <w:lang w:eastAsia="ja-JP"/>
        </w:rPr>
        <w:t>PRB bundling size</w:t>
      </w:r>
    </w:p>
    <w:p w14:paraId="0F018488" w14:textId="77777777" w:rsidR="00903AFF" w:rsidRPr="00284ECB" w:rsidRDefault="00903AFF" w:rsidP="00903AFF">
      <w:pPr>
        <w:numPr>
          <w:ilvl w:val="0"/>
          <w:numId w:val="40"/>
        </w:numPr>
        <w:overflowPunct/>
        <w:autoSpaceDE/>
        <w:autoSpaceDN/>
        <w:adjustRightInd/>
        <w:spacing w:after="0"/>
        <w:textAlignment w:val="auto"/>
        <w:rPr>
          <w:rFonts w:eastAsia="MS Mincho"/>
          <w:lang w:eastAsia="ja-JP"/>
        </w:rPr>
      </w:pPr>
      <w:r w:rsidRPr="00284ECB">
        <w:rPr>
          <w:rFonts w:eastAsia="MS Mincho"/>
          <w:lang w:eastAsia="ja-JP"/>
        </w:rPr>
        <w:t>FFS: if the control resource sets can overlap or not</w:t>
      </w:r>
    </w:p>
    <w:p w14:paraId="48462129" w14:textId="77777777" w:rsidR="00903AFF" w:rsidRPr="00284ECB" w:rsidRDefault="00903AFF" w:rsidP="00BE5E94">
      <w:pPr>
        <w:numPr>
          <w:ilvl w:val="0"/>
          <w:numId w:val="40"/>
        </w:numPr>
        <w:overflowPunct/>
        <w:autoSpaceDE/>
        <w:autoSpaceDN/>
        <w:adjustRightInd/>
        <w:spacing w:after="120"/>
        <w:textAlignment w:val="auto"/>
        <w:rPr>
          <w:rFonts w:eastAsia="MS Mincho"/>
          <w:lang w:eastAsia="ja-JP"/>
        </w:rPr>
      </w:pPr>
      <w:r w:rsidRPr="00284ECB">
        <w:rPr>
          <w:rFonts w:eastAsia="MS Mincho"/>
          <w:lang w:eastAsia="ja-JP"/>
        </w:rPr>
        <w:t xml:space="preserve">FFS: whether the mapping between control resource set and control search space is one-to-one or one-to-many </w:t>
      </w:r>
    </w:p>
    <w:p w14:paraId="4BABFD6C" w14:textId="7ADC7BCE" w:rsidR="00903AFF" w:rsidRDefault="00BE5E94" w:rsidP="001251C0">
      <w:pPr>
        <w:jc w:val="both"/>
        <w:rPr>
          <w:szCs w:val="22"/>
        </w:rPr>
      </w:pPr>
      <w:r>
        <w:rPr>
          <w:szCs w:val="22"/>
        </w:rPr>
        <w:t xml:space="preserve">It </w:t>
      </w:r>
      <w:proofErr w:type="gramStart"/>
      <w:r>
        <w:rPr>
          <w:szCs w:val="22"/>
        </w:rPr>
        <w:t>can be seen</w:t>
      </w:r>
      <w:proofErr w:type="gramEnd"/>
      <w:r>
        <w:rPr>
          <w:szCs w:val="22"/>
        </w:rPr>
        <w:t xml:space="preserve"> that most of topics are FFS related to PDCCH RS/Tx diversity scheme other than certain transmit diversity scheme(s) are supported for DL control channel. In this contribution, we discuss the options for RS design</w:t>
      </w:r>
      <w:r w:rsidR="00421047">
        <w:rPr>
          <w:szCs w:val="22"/>
        </w:rPr>
        <w:t>,</w:t>
      </w:r>
      <w:r>
        <w:rPr>
          <w:szCs w:val="22"/>
        </w:rPr>
        <w:t xml:space="preserve"> channel estimation assumptions at UE</w:t>
      </w:r>
      <w:r w:rsidR="00421047">
        <w:rPr>
          <w:szCs w:val="22"/>
        </w:rPr>
        <w:t xml:space="preserve"> and </w:t>
      </w:r>
      <w:proofErr w:type="gramStart"/>
      <w:r w:rsidR="00421047">
        <w:rPr>
          <w:szCs w:val="22"/>
        </w:rPr>
        <w:t>Tx</w:t>
      </w:r>
      <w:proofErr w:type="gramEnd"/>
      <w:r w:rsidR="00421047">
        <w:rPr>
          <w:szCs w:val="22"/>
        </w:rPr>
        <w:t xml:space="preserve"> diversity scheme related to control resource set and search space</w:t>
      </w:r>
      <w:r>
        <w:rPr>
          <w:szCs w:val="22"/>
        </w:rPr>
        <w:t>.</w:t>
      </w:r>
      <w:r w:rsidR="00283366">
        <w:rPr>
          <w:szCs w:val="22"/>
        </w:rPr>
        <w:t xml:space="preserve"> Detailed performance analysis on </w:t>
      </w:r>
      <w:proofErr w:type="gramStart"/>
      <w:r w:rsidR="00283366">
        <w:rPr>
          <w:szCs w:val="22"/>
        </w:rPr>
        <w:t>Tx</w:t>
      </w:r>
      <w:proofErr w:type="gramEnd"/>
      <w:r w:rsidR="00283366">
        <w:rPr>
          <w:szCs w:val="22"/>
        </w:rPr>
        <w:t xml:space="preserve"> diversity is presented in [1].</w:t>
      </w:r>
    </w:p>
    <w:p w14:paraId="3DF4D710" w14:textId="470F8C56" w:rsidR="001251C0" w:rsidRDefault="00421047" w:rsidP="001251C0">
      <w:pPr>
        <w:pStyle w:val="Heading1"/>
      </w:pPr>
      <w:r>
        <w:lastRenderedPageBreak/>
        <w:t>DL Control RS</w:t>
      </w:r>
      <w:r w:rsidR="00516DAD">
        <w:t xml:space="preserve"> Design</w:t>
      </w:r>
    </w:p>
    <w:p w14:paraId="0D281B95" w14:textId="57D03E19" w:rsidR="00BE4411" w:rsidRDefault="00BE4411" w:rsidP="00BE4411">
      <w:pPr>
        <w:tabs>
          <w:tab w:val="left" w:pos="4297"/>
        </w:tabs>
        <w:jc w:val="both"/>
        <w:rPr>
          <w:szCs w:val="22"/>
        </w:rPr>
      </w:pPr>
      <w:r>
        <w:rPr>
          <w:szCs w:val="22"/>
        </w:rPr>
        <w:t xml:space="preserve">NR is envisioned to have </w:t>
      </w:r>
      <w:proofErr w:type="gramStart"/>
      <w:r>
        <w:rPr>
          <w:szCs w:val="22"/>
        </w:rPr>
        <w:t>front loaded</w:t>
      </w:r>
      <w:proofErr w:type="gramEnd"/>
      <w:r>
        <w:rPr>
          <w:szCs w:val="22"/>
        </w:rPr>
        <w:t xml:space="preserve"> RS to allow early channel estimation and following DL control demodulation/decoding process. There should not be any disagreement on having the RS on the </w:t>
      </w:r>
      <w:proofErr w:type="gramStart"/>
      <w:r>
        <w:rPr>
          <w:szCs w:val="22"/>
        </w:rPr>
        <w:t>1</w:t>
      </w:r>
      <w:r w:rsidRPr="00BE4411">
        <w:rPr>
          <w:szCs w:val="22"/>
          <w:vertAlign w:val="superscript"/>
        </w:rPr>
        <w:t>st</w:t>
      </w:r>
      <w:proofErr w:type="gramEnd"/>
      <w:r>
        <w:rPr>
          <w:szCs w:val="22"/>
        </w:rPr>
        <w:t xml:space="preserve"> symbol for DL control channel demod</w:t>
      </w:r>
      <w:r w:rsidR="00D859FF">
        <w:rPr>
          <w:szCs w:val="22"/>
        </w:rPr>
        <w:t>ulation</w:t>
      </w:r>
      <w:r>
        <w:rPr>
          <w:szCs w:val="22"/>
        </w:rPr>
        <w:t xml:space="preserve">. The remaining question for control RS would be whether to have additional RS in the following symbol in the DL control region. </w:t>
      </w:r>
      <w:r w:rsidR="00741724">
        <w:rPr>
          <w:szCs w:val="22"/>
        </w:rPr>
        <w:t xml:space="preserve">This question is related to the control resource set/search space and </w:t>
      </w:r>
      <w:proofErr w:type="gramStart"/>
      <w:r w:rsidR="00741724">
        <w:rPr>
          <w:szCs w:val="22"/>
        </w:rPr>
        <w:t>Tx</w:t>
      </w:r>
      <w:proofErr w:type="gramEnd"/>
      <w:r w:rsidR="00741724">
        <w:rPr>
          <w:szCs w:val="22"/>
        </w:rPr>
        <w:t xml:space="preserve"> diversity assumption.</w:t>
      </w:r>
    </w:p>
    <w:p w14:paraId="1CBDA79F" w14:textId="3D79F257" w:rsidR="00BE5E94" w:rsidRDefault="00BE5E94" w:rsidP="00BE4411">
      <w:pPr>
        <w:tabs>
          <w:tab w:val="left" w:pos="4297"/>
        </w:tabs>
        <w:jc w:val="both"/>
        <w:rPr>
          <w:szCs w:val="22"/>
          <w:u w:val="single"/>
        </w:rPr>
      </w:pPr>
      <w:r w:rsidRPr="00943720">
        <w:rPr>
          <w:szCs w:val="22"/>
          <w:u w:val="single"/>
        </w:rPr>
        <w:t xml:space="preserve">Front loaded </w:t>
      </w:r>
      <w:r w:rsidR="00F709BE">
        <w:rPr>
          <w:szCs w:val="22"/>
          <w:u w:val="single"/>
        </w:rPr>
        <w:t xml:space="preserve">RS </w:t>
      </w:r>
      <w:r w:rsidRPr="00943720">
        <w:rPr>
          <w:szCs w:val="22"/>
          <w:u w:val="single"/>
        </w:rPr>
        <w:t>only vs. repea</w:t>
      </w:r>
      <w:r w:rsidR="00943720" w:rsidRPr="00943720">
        <w:rPr>
          <w:szCs w:val="22"/>
          <w:u w:val="single"/>
        </w:rPr>
        <w:t>ted RS every symbol</w:t>
      </w:r>
    </w:p>
    <w:p w14:paraId="23D40D14" w14:textId="0A52CA4D" w:rsidR="00943720" w:rsidRPr="00B076FE" w:rsidRDefault="00F709BE" w:rsidP="00F709BE">
      <w:pPr>
        <w:pStyle w:val="ListParagraph"/>
        <w:numPr>
          <w:ilvl w:val="0"/>
          <w:numId w:val="43"/>
        </w:numPr>
        <w:tabs>
          <w:tab w:val="left" w:pos="4297"/>
        </w:tabs>
        <w:jc w:val="both"/>
        <w:rPr>
          <w:rFonts w:ascii="Times New Roman" w:hAnsi="Times New Roman"/>
          <w:sz w:val="20"/>
          <w:szCs w:val="20"/>
        </w:rPr>
      </w:pPr>
      <w:r w:rsidRPr="00B076FE">
        <w:rPr>
          <w:rFonts w:ascii="Times New Roman" w:hAnsi="Times New Roman"/>
          <w:sz w:val="20"/>
          <w:szCs w:val="20"/>
        </w:rPr>
        <w:t>Front loaded RS only</w:t>
      </w:r>
    </w:p>
    <w:p w14:paraId="6D30B95C" w14:textId="64FE2BD8" w:rsidR="00F709BE" w:rsidRPr="00B076FE" w:rsidRDefault="00F709BE" w:rsidP="00F709BE">
      <w:pPr>
        <w:pStyle w:val="ListParagraph"/>
        <w:numPr>
          <w:ilvl w:val="1"/>
          <w:numId w:val="43"/>
        </w:numPr>
        <w:tabs>
          <w:tab w:val="left" w:pos="4297"/>
        </w:tabs>
        <w:jc w:val="both"/>
        <w:rPr>
          <w:rFonts w:ascii="Times New Roman" w:hAnsi="Times New Roman"/>
          <w:sz w:val="20"/>
          <w:szCs w:val="20"/>
        </w:rPr>
      </w:pPr>
      <w:r w:rsidRPr="00B076FE">
        <w:rPr>
          <w:rFonts w:ascii="Times New Roman" w:hAnsi="Times New Roman"/>
          <w:sz w:val="20"/>
          <w:szCs w:val="20"/>
        </w:rPr>
        <w:t xml:space="preserve">Front loaded RS implies that the channel estimation obtained from the </w:t>
      </w:r>
      <w:proofErr w:type="gramStart"/>
      <w:r w:rsidRPr="00B076FE">
        <w:rPr>
          <w:rFonts w:ascii="Times New Roman" w:hAnsi="Times New Roman"/>
          <w:sz w:val="20"/>
          <w:szCs w:val="20"/>
        </w:rPr>
        <w:t>1</w:t>
      </w:r>
      <w:r w:rsidRPr="00B076FE">
        <w:rPr>
          <w:rFonts w:ascii="Times New Roman" w:hAnsi="Times New Roman"/>
          <w:sz w:val="20"/>
          <w:szCs w:val="20"/>
          <w:vertAlign w:val="superscript"/>
        </w:rPr>
        <w:t>st</w:t>
      </w:r>
      <w:proofErr w:type="gramEnd"/>
      <w:r w:rsidRPr="00B076FE">
        <w:rPr>
          <w:rFonts w:ascii="Times New Roman" w:hAnsi="Times New Roman"/>
          <w:sz w:val="20"/>
          <w:szCs w:val="20"/>
        </w:rPr>
        <w:t xml:space="preserve"> symbol RS needs to be reused for the following symbol.</w:t>
      </w:r>
    </w:p>
    <w:p w14:paraId="3737A888" w14:textId="262660F6" w:rsidR="000306F6" w:rsidRPr="00B076FE" w:rsidRDefault="000306F6" w:rsidP="000306F6">
      <w:pPr>
        <w:pStyle w:val="ListParagraph"/>
        <w:numPr>
          <w:ilvl w:val="2"/>
          <w:numId w:val="43"/>
        </w:numPr>
        <w:tabs>
          <w:tab w:val="left" w:pos="4297"/>
        </w:tabs>
        <w:jc w:val="both"/>
        <w:rPr>
          <w:rFonts w:ascii="Times New Roman" w:hAnsi="Times New Roman"/>
          <w:sz w:val="20"/>
          <w:szCs w:val="20"/>
        </w:rPr>
      </w:pPr>
      <w:r w:rsidRPr="00B076FE">
        <w:rPr>
          <w:rFonts w:ascii="Times New Roman" w:hAnsi="Times New Roman"/>
          <w:sz w:val="20"/>
          <w:szCs w:val="20"/>
        </w:rPr>
        <w:t>Open loop</w:t>
      </w:r>
      <w:r w:rsidR="00025C0D" w:rsidRPr="00B076FE">
        <w:rPr>
          <w:rFonts w:ascii="Times New Roman" w:hAnsi="Times New Roman"/>
          <w:sz w:val="20"/>
          <w:szCs w:val="20"/>
        </w:rPr>
        <w:t xml:space="preserve"> (OL)</w:t>
      </w:r>
      <w:r w:rsidRPr="00B076FE">
        <w:rPr>
          <w:rFonts w:ascii="Times New Roman" w:hAnsi="Times New Roman"/>
          <w:sz w:val="20"/>
          <w:szCs w:val="20"/>
        </w:rPr>
        <w:t xml:space="preserve"> Tx diversity</w:t>
      </w:r>
    </w:p>
    <w:p w14:paraId="2EAB2421" w14:textId="3F3DEDE8" w:rsidR="000306F6" w:rsidRPr="00B076FE" w:rsidRDefault="000306F6" w:rsidP="000306F6">
      <w:pPr>
        <w:pStyle w:val="ListParagraph"/>
        <w:numPr>
          <w:ilvl w:val="3"/>
          <w:numId w:val="43"/>
        </w:numPr>
        <w:tabs>
          <w:tab w:val="left" w:pos="4297"/>
        </w:tabs>
        <w:jc w:val="both"/>
        <w:rPr>
          <w:rFonts w:ascii="Times New Roman" w:hAnsi="Times New Roman"/>
          <w:sz w:val="20"/>
          <w:szCs w:val="20"/>
        </w:rPr>
      </w:pPr>
      <w:r w:rsidRPr="00B076FE">
        <w:rPr>
          <w:rFonts w:ascii="Times New Roman" w:hAnsi="Times New Roman"/>
          <w:sz w:val="20"/>
          <w:szCs w:val="20"/>
        </w:rPr>
        <w:t xml:space="preserve">Since it is open loop, as long as the PDCCH on the following symbol has the open loop </w:t>
      </w:r>
      <w:proofErr w:type="gramStart"/>
      <w:r w:rsidRPr="00B076FE">
        <w:rPr>
          <w:rFonts w:ascii="Times New Roman" w:hAnsi="Times New Roman"/>
          <w:sz w:val="20"/>
          <w:szCs w:val="20"/>
        </w:rPr>
        <w:t>Tx</w:t>
      </w:r>
      <w:proofErr w:type="gramEnd"/>
      <w:r w:rsidRPr="00B076FE">
        <w:rPr>
          <w:rFonts w:ascii="Times New Roman" w:hAnsi="Times New Roman"/>
          <w:sz w:val="20"/>
          <w:szCs w:val="20"/>
        </w:rPr>
        <w:t xml:space="preserve"> diversity, there is no issue sharing the RS.</w:t>
      </w:r>
    </w:p>
    <w:p w14:paraId="2F7539FA" w14:textId="2962812E" w:rsidR="000306F6" w:rsidRPr="00B076FE" w:rsidRDefault="000306F6" w:rsidP="000306F6">
      <w:pPr>
        <w:pStyle w:val="ListParagraph"/>
        <w:numPr>
          <w:ilvl w:val="2"/>
          <w:numId w:val="43"/>
        </w:numPr>
        <w:tabs>
          <w:tab w:val="left" w:pos="4297"/>
        </w:tabs>
        <w:jc w:val="both"/>
        <w:rPr>
          <w:rFonts w:ascii="Times New Roman" w:hAnsi="Times New Roman"/>
          <w:sz w:val="20"/>
          <w:szCs w:val="20"/>
        </w:rPr>
      </w:pPr>
      <w:r w:rsidRPr="00B076FE">
        <w:rPr>
          <w:rFonts w:ascii="Times New Roman" w:hAnsi="Times New Roman"/>
          <w:sz w:val="20"/>
          <w:szCs w:val="20"/>
        </w:rPr>
        <w:t>Closed loop</w:t>
      </w:r>
      <w:r w:rsidR="00025C0D" w:rsidRPr="00B076FE">
        <w:rPr>
          <w:rFonts w:ascii="Times New Roman" w:hAnsi="Times New Roman"/>
          <w:sz w:val="20"/>
          <w:szCs w:val="20"/>
        </w:rPr>
        <w:t xml:space="preserve"> (CL)</w:t>
      </w:r>
      <w:r w:rsidRPr="00B076FE">
        <w:rPr>
          <w:rFonts w:ascii="Times New Roman" w:hAnsi="Times New Roman"/>
          <w:sz w:val="20"/>
          <w:szCs w:val="20"/>
        </w:rPr>
        <w:t xml:space="preserve"> Tx diversity</w:t>
      </w:r>
    </w:p>
    <w:p w14:paraId="45DCBF10" w14:textId="31D2E00F" w:rsidR="000306F6" w:rsidRPr="00B076FE" w:rsidRDefault="00D859FF" w:rsidP="000306F6">
      <w:pPr>
        <w:pStyle w:val="ListParagraph"/>
        <w:numPr>
          <w:ilvl w:val="3"/>
          <w:numId w:val="43"/>
        </w:numPr>
        <w:tabs>
          <w:tab w:val="left" w:pos="4297"/>
        </w:tabs>
        <w:jc w:val="both"/>
        <w:rPr>
          <w:rFonts w:ascii="Times New Roman" w:hAnsi="Times New Roman"/>
          <w:sz w:val="20"/>
          <w:szCs w:val="20"/>
        </w:rPr>
      </w:pPr>
      <w:r w:rsidRPr="00B076FE">
        <w:rPr>
          <w:rFonts w:ascii="Times New Roman" w:hAnsi="Times New Roman"/>
          <w:sz w:val="20"/>
          <w:szCs w:val="20"/>
        </w:rPr>
        <w:t xml:space="preserve">Front loaded RS with closed loop </w:t>
      </w:r>
      <w:proofErr w:type="gramStart"/>
      <w:r w:rsidRPr="00B076FE">
        <w:rPr>
          <w:rFonts w:ascii="Times New Roman" w:hAnsi="Times New Roman"/>
          <w:sz w:val="20"/>
          <w:szCs w:val="20"/>
        </w:rPr>
        <w:t>Tx</w:t>
      </w:r>
      <w:proofErr w:type="gramEnd"/>
      <w:r w:rsidRPr="00B076FE">
        <w:rPr>
          <w:rFonts w:ascii="Times New Roman" w:hAnsi="Times New Roman"/>
          <w:sz w:val="20"/>
          <w:szCs w:val="20"/>
        </w:rPr>
        <w:t xml:space="preserve"> diversity means the same beamforming needs to be shared across symbols. This may be restrictive for flexible scheduling from NW perspective.</w:t>
      </w:r>
    </w:p>
    <w:p w14:paraId="3A201F47" w14:textId="7D5CB072" w:rsidR="00D859FF" w:rsidRPr="00B076FE" w:rsidRDefault="00D859FF" w:rsidP="00D859FF">
      <w:pPr>
        <w:pStyle w:val="ListParagraph"/>
        <w:numPr>
          <w:ilvl w:val="1"/>
          <w:numId w:val="43"/>
        </w:numPr>
        <w:tabs>
          <w:tab w:val="left" w:pos="4297"/>
        </w:tabs>
        <w:jc w:val="both"/>
        <w:rPr>
          <w:rFonts w:ascii="Times New Roman" w:hAnsi="Times New Roman"/>
          <w:sz w:val="20"/>
          <w:szCs w:val="20"/>
        </w:rPr>
      </w:pPr>
      <w:r w:rsidRPr="00B076FE">
        <w:rPr>
          <w:rFonts w:ascii="Times New Roman" w:hAnsi="Times New Roman"/>
          <w:sz w:val="20"/>
          <w:szCs w:val="20"/>
        </w:rPr>
        <w:t>RS overhead is less.</w:t>
      </w:r>
    </w:p>
    <w:p w14:paraId="3655FAD9" w14:textId="6044412C" w:rsidR="00F709BE" w:rsidRPr="00B076FE" w:rsidRDefault="00F709BE" w:rsidP="00F709BE">
      <w:pPr>
        <w:pStyle w:val="ListParagraph"/>
        <w:numPr>
          <w:ilvl w:val="0"/>
          <w:numId w:val="43"/>
        </w:numPr>
        <w:tabs>
          <w:tab w:val="left" w:pos="4297"/>
        </w:tabs>
        <w:jc w:val="both"/>
        <w:rPr>
          <w:rFonts w:ascii="Times New Roman" w:hAnsi="Times New Roman"/>
          <w:sz w:val="20"/>
          <w:szCs w:val="20"/>
        </w:rPr>
      </w:pPr>
      <w:r w:rsidRPr="00B076FE">
        <w:rPr>
          <w:rFonts w:ascii="Times New Roman" w:hAnsi="Times New Roman"/>
          <w:sz w:val="20"/>
          <w:szCs w:val="20"/>
        </w:rPr>
        <w:t>Repeated RS every symbol</w:t>
      </w:r>
    </w:p>
    <w:p w14:paraId="01EA71CD" w14:textId="4C5FB733" w:rsidR="00D859FF" w:rsidRPr="00B076FE" w:rsidRDefault="00D859FF" w:rsidP="00D859FF">
      <w:pPr>
        <w:pStyle w:val="ListParagraph"/>
        <w:numPr>
          <w:ilvl w:val="1"/>
          <w:numId w:val="43"/>
        </w:numPr>
        <w:tabs>
          <w:tab w:val="left" w:pos="4297"/>
        </w:tabs>
        <w:jc w:val="both"/>
        <w:rPr>
          <w:rFonts w:ascii="Times New Roman" w:hAnsi="Times New Roman"/>
          <w:sz w:val="20"/>
          <w:szCs w:val="20"/>
        </w:rPr>
      </w:pPr>
      <w:r w:rsidRPr="00B076FE">
        <w:rPr>
          <w:rFonts w:ascii="Times New Roman" w:hAnsi="Times New Roman"/>
          <w:sz w:val="20"/>
          <w:szCs w:val="20"/>
        </w:rPr>
        <w:t xml:space="preserve">Repeated RS implies that the channel estimation </w:t>
      </w:r>
      <w:proofErr w:type="gramStart"/>
      <w:r w:rsidRPr="00B076FE">
        <w:rPr>
          <w:rFonts w:ascii="Times New Roman" w:hAnsi="Times New Roman"/>
          <w:sz w:val="20"/>
          <w:szCs w:val="20"/>
        </w:rPr>
        <w:t>can be independently obtained</w:t>
      </w:r>
      <w:proofErr w:type="gramEnd"/>
      <w:r w:rsidRPr="00B076FE">
        <w:rPr>
          <w:rFonts w:ascii="Times New Roman" w:hAnsi="Times New Roman"/>
          <w:sz w:val="20"/>
          <w:szCs w:val="20"/>
        </w:rPr>
        <w:t xml:space="preserve"> </w:t>
      </w:r>
      <w:r w:rsidR="00025C0D" w:rsidRPr="00B076FE">
        <w:rPr>
          <w:rFonts w:ascii="Times New Roman" w:hAnsi="Times New Roman"/>
          <w:sz w:val="20"/>
          <w:szCs w:val="20"/>
        </w:rPr>
        <w:t xml:space="preserve">on </w:t>
      </w:r>
      <w:r w:rsidRPr="00B076FE">
        <w:rPr>
          <w:rFonts w:ascii="Times New Roman" w:hAnsi="Times New Roman"/>
          <w:sz w:val="20"/>
          <w:szCs w:val="20"/>
        </w:rPr>
        <w:t xml:space="preserve">each symbol. Therefore, TDM between OL and CL or between different UEs with CL </w:t>
      </w:r>
      <w:r w:rsidR="00025C0D" w:rsidRPr="00B076FE">
        <w:rPr>
          <w:rFonts w:ascii="Times New Roman" w:hAnsi="Times New Roman"/>
          <w:sz w:val="20"/>
          <w:szCs w:val="20"/>
        </w:rPr>
        <w:t xml:space="preserve">even </w:t>
      </w:r>
      <w:proofErr w:type="gramStart"/>
      <w:r w:rsidRPr="00B076FE">
        <w:rPr>
          <w:rFonts w:ascii="Times New Roman" w:hAnsi="Times New Roman"/>
          <w:sz w:val="20"/>
          <w:szCs w:val="20"/>
        </w:rPr>
        <w:t>can be allowed</w:t>
      </w:r>
      <w:proofErr w:type="gramEnd"/>
      <w:r w:rsidRPr="00B076FE">
        <w:rPr>
          <w:rFonts w:ascii="Times New Roman" w:hAnsi="Times New Roman"/>
          <w:sz w:val="20"/>
          <w:szCs w:val="20"/>
        </w:rPr>
        <w:t>.</w:t>
      </w:r>
    </w:p>
    <w:p w14:paraId="34B22CC6" w14:textId="54A3A2B5" w:rsidR="00D859FF" w:rsidRPr="00B076FE" w:rsidRDefault="00D859FF" w:rsidP="00D859FF">
      <w:pPr>
        <w:pStyle w:val="ListParagraph"/>
        <w:numPr>
          <w:ilvl w:val="1"/>
          <w:numId w:val="43"/>
        </w:numPr>
        <w:tabs>
          <w:tab w:val="left" w:pos="4297"/>
        </w:tabs>
        <w:jc w:val="both"/>
        <w:rPr>
          <w:rFonts w:ascii="Times New Roman" w:hAnsi="Times New Roman"/>
          <w:sz w:val="20"/>
          <w:szCs w:val="20"/>
        </w:rPr>
      </w:pPr>
      <w:r w:rsidRPr="00B076FE">
        <w:rPr>
          <w:rFonts w:ascii="Times New Roman" w:hAnsi="Times New Roman"/>
          <w:sz w:val="20"/>
          <w:szCs w:val="20"/>
        </w:rPr>
        <w:t>RS overhead is high.</w:t>
      </w:r>
    </w:p>
    <w:p w14:paraId="15540DD7" w14:textId="77777777" w:rsidR="00D859FF" w:rsidRPr="00B076FE" w:rsidRDefault="00D859FF" w:rsidP="00D859FF">
      <w:pPr>
        <w:tabs>
          <w:tab w:val="left" w:pos="4297"/>
        </w:tabs>
        <w:jc w:val="both"/>
      </w:pPr>
    </w:p>
    <w:p w14:paraId="1DE966F0" w14:textId="0F03F6F9" w:rsidR="00D859FF" w:rsidRPr="00025C0D" w:rsidRDefault="00025C0D" w:rsidP="00D859FF">
      <w:pPr>
        <w:tabs>
          <w:tab w:val="left" w:pos="4297"/>
        </w:tabs>
        <w:jc w:val="both"/>
        <w:rPr>
          <w:u w:val="single"/>
        </w:rPr>
      </w:pPr>
      <w:r w:rsidRPr="00025C0D">
        <w:rPr>
          <w:u w:val="single"/>
        </w:rPr>
        <w:t>Channel estimation for OL and CL</w:t>
      </w:r>
    </w:p>
    <w:p w14:paraId="12EBDF8C" w14:textId="77777777" w:rsidR="005F4A99" w:rsidRDefault="00CB5928" w:rsidP="00CB5928">
      <w:pPr>
        <w:tabs>
          <w:tab w:val="left" w:pos="4297"/>
        </w:tabs>
        <w:jc w:val="both"/>
      </w:pPr>
      <w:r>
        <w:t xml:space="preserve">OL </w:t>
      </w:r>
      <w:proofErr w:type="gramStart"/>
      <w:r>
        <w:t>Tx</w:t>
      </w:r>
      <w:proofErr w:type="gramEnd"/>
      <w:r>
        <w:t xml:space="preserve"> diversity and CL Tx diversity</w:t>
      </w:r>
      <w:r w:rsidR="00283366">
        <w:t xml:space="preserve"> may have different implication on RS requirements. According to the agreements so far, there is a control resource set configured by MIB/SI and there can be an additional control resource set configured via RRC. For simplicity, we call the first control resource set as common control resource set and the additional control resource set as UE-specific control resource set. Common search space </w:t>
      </w:r>
      <w:r w:rsidR="009D384B">
        <w:t xml:space="preserve">at least </w:t>
      </w:r>
      <w:r w:rsidR="00283366">
        <w:t>needs to be the part of common control resource set and UE-specific search space may be the part of common control resource set or UE-specific control resource set</w:t>
      </w:r>
      <w:r w:rsidR="009D384B">
        <w:rPr>
          <w:rStyle w:val="FootnoteReference"/>
        </w:rPr>
        <w:footnoteReference w:id="2"/>
      </w:r>
      <w:r w:rsidR="00283366">
        <w:t xml:space="preserve">. </w:t>
      </w:r>
    </w:p>
    <w:p w14:paraId="1B8534B8" w14:textId="5850C619" w:rsidR="00F709BE" w:rsidRDefault="009D384B" w:rsidP="00CB5928">
      <w:pPr>
        <w:tabs>
          <w:tab w:val="left" w:pos="4297"/>
        </w:tabs>
        <w:jc w:val="both"/>
      </w:pPr>
      <w:r>
        <w:t>For common search space</w:t>
      </w:r>
      <w:r w:rsidR="005F4A99">
        <w:t xml:space="preserve"> in common control resource set, we can assume the use of OL Tx diversity given that the PDCCH in common search space needs to be decoded by multiple UEs. For UE-specific search space, the CL </w:t>
      </w:r>
      <w:proofErr w:type="gramStart"/>
      <w:r w:rsidR="005F4A99">
        <w:t>Tx</w:t>
      </w:r>
      <w:proofErr w:type="gramEnd"/>
      <w:r w:rsidR="005F4A99">
        <w:t xml:space="preserve"> diversity is allowed to be used per UE (or group of UEs). Because of the lack of beamforming gain in OL Tx diversity, PDCCH performance in common search space will relatively suffer compared to the PDCCH with CL Tx diversity for a given aggregation level. Furthermore, it should be noted that NR PDCCH performance in common search space </w:t>
      </w:r>
      <w:proofErr w:type="gramStart"/>
      <w:r w:rsidR="005F4A99">
        <w:t>will</w:t>
      </w:r>
      <w:proofErr w:type="gramEnd"/>
      <w:r w:rsidR="005F4A99">
        <w:t xml:space="preserve"> also be inferior to LTE PDCCH given that there is no always-ON CRS. </w:t>
      </w:r>
      <w:r w:rsidR="001713A5">
        <w:t xml:space="preserve">In </w:t>
      </w:r>
      <w:proofErr w:type="gramStart"/>
      <w:r w:rsidR="001713A5">
        <w:t>general</w:t>
      </w:r>
      <w:proofErr w:type="gramEnd"/>
      <w:r w:rsidR="001713A5">
        <w:t xml:space="preserve"> it will be quite challenging to obtain a good quality channel estimate and corresponding performance in PDCCH. PDCCH with CL </w:t>
      </w:r>
      <w:proofErr w:type="gramStart"/>
      <w:r w:rsidR="001713A5">
        <w:t>Tx</w:t>
      </w:r>
      <w:proofErr w:type="gramEnd"/>
      <w:r w:rsidR="001713A5">
        <w:t xml:space="preserve"> diversity may get some help from the beamforming gain. Therefore, it is very important to provide </w:t>
      </w:r>
      <w:r w:rsidR="009574DA">
        <w:t xml:space="preserve">a good channel estimate for OL </w:t>
      </w:r>
      <w:proofErr w:type="gramStart"/>
      <w:r w:rsidR="009574DA">
        <w:t>Tx</w:t>
      </w:r>
      <w:proofErr w:type="gramEnd"/>
      <w:r w:rsidR="009574DA">
        <w:t xml:space="preserve"> diversity PDCCH in common search space. It </w:t>
      </w:r>
      <w:proofErr w:type="gramStart"/>
      <w:r w:rsidR="009574DA">
        <w:t>is proposed</w:t>
      </w:r>
      <w:proofErr w:type="gramEnd"/>
      <w:r w:rsidR="009574DA">
        <w:t xml:space="preserve"> to provide wideband channel estimation capability for common search space. Assuming we will introduce only higher level or aggregation levels (e.g., AL4/8)</w:t>
      </w:r>
      <w:r w:rsidR="006A7F27">
        <w:t xml:space="preserve"> for common search space</w:t>
      </w:r>
      <w:r w:rsidR="009574DA">
        <w:t>, the localized common search space should be able to provide enough frequency selectivity even with localized configuration. Here is the proposal:</w:t>
      </w:r>
    </w:p>
    <w:p w14:paraId="41AF7538" w14:textId="558C16F5" w:rsidR="009574DA" w:rsidRPr="00454173" w:rsidRDefault="009574DA" w:rsidP="00454173">
      <w:pPr>
        <w:pStyle w:val="ListParagraph"/>
        <w:numPr>
          <w:ilvl w:val="0"/>
          <w:numId w:val="46"/>
        </w:numPr>
        <w:tabs>
          <w:tab w:val="left" w:pos="4297"/>
        </w:tabs>
        <w:jc w:val="both"/>
        <w:rPr>
          <w:rFonts w:ascii="Times New Roman" w:hAnsi="Times New Roman"/>
          <w:sz w:val="20"/>
          <w:szCs w:val="20"/>
        </w:rPr>
      </w:pPr>
      <w:r w:rsidRPr="00B076FE">
        <w:rPr>
          <w:rFonts w:ascii="Times New Roman" w:hAnsi="Times New Roman"/>
          <w:sz w:val="20"/>
          <w:szCs w:val="20"/>
        </w:rPr>
        <w:t xml:space="preserve">Common control resource set is configured with </w:t>
      </w:r>
      <w:r w:rsidR="00815BB4" w:rsidRPr="00B076FE">
        <w:rPr>
          <w:rFonts w:ascii="Times New Roman" w:hAnsi="Times New Roman"/>
          <w:sz w:val="20"/>
          <w:szCs w:val="20"/>
        </w:rPr>
        <w:t xml:space="preserve">contiguous </w:t>
      </w:r>
      <w:r w:rsidRPr="00B076FE">
        <w:rPr>
          <w:rFonts w:ascii="Times New Roman" w:hAnsi="Times New Roman"/>
          <w:sz w:val="20"/>
          <w:szCs w:val="20"/>
        </w:rPr>
        <w:t>allocation</w:t>
      </w:r>
      <w:r w:rsidR="00815BB4" w:rsidRPr="00B076FE">
        <w:rPr>
          <w:rFonts w:ascii="Times New Roman" w:hAnsi="Times New Roman"/>
          <w:sz w:val="20"/>
          <w:szCs w:val="20"/>
        </w:rPr>
        <w:t xml:space="preserve"> in frequency and </w:t>
      </w:r>
      <w:r w:rsidRPr="00454173">
        <w:rPr>
          <w:rFonts w:ascii="Times New Roman" w:hAnsi="Times New Roman"/>
          <w:sz w:val="20"/>
          <w:szCs w:val="20"/>
        </w:rPr>
        <w:t>UE can perform</w:t>
      </w:r>
      <w:r w:rsidR="00815BB4" w:rsidRPr="00B076FE">
        <w:rPr>
          <w:rFonts w:ascii="Times New Roman" w:hAnsi="Times New Roman"/>
          <w:sz w:val="20"/>
          <w:szCs w:val="20"/>
        </w:rPr>
        <w:t xml:space="preserve"> WB</w:t>
      </w:r>
      <w:r w:rsidRPr="00454173">
        <w:rPr>
          <w:rFonts w:ascii="Times New Roman" w:hAnsi="Times New Roman"/>
          <w:sz w:val="20"/>
          <w:szCs w:val="20"/>
        </w:rPr>
        <w:t xml:space="preserve"> channel estimation over the configured common control resource set</w:t>
      </w:r>
    </w:p>
    <w:p w14:paraId="2DCC8FEA" w14:textId="1BB9CDE4" w:rsidR="006A7F27" w:rsidRPr="00B076FE" w:rsidRDefault="006A7F27" w:rsidP="009574DA">
      <w:pPr>
        <w:pStyle w:val="ListParagraph"/>
        <w:numPr>
          <w:ilvl w:val="1"/>
          <w:numId w:val="46"/>
        </w:numPr>
        <w:tabs>
          <w:tab w:val="left" w:pos="4297"/>
        </w:tabs>
        <w:jc w:val="both"/>
        <w:rPr>
          <w:rFonts w:ascii="Times New Roman" w:hAnsi="Times New Roman"/>
          <w:sz w:val="20"/>
          <w:szCs w:val="20"/>
        </w:rPr>
      </w:pPr>
      <w:r w:rsidRPr="00B076FE">
        <w:rPr>
          <w:rFonts w:ascii="Times New Roman" w:hAnsi="Times New Roman"/>
          <w:sz w:val="20"/>
          <w:szCs w:val="20"/>
        </w:rPr>
        <w:t>Common search space will utilize the channel estimate from WB channel estimation over the common control resource set</w:t>
      </w:r>
    </w:p>
    <w:p w14:paraId="6FB53AE1" w14:textId="1FC6FAB2" w:rsidR="009574DA" w:rsidRPr="00B076FE" w:rsidRDefault="009574DA" w:rsidP="009574DA">
      <w:pPr>
        <w:pStyle w:val="ListParagraph"/>
        <w:numPr>
          <w:ilvl w:val="1"/>
          <w:numId w:val="46"/>
        </w:numPr>
        <w:tabs>
          <w:tab w:val="left" w:pos="4297"/>
        </w:tabs>
        <w:jc w:val="both"/>
        <w:rPr>
          <w:rFonts w:ascii="Times New Roman" w:hAnsi="Times New Roman"/>
          <w:sz w:val="20"/>
          <w:szCs w:val="20"/>
        </w:rPr>
      </w:pPr>
      <w:r w:rsidRPr="00B076FE">
        <w:rPr>
          <w:rFonts w:ascii="Times New Roman" w:hAnsi="Times New Roman"/>
          <w:sz w:val="20"/>
          <w:szCs w:val="20"/>
        </w:rPr>
        <w:t xml:space="preserve">If UE-specific search space is configured within the common control resource set, OL Tx diversity is assumed </w:t>
      </w:r>
      <w:r w:rsidR="00916099" w:rsidRPr="00B076FE">
        <w:rPr>
          <w:rFonts w:ascii="Times New Roman" w:hAnsi="Times New Roman"/>
          <w:sz w:val="20"/>
          <w:szCs w:val="20"/>
        </w:rPr>
        <w:t>for UE-specific search space</w:t>
      </w:r>
    </w:p>
    <w:p w14:paraId="0C652848" w14:textId="59CC7A80" w:rsidR="00916099" w:rsidRDefault="00815BB4" w:rsidP="009574DA">
      <w:pPr>
        <w:pStyle w:val="ListParagraph"/>
        <w:numPr>
          <w:ilvl w:val="1"/>
          <w:numId w:val="46"/>
        </w:numPr>
        <w:tabs>
          <w:tab w:val="left" w:pos="4297"/>
        </w:tabs>
        <w:jc w:val="both"/>
        <w:rPr>
          <w:sz w:val="20"/>
          <w:szCs w:val="20"/>
        </w:rPr>
      </w:pPr>
      <w:r w:rsidRPr="00326A57">
        <w:rPr>
          <w:rFonts w:ascii="Times New Roman" w:hAnsi="Times New Roman"/>
          <w:sz w:val="20"/>
          <w:szCs w:val="20"/>
        </w:rPr>
        <w:t xml:space="preserve">If CL Tx diversity is preferred for UE-specific search space, </w:t>
      </w:r>
      <w:r>
        <w:rPr>
          <w:rFonts w:ascii="Times New Roman" w:hAnsi="Times New Roman"/>
          <w:sz w:val="20"/>
          <w:szCs w:val="20"/>
        </w:rPr>
        <w:t>UE-specific search space should be configured outside common control resource set</w:t>
      </w:r>
    </w:p>
    <w:p w14:paraId="054CF0D4" w14:textId="148466A1" w:rsidR="00916099" w:rsidRPr="00B076FE" w:rsidRDefault="00916099" w:rsidP="00916099">
      <w:pPr>
        <w:pStyle w:val="ListParagraph"/>
        <w:numPr>
          <w:ilvl w:val="0"/>
          <w:numId w:val="46"/>
        </w:numPr>
        <w:tabs>
          <w:tab w:val="left" w:pos="4297"/>
        </w:tabs>
        <w:jc w:val="both"/>
        <w:rPr>
          <w:rFonts w:ascii="Times New Roman" w:hAnsi="Times New Roman"/>
          <w:sz w:val="20"/>
          <w:szCs w:val="20"/>
        </w:rPr>
      </w:pPr>
      <w:r w:rsidRPr="00B076FE">
        <w:rPr>
          <w:rFonts w:ascii="Times New Roman" w:hAnsi="Times New Roman"/>
          <w:sz w:val="20"/>
          <w:szCs w:val="20"/>
        </w:rPr>
        <w:t xml:space="preserve">UE specific control resource set can be configured with </w:t>
      </w:r>
      <w:r w:rsidR="00815BB4" w:rsidRPr="00B076FE">
        <w:rPr>
          <w:rFonts w:ascii="Times New Roman" w:hAnsi="Times New Roman"/>
          <w:sz w:val="20"/>
          <w:szCs w:val="20"/>
        </w:rPr>
        <w:t>contiguous or non-contiguous</w:t>
      </w:r>
      <w:r w:rsidRPr="00B076FE">
        <w:rPr>
          <w:rFonts w:ascii="Times New Roman" w:hAnsi="Times New Roman"/>
          <w:sz w:val="20"/>
          <w:szCs w:val="20"/>
        </w:rPr>
        <w:t xml:space="preserve"> allocation</w:t>
      </w:r>
      <w:r w:rsidR="00815BB4" w:rsidRPr="00B076FE">
        <w:rPr>
          <w:rFonts w:ascii="Times New Roman" w:hAnsi="Times New Roman"/>
          <w:sz w:val="20"/>
          <w:szCs w:val="20"/>
        </w:rPr>
        <w:t xml:space="preserve"> in frequency</w:t>
      </w:r>
    </w:p>
    <w:p w14:paraId="43110E2E" w14:textId="54DDD68A" w:rsidR="00007730" w:rsidRDefault="00007730" w:rsidP="00007730">
      <w:pPr>
        <w:tabs>
          <w:tab w:val="left" w:pos="4297"/>
        </w:tabs>
        <w:jc w:val="both"/>
      </w:pPr>
      <w:r>
        <w:lastRenderedPageBreak/>
        <w:t>The detailed performance comparison</w:t>
      </w:r>
      <w:r w:rsidR="006A7F27">
        <w:t xml:space="preserve"> with respect to different channel estimation assumption</w:t>
      </w:r>
      <w:r>
        <w:t xml:space="preserve"> </w:t>
      </w:r>
      <w:proofErr w:type="gramStart"/>
      <w:r>
        <w:t>is provided</w:t>
      </w:r>
      <w:proofErr w:type="gramEnd"/>
      <w:r>
        <w:t xml:space="preserve"> in section 3.</w:t>
      </w:r>
    </w:p>
    <w:p w14:paraId="46FDCEDE" w14:textId="65EA8196" w:rsidR="00007730" w:rsidRPr="00007730" w:rsidRDefault="00007730" w:rsidP="00007730">
      <w:pPr>
        <w:pStyle w:val="Heading1"/>
      </w:pPr>
      <w:r>
        <w:t xml:space="preserve">OL </w:t>
      </w:r>
      <w:proofErr w:type="gramStart"/>
      <w:r>
        <w:t>Tx</w:t>
      </w:r>
      <w:proofErr w:type="gramEnd"/>
      <w:r>
        <w:t xml:space="preserve"> Diversity PDCCH Performance w.r.t. Channel Estimation Sch</w:t>
      </w:r>
      <w:r w:rsidR="007431DD">
        <w:t>e</w:t>
      </w:r>
      <w:r>
        <w:t>mes</w:t>
      </w:r>
    </w:p>
    <w:p w14:paraId="5C99D62E" w14:textId="11F91C8D" w:rsidR="00F10832" w:rsidRDefault="00DE3E5C" w:rsidP="00DE3E5C">
      <w:r>
        <w:t xml:space="preserve">The performance comparison with channel estimation assumption </w:t>
      </w:r>
      <w:proofErr w:type="gramStart"/>
      <w:r>
        <w:t>is presented</w:t>
      </w:r>
      <w:proofErr w:type="gramEnd"/>
      <w:r w:rsidR="00E266F1">
        <w:t xml:space="preserve"> in this section</w:t>
      </w:r>
      <w:r>
        <w:t xml:space="preserve">. The simulation parameters </w:t>
      </w:r>
      <w:proofErr w:type="gramStart"/>
      <w:r>
        <w:t>are shown</w:t>
      </w:r>
      <w:proofErr w:type="gramEnd"/>
      <w:r>
        <w:t xml:space="preserve"> in Table 1.</w:t>
      </w:r>
    </w:p>
    <w:p w14:paraId="4C77EA5D" w14:textId="450E8073" w:rsidR="00DE3E5C" w:rsidRDefault="00DE3E5C" w:rsidP="00E266F1">
      <w:pPr>
        <w:pStyle w:val="Caption"/>
        <w:keepNext/>
        <w:jc w:val="center"/>
      </w:pPr>
      <w:r>
        <w:t xml:space="preserve">Table </w:t>
      </w:r>
      <w:fldSimple w:instr=" SEQ Table \* ARABIC ">
        <w:r>
          <w:rPr>
            <w:noProof/>
          </w:rPr>
          <w:t>1</w:t>
        </w:r>
      </w:fldSimple>
      <w:r>
        <w:t>: Simulation parameters</w:t>
      </w:r>
    </w:p>
    <w:tbl>
      <w:tblPr>
        <w:tblStyle w:val="GridTable4-Accent1"/>
        <w:tblW w:w="9355" w:type="dxa"/>
        <w:jc w:val="center"/>
        <w:tblInd w:w="0" w:type="dxa"/>
        <w:tblLook w:val="0420" w:firstRow="1" w:lastRow="0" w:firstColumn="0" w:lastColumn="0" w:noHBand="0" w:noVBand="1"/>
      </w:tblPr>
      <w:tblGrid>
        <w:gridCol w:w="3685"/>
        <w:gridCol w:w="5670"/>
      </w:tblGrid>
      <w:tr w:rsidR="00DE3E5C" w14:paraId="51BE8072" w14:textId="77777777" w:rsidTr="005D0716">
        <w:trPr>
          <w:cnfStyle w:val="100000000000" w:firstRow="1" w:lastRow="0" w:firstColumn="0" w:lastColumn="0" w:oddVBand="0" w:evenVBand="0" w:oddHBand="0" w:evenHBand="0" w:firstRowFirstColumn="0" w:firstRowLastColumn="0" w:lastRowFirstColumn="0" w:lastRowLastColumn="0"/>
          <w:trHeight w:val="23"/>
          <w:jc w:val="center"/>
        </w:trPr>
        <w:tc>
          <w:tcPr>
            <w:tcW w:w="3685" w:type="dxa"/>
            <w:hideMark/>
          </w:tcPr>
          <w:p w14:paraId="49D5A813" w14:textId="77777777" w:rsidR="00DE3E5C" w:rsidRPr="004B32E8" w:rsidRDefault="00DE3E5C" w:rsidP="005D0716">
            <w:pPr>
              <w:spacing w:after="0"/>
              <w:jc w:val="center"/>
              <w:rPr>
                <w:rFonts w:cs="Times New Roman"/>
                <w:b w:val="0"/>
                <w:szCs w:val="24"/>
              </w:rPr>
            </w:pPr>
            <w:r w:rsidRPr="004B32E8">
              <w:rPr>
                <w:rFonts w:cs="Times New Roman"/>
                <w:szCs w:val="24"/>
              </w:rPr>
              <w:t>Parameter</w:t>
            </w:r>
          </w:p>
        </w:tc>
        <w:tc>
          <w:tcPr>
            <w:tcW w:w="5670" w:type="dxa"/>
            <w:hideMark/>
          </w:tcPr>
          <w:p w14:paraId="249DB892" w14:textId="77777777" w:rsidR="00DE3E5C" w:rsidRPr="004B32E8" w:rsidRDefault="00DE3E5C" w:rsidP="005D0716">
            <w:pPr>
              <w:spacing w:after="0"/>
              <w:jc w:val="center"/>
              <w:rPr>
                <w:rFonts w:cs="Times New Roman"/>
                <w:b w:val="0"/>
                <w:szCs w:val="24"/>
              </w:rPr>
            </w:pPr>
            <w:r w:rsidRPr="004B32E8">
              <w:rPr>
                <w:rFonts w:cs="Times New Roman"/>
                <w:szCs w:val="24"/>
              </w:rPr>
              <w:t>Value</w:t>
            </w:r>
          </w:p>
        </w:tc>
      </w:tr>
      <w:tr w:rsidR="00DE3E5C" w14:paraId="41C3D01D" w14:textId="77777777" w:rsidTr="005D0716">
        <w:trPr>
          <w:cnfStyle w:val="000000100000" w:firstRow="0" w:lastRow="0" w:firstColumn="0" w:lastColumn="0" w:oddVBand="0" w:evenVBand="0" w:oddHBand="1" w:evenHBand="0" w:firstRowFirstColumn="0" w:firstRowLastColumn="0" w:lastRowFirstColumn="0" w:lastRowLastColumn="0"/>
          <w:trHeight w:val="70"/>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452733A" w14:textId="77777777" w:rsidR="00DE3E5C" w:rsidRPr="004B32E8" w:rsidRDefault="00DE3E5C" w:rsidP="005D0716">
            <w:pPr>
              <w:spacing w:after="0"/>
              <w:jc w:val="center"/>
              <w:rPr>
                <w:rFonts w:cs="Times New Roman"/>
                <w:szCs w:val="24"/>
              </w:rPr>
            </w:pPr>
            <w:r w:rsidRPr="004B32E8">
              <w:rPr>
                <w:rFonts w:cs="Times New Roman"/>
                <w:szCs w:val="24"/>
              </w:rPr>
              <w:t>Channel profile</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3A1B3B6E" w14:textId="304D3904" w:rsidR="00DE3E5C" w:rsidRPr="004B32E8" w:rsidRDefault="00DE3E5C" w:rsidP="00DE3E5C">
            <w:pPr>
              <w:spacing w:after="0"/>
              <w:jc w:val="center"/>
              <w:rPr>
                <w:rFonts w:cs="Times New Roman"/>
                <w:szCs w:val="24"/>
              </w:rPr>
            </w:pPr>
            <w:r w:rsidRPr="004B32E8">
              <w:rPr>
                <w:rFonts w:cs="Times New Roman"/>
                <w:szCs w:val="24"/>
              </w:rPr>
              <w:t>TDL-C 300ns</w:t>
            </w:r>
          </w:p>
        </w:tc>
      </w:tr>
      <w:tr w:rsidR="00DE3E5C" w14:paraId="53BA8A39" w14:textId="77777777" w:rsidTr="005D0716">
        <w:trPr>
          <w:trHeight w:val="309"/>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013CA9F" w14:textId="77777777" w:rsidR="00DE3E5C" w:rsidRPr="004B32E8" w:rsidRDefault="00DE3E5C" w:rsidP="005D0716">
            <w:pPr>
              <w:spacing w:after="0"/>
              <w:jc w:val="center"/>
              <w:rPr>
                <w:rFonts w:cs="Times New Roman"/>
                <w:szCs w:val="24"/>
              </w:rPr>
            </w:pPr>
            <w:r w:rsidRPr="004B32E8">
              <w:rPr>
                <w:rFonts w:cs="Times New Roman"/>
                <w:szCs w:val="24"/>
              </w:rPr>
              <w:t>Number of BTS antennas</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250E052" w14:textId="77777777" w:rsidR="00DE3E5C" w:rsidRPr="004B32E8" w:rsidRDefault="00DE3E5C" w:rsidP="005D0716">
            <w:pPr>
              <w:spacing w:after="0"/>
              <w:jc w:val="center"/>
              <w:rPr>
                <w:rFonts w:cs="Times New Roman"/>
                <w:szCs w:val="24"/>
              </w:rPr>
            </w:pPr>
            <w:r w:rsidRPr="004B32E8">
              <w:rPr>
                <w:rFonts w:cs="Times New Roman"/>
                <w:szCs w:val="24"/>
              </w:rPr>
              <w:t>2</w:t>
            </w:r>
          </w:p>
        </w:tc>
      </w:tr>
      <w:tr w:rsidR="00DE3E5C" w14:paraId="5B962796" w14:textId="77777777" w:rsidTr="005D0716">
        <w:trPr>
          <w:cnfStyle w:val="000000100000" w:firstRow="0" w:lastRow="0" w:firstColumn="0" w:lastColumn="0" w:oddVBand="0" w:evenVBand="0" w:oddHBand="1" w:evenHBand="0" w:firstRowFirstColumn="0" w:firstRowLastColumn="0" w:lastRowFirstColumn="0" w:lastRowLastColumn="0"/>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36557DC8" w14:textId="77777777" w:rsidR="00DE3E5C" w:rsidRPr="004B32E8" w:rsidRDefault="00DE3E5C" w:rsidP="005D0716">
            <w:pPr>
              <w:spacing w:after="0"/>
              <w:jc w:val="center"/>
              <w:rPr>
                <w:rFonts w:cs="Times New Roman"/>
                <w:szCs w:val="24"/>
              </w:rPr>
            </w:pPr>
            <w:r w:rsidRPr="004B32E8">
              <w:rPr>
                <w:rFonts w:cs="Times New Roman"/>
                <w:szCs w:val="24"/>
              </w:rPr>
              <w:t>Number of UE antennas</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8C729AB" w14:textId="77777777" w:rsidR="00DE3E5C" w:rsidRPr="004B32E8" w:rsidRDefault="00DE3E5C" w:rsidP="005D0716">
            <w:pPr>
              <w:spacing w:after="0"/>
              <w:jc w:val="center"/>
              <w:rPr>
                <w:rFonts w:cs="Times New Roman"/>
                <w:szCs w:val="24"/>
              </w:rPr>
            </w:pPr>
            <w:r w:rsidRPr="004B32E8">
              <w:rPr>
                <w:rFonts w:cs="Times New Roman"/>
                <w:szCs w:val="24"/>
              </w:rPr>
              <w:t>2</w:t>
            </w:r>
          </w:p>
        </w:tc>
      </w:tr>
      <w:tr w:rsidR="00DE3E5C" w14:paraId="5D07F2FD" w14:textId="77777777" w:rsidTr="005D0716">
        <w:trPr>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4A0906A7" w14:textId="1501CB80" w:rsidR="00DE3E5C" w:rsidRPr="004B32E8" w:rsidRDefault="00DE3E5C" w:rsidP="005D0716">
            <w:pPr>
              <w:spacing w:after="0"/>
              <w:jc w:val="center"/>
              <w:rPr>
                <w:szCs w:val="24"/>
              </w:rPr>
            </w:pPr>
            <w:r>
              <w:rPr>
                <w:szCs w:val="24"/>
              </w:rPr>
              <w:t>Tx diversity</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575117B9" w14:textId="706561AF" w:rsidR="00DE3E5C" w:rsidRPr="004B32E8" w:rsidRDefault="00DE3E5C" w:rsidP="009B0892">
            <w:pPr>
              <w:spacing w:after="0"/>
              <w:jc w:val="center"/>
              <w:rPr>
                <w:szCs w:val="24"/>
              </w:rPr>
            </w:pPr>
            <w:r>
              <w:rPr>
                <w:szCs w:val="24"/>
              </w:rPr>
              <w:t xml:space="preserve">SFBC, </w:t>
            </w:r>
            <w:r w:rsidR="00170263">
              <w:rPr>
                <w:szCs w:val="24"/>
              </w:rPr>
              <w:t>Single port Tx diversity (</w:t>
            </w:r>
            <w:r w:rsidR="009B0892">
              <w:rPr>
                <w:szCs w:val="24"/>
              </w:rPr>
              <w:t>SCDD</w:t>
            </w:r>
            <w:r w:rsidR="00170263">
              <w:rPr>
                <w:szCs w:val="24"/>
              </w:rPr>
              <w:t>)</w:t>
            </w:r>
          </w:p>
        </w:tc>
      </w:tr>
      <w:tr w:rsidR="00DE3E5C" w14:paraId="61C3C08F" w14:textId="77777777" w:rsidTr="005D0716">
        <w:trPr>
          <w:cnfStyle w:val="000000100000" w:firstRow="0" w:lastRow="0" w:firstColumn="0" w:lastColumn="0" w:oddVBand="0" w:evenVBand="0" w:oddHBand="1" w:evenHBand="0" w:firstRowFirstColumn="0" w:firstRowLastColumn="0" w:lastRowFirstColumn="0" w:lastRowLastColumn="0"/>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2A79949D" w14:textId="77777777" w:rsidR="00DE3E5C" w:rsidRPr="004B32E8" w:rsidRDefault="00DE3E5C" w:rsidP="005D0716">
            <w:pPr>
              <w:spacing w:after="0"/>
              <w:jc w:val="center"/>
              <w:rPr>
                <w:szCs w:val="24"/>
              </w:rPr>
            </w:pPr>
            <w:r w:rsidRPr="004B32E8">
              <w:rPr>
                <w:szCs w:val="24"/>
              </w:rPr>
              <w:t>beamforming scheme</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15470CD3" w14:textId="1D911809" w:rsidR="00DE3E5C" w:rsidRPr="004B32E8" w:rsidRDefault="00DE3E5C" w:rsidP="005D0716">
            <w:pPr>
              <w:spacing w:after="0"/>
              <w:jc w:val="center"/>
              <w:rPr>
                <w:szCs w:val="24"/>
              </w:rPr>
            </w:pPr>
            <w:r w:rsidRPr="004B32E8">
              <w:rPr>
                <w:szCs w:val="24"/>
              </w:rPr>
              <w:t>no beamforming</w:t>
            </w:r>
            <w:r>
              <w:rPr>
                <w:szCs w:val="24"/>
              </w:rPr>
              <w:t xml:space="preserve"> (OL)</w:t>
            </w:r>
          </w:p>
        </w:tc>
      </w:tr>
      <w:tr w:rsidR="00DE3E5C" w14:paraId="5B917C20" w14:textId="77777777" w:rsidTr="005D0716">
        <w:trPr>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2DBF19D9" w14:textId="77777777" w:rsidR="00DE3E5C" w:rsidRPr="004B32E8" w:rsidRDefault="00DE3E5C" w:rsidP="005D0716">
            <w:pPr>
              <w:spacing w:after="0"/>
              <w:jc w:val="center"/>
              <w:rPr>
                <w:rFonts w:cs="Times New Roman"/>
                <w:szCs w:val="24"/>
              </w:rPr>
            </w:pPr>
            <w:r w:rsidRPr="004B32E8">
              <w:rPr>
                <w:rFonts w:cs="Times New Roman"/>
                <w:szCs w:val="24"/>
              </w:rPr>
              <w:t>Number of REGs(containing RS) for each CCE</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74F62E4" w14:textId="65A09FBD" w:rsidR="00DE3E5C" w:rsidRPr="004B32E8" w:rsidRDefault="00DE3E5C" w:rsidP="00DE3E5C">
            <w:pPr>
              <w:spacing w:after="0"/>
              <w:jc w:val="center"/>
              <w:rPr>
                <w:rFonts w:cs="Times New Roman"/>
                <w:szCs w:val="24"/>
              </w:rPr>
            </w:pPr>
            <w:r w:rsidRPr="004B32E8">
              <w:rPr>
                <w:rFonts w:cs="Times New Roman"/>
                <w:szCs w:val="24"/>
              </w:rPr>
              <w:t>6 REGs (1 REG = 1PR</w:t>
            </w:r>
            <w:r>
              <w:rPr>
                <w:rFonts w:cs="Times New Roman"/>
                <w:szCs w:val="24"/>
              </w:rPr>
              <w:t>B</w:t>
            </w:r>
            <w:r w:rsidRPr="004B32E8">
              <w:rPr>
                <w:rFonts w:cs="Times New Roman"/>
                <w:szCs w:val="24"/>
              </w:rPr>
              <w:t xml:space="preserve"> in a single OFDM symbol)</w:t>
            </w:r>
          </w:p>
        </w:tc>
      </w:tr>
      <w:tr w:rsidR="00DE3E5C" w14:paraId="3E7F7F77" w14:textId="77777777" w:rsidTr="005D0716">
        <w:trPr>
          <w:cnfStyle w:val="000000100000" w:firstRow="0" w:lastRow="0" w:firstColumn="0" w:lastColumn="0" w:oddVBand="0" w:evenVBand="0" w:oddHBand="1" w:evenHBand="0" w:firstRowFirstColumn="0" w:firstRowLastColumn="0" w:lastRowFirstColumn="0" w:lastRowLastColumn="0"/>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7753B369" w14:textId="77777777" w:rsidR="00DE3E5C" w:rsidRPr="004B32E8" w:rsidRDefault="00DE3E5C" w:rsidP="005D0716">
            <w:pPr>
              <w:spacing w:after="0"/>
              <w:jc w:val="center"/>
              <w:rPr>
                <w:rFonts w:cs="Times New Roman"/>
                <w:szCs w:val="24"/>
              </w:rPr>
            </w:pPr>
            <w:r w:rsidRPr="004B32E8">
              <w:rPr>
                <w:rFonts w:cs="Times New Roman"/>
                <w:szCs w:val="24"/>
              </w:rPr>
              <w:t>Number of symbols</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116B08A" w14:textId="77777777" w:rsidR="00DE3E5C" w:rsidRPr="004B32E8" w:rsidRDefault="00DE3E5C" w:rsidP="005D0716">
            <w:pPr>
              <w:spacing w:after="0"/>
              <w:jc w:val="center"/>
              <w:rPr>
                <w:rFonts w:cs="Times New Roman"/>
                <w:szCs w:val="24"/>
              </w:rPr>
            </w:pPr>
            <w:r w:rsidRPr="004B32E8">
              <w:rPr>
                <w:rFonts w:cs="Times New Roman"/>
                <w:szCs w:val="24"/>
              </w:rPr>
              <w:t>1</w:t>
            </w:r>
          </w:p>
        </w:tc>
      </w:tr>
      <w:tr w:rsidR="00DE3E5C" w14:paraId="7C6F6FBD" w14:textId="77777777" w:rsidTr="005D0716">
        <w:trPr>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3C49D032" w14:textId="77777777" w:rsidR="00DE3E5C" w:rsidRPr="004B32E8" w:rsidRDefault="00DE3E5C" w:rsidP="005D0716">
            <w:pPr>
              <w:spacing w:after="0"/>
              <w:jc w:val="center"/>
              <w:rPr>
                <w:szCs w:val="24"/>
              </w:rPr>
            </w:pPr>
            <w:r w:rsidRPr="004B32E8">
              <w:rPr>
                <w:szCs w:val="24"/>
              </w:rPr>
              <w:t>subcarrier spacing</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76C4F171" w14:textId="77777777" w:rsidR="00DE3E5C" w:rsidRPr="004B32E8" w:rsidRDefault="00DE3E5C" w:rsidP="005D0716">
            <w:pPr>
              <w:spacing w:after="0"/>
              <w:jc w:val="center"/>
              <w:rPr>
                <w:szCs w:val="24"/>
              </w:rPr>
            </w:pPr>
            <w:r w:rsidRPr="004B32E8">
              <w:rPr>
                <w:szCs w:val="24"/>
              </w:rPr>
              <w:t>30KHz</w:t>
            </w:r>
          </w:p>
        </w:tc>
      </w:tr>
      <w:tr w:rsidR="00DE3E5C" w14:paraId="6E50D208" w14:textId="77777777" w:rsidTr="005D0716">
        <w:trPr>
          <w:cnfStyle w:val="000000100000" w:firstRow="0" w:lastRow="0" w:firstColumn="0" w:lastColumn="0" w:oddVBand="0" w:evenVBand="0" w:oddHBand="1" w:evenHBand="0" w:firstRowFirstColumn="0" w:firstRowLastColumn="0" w:lastRowFirstColumn="0" w:lastRowLastColumn="0"/>
          <w:trHeight w:val="278"/>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5A1E90E2" w14:textId="3F9EA111" w:rsidR="00DE3E5C" w:rsidRPr="004B32E8" w:rsidRDefault="00DE3E5C" w:rsidP="005D0716">
            <w:pPr>
              <w:spacing w:after="0"/>
              <w:jc w:val="center"/>
              <w:rPr>
                <w:szCs w:val="24"/>
              </w:rPr>
            </w:pPr>
            <w:r>
              <w:rPr>
                <w:szCs w:val="24"/>
              </w:rPr>
              <w:t>Control Resource Set</w:t>
            </w:r>
            <w:r w:rsidRPr="004B32E8">
              <w:rPr>
                <w:szCs w:val="24"/>
              </w:rPr>
              <w:t xml:space="preserve"> BW</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61A9053E" w14:textId="77777777" w:rsidR="00DE3E5C" w:rsidRPr="004B32E8" w:rsidRDefault="00DE3E5C" w:rsidP="005D0716">
            <w:pPr>
              <w:spacing w:after="0"/>
              <w:jc w:val="center"/>
              <w:rPr>
                <w:szCs w:val="24"/>
              </w:rPr>
            </w:pPr>
            <w:r w:rsidRPr="004B32E8">
              <w:rPr>
                <w:szCs w:val="24"/>
              </w:rPr>
              <w:t>17.28MHz</w:t>
            </w:r>
          </w:p>
          <w:p w14:paraId="2C3AFEE1" w14:textId="77777777" w:rsidR="00DE3E5C" w:rsidRPr="004B32E8" w:rsidRDefault="00DE3E5C" w:rsidP="005D0716">
            <w:pPr>
              <w:spacing w:after="0"/>
              <w:jc w:val="center"/>
              <w:rPr>
                <w:szCs w:val="24"/>
              </w:rPr>
            </w:pPr>
            <w:r w:rsidRPr="004B32E8">
              <w:rPr>
                <w:szCs w:val="24"/>
              </w:rPr>
              <w:t>576 REs = 12*6*8 REs (can accommodate one AL8)</w:t>
            </w:r>
          </w:p>
        </w:tc>
      </w:tr>
      <w:tr w:rsidR="00DE3E5C" w14:paraId="5119E27C" w14:textId="77777777" w:rsidTr="005D0716">
        <w:trPr>
          <w:trHeight w:val="70"/>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2D966402" w14:textId="77777777" w:rsidR="00DE3E5C" w:rsidRPr="004B32E8" w:rsidRDefault="00DE3E5C" w:rsidP="005D0716">
            <w:pPr>
              <w:spacing w:after="0"/>
              <w:jc w:val="center"/>
              <w:rPr>
                <w:rFonts w:cs="Times New Roman"/>
                <w:szCs w:val="24"/>
              </w:rPr>
            </w:pPr>
            <w:r w:rsidRPr="004B32E8">
              <w:rPr>
                <w:rFonts w:cs="Times New Roman"/>
                <w:szCs w:val="24"/>
              </w:rPr>
              <w:t>RS overhead</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7D87782A" w14:textId="77777777" w:rsidR="00DE3E5C" w:rsidRPr="004B32E8" w:rsidRDefault="00DE3E5C" w:rsidP="005D0716">
            <w:pPr>
              <w:spacing w:after="0"/>
              <w:jc w:val="center"/>
              <w:rPr>
                <w:rFonts w:cs="Times New Roman"/>
                <w:szCs w:val="24"/>
              </w:rPr>
            </w:pPr>
            <w:r w:rsidRPr="004B32E8">
              <w:rPr>
                <w:rFonts w:cs="Times New Roman"/>
                <w:szCs w:val="24"/>
              </w:rPr>
              <w:t>1/2 1/3 1/4</w:t>
            </w:r>
          </w:p>
        </w:tc>
      </w:tr>
      <w:tr w:rsidR="00DE3E5C" w14:paraId="59519E0D" w14:textId="77777777" w:rsidTr="005D0716">
        <w:trPr>
          <w:cnfStyle w:val="000000100000" w:firstRow="0" w:lastRow="0" w:firstColumn="0" w:lastColumn="0" w:oddVBand="0" w:evenVBand="0" w:oddHBand="1" w:evenHBand="0" w:firstRowFirstColumn="0" w:firstRowLastColumn="0" w:lastRowFirstColumn="0" w:lastRowLastColumn="0"/>
          <w:trHeight w:val="70"/>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912995E" w14:textId="77777777" w:rsidR="00DE3E5C" w:rsidRPr="004B32E8" w:rsidRDefault="00DE3E5C" w:rsidP="005D0716">
            <w:pPr>
              <w:spacing w:after="0"/>
              <w:jc w:val="center"/>
              <w:rPr>
                <w:rFonts w:cs="Times New Roman"/>
                <w:szCs w:val="24"/>
              </w:rPr>
            </w:pPr>
            <w:r w:rsidRPr="004B32E8">
              <w:rPr>
                <w:rFonts w:cs="Times New Roman"/>
                <w:szCs w:val="24"/>
              </w:rPr>
              <w:t>Coding</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992A1B0" w14:textId="77777777" w:rsidR="00DE3E5C" w:rsidRPr="004B32E8" w:rsidRDefault="00DE3E5C" w:rsidP="005D0716">
            <w:pPr>
              <w:spacing w:after="0"/>
              <w:jc w:val="center"/>
              <w:rPr>
                <w:rFonts w:cs="Times New Roman"/>
                <w:szCs w:val="24"/>
              </w:rPr>
            </w:pPr>
            <w:r w:rsidRPr="004B32E8">
              <w:rPr>
                <w:rFonts w:cs="Times New Roman"/>
                <w:szCs w:val="24"/>
              </w:rPr>
              <w:t>TBCC list=1</w:t>
            </w:r>
          </w:p>
        </w:tc>
      </w:tr>
      <w:tr w:rsidR="00DE3E5C" w14:paraId="2536E293" w14:textId="77777777" w:rsidTr="005D0716">
        <w:trPr>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2B292CA5" w14:textId="77777777" w:rsidR="00DE3E5C" w:rsidRPr="004B32E8" w:rsidRDefault="00DE3E5C" w:rsidP="005D0716">
            <w:pPr>
              <w:spacing w:after="0"/>
              <w:jc w:val="center"/>
              <w:rPr>
                <w:rFonts w:cs="Times New Roman"/>
                <w:szCs w:val="24"/>
              </w:rPr>
            </w:pPr>
            <w:r w:rsidRPr="004B32E8">
              <w:rPr>
                <w:rFonts w:cs="Times New Roman"/>
                <w:szCs w:val="24"/>
              </w:rPr>
              <w:t>Channel Estimation</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A7E0C3F" w14:textId="77777777" w:rsidR="00DE3E5C" w:rsidRDefault="00DE3E5C" w:rsidP="005D0716">
            <w:pPr>
              <w:spacing w:after="0"/>
              <w:jc w:val="center"/>
              <w:rPr>
                <w:rFonts w:cs="Times New Roman"/>
                <w:szCs w:val="24"/>
              </w:rPr>
            </w:pPr>
            <w:r w:rsidRPr="004B32E8">
              <w:rPr>
                <w:rFonts w:cs="Times New Roman"/>
                <w:szCs w:val="24"/>
              </w:rPr>
              <w:t>One-shot narrow band channel estimation</w:t>
            </w:r>
            <w:r>
              <w:rPr>
                <w:rFonts w:cs="Times New Roman"/>
                <w:szCs w:val="24"/>
              </w:rPr>
              <w:t>,</w:t>
            </w:r>
          </w:p>
          <w:p w14:paraId="0F143623" w14:textId="77777777" w:rsidR="00DE3E5C" w:rsidRDefault="00DE3E5C" w:rsidP="005D0716">
            <w:pPr>
              <w:spacing w:after="0"/>
              <w:jc w:val="center"/>
              <w:rPr>
                <w:rFonts w:cs="Times New Roman"/>
                <w:szCs w:val="24"/>
              </w:rPr>
            </w:pPr>
            <w:r>
              <w:rPr>
                <w:rFonts w:cs="Times New Roman"/>
                <w:szCs w:val="24"/>
              </w:rPr>
              <w:t>One-shot wide band channel estimation,</w:t>
            </w:r>
          </w:p>
          <w:p w14:paraId="65A27A33" w14:textId="27473937" w:rsidR="00DE3E5C" w:rsidRPr="004B32E8" w:rsidRDefault="00DE3E5C" w:rsidP="005D0716">
            <w:pPr>
              <w:spacing w:after="0"/>
              <w:jc w:val="center"/>
              <w:rPr>
                <w:rFonts w:cs="Times New Roman"/>
                <w:szCs w:val="24"/>
              </w:rPr>
            </w:pPr>
            <w:r>
              <w:rPr>
                <w:rFonts w:cs="Times New Roman"/>
                <w:szCs w:val="24"/>
              </w:rPr>
              <w:t>Wide band channel estimation with non-coherent filtering</w:t>
            </w:r>
          </w:p>
        </w:tc>
      </w:tr>
      <w:tr w:rsidR="00DE3E5C" w14:paraId="29F2DEB6" w14:textId="77777777" w:rsidTr="005D0716">
        <w:trPr>
          <w:cnfStyle w:val="000000100000" w:firstRow="0" w:lastRow="0" w:firstColumn="0" w:lastColumn="0" w:oddVBand="0" w:evenVBand="0" w:oddHBand="1" w:evenHBand="0" w:firstRowFirstColumn="0" w:firstRowLastColumn="0" w:lastRowFirstColumn="0" w:lastRowLastColumn="0"/>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459EF865" w14:textId="156D9058" w:rsidR="00DE3E5C" w:rsidRPr="004B32E8" w:rsidRDefault="00DE3E5C" w:rsidP="005D0716">
            <w:pPr>
              <w:spacing w:after="0"/>
              <w:jc w:val="center"/>
              <w:rPr>
                <w:szCs w:val="24"/>
              </w:rPr>
            </w:pPr>
            <w:r w:rsidRPr="004B32E8">
              <w:rPr>
                <w:szCs w:val="24"/>
              </w:rPr>
              <w:t>Channel estimation bundle-size == minimum resource allocation unit</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7EAC101B" w14:textId="79A9DA6A" w:rsidR="00DE3E5C" w:rsidRPr="004B32E8" w:rsidRDefault="00DE3E5C" w:rsidP="00DE3E5C">
            <w:pPr>
              <w:spacing w:after="0"/>
              <w:jc w:val="center"/>
              <w:rPr>
                <w:szCs w:val="24"/>
              </w:rPr>
            </w:pPr>
            <w:r w:rsidRPr="004B32E8">
              <w:rPr>
                <w:szCs w:val="24"/>
              </w:rPr>
              <w:t>2 REGs</w:t>
            </w:r>
          </w:p>
        </w:tc>
      </w:tr>
      <w:tr w:rsidR="00DE3E5C" w14:paraId="602D3D01" w14:textId="77777777" w:rsidTr="005D0716">
        <w:trPr>
          <w:trHeight w:val="174"/>
          <w:jc w:val="center"/>
        </w:trPr>
        <w:tc>
          <w:tcPr>
            <w:tcW w:w="368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51E9BBA2" w14:textId="6B0210DE" w:rsidR="00DE3E5C" w:rsidRPr="004B32E8" w:rsidRDefault="00DE3E5C">
            <w:pPr>
              <w:spacing w:after="0"/>
              <w:jc w:val="center"/>
              <w:rPr>
                <w:szCs w:val="24"/>
              </w:rPr>
            </w:pPr>
            <w:r w:rsidRPr="004B32E8">
              <w:rPr>
                <w:szCs w:val="24"/>
              </w:rPr>
              <w:t>Amount of cyclic delay in case of SCDD</w:t>
            </w:r>
          </w:p>
        </w:tc>
        <w:tc>
          <w:tcPr>
            <w:tcW w:w="567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0ED017C9" w14:textId="77777777" w:rsidR="00DE3E5C" w:rsidRPr="004B32E8" w:rsidRDefault="00DE3E5C" w:rsidP="005D0716">
            <w:pPr>
              <w:spacing w:after="0"/>
              <w:jc w:val="center"/>
              <w:rPr>
                <w:szCs w:val="24"/>
              </w:rPr>
            </w:pPr>
            <w:r w:rsidRPr="004B32E8">
              <w:rPr>
                <w:szCs w:val="24"/>
              </w:rPr>
              <w:t>400ns</w:t>
            </w:r>
          </w:p>
        </w:tc>
      </w:tr>
    </w:tbl>
    <w:p w14:paraId="1B74C363" w14:textId="77777777" w:rsidR="00DE3E5C" w:rsidRDefault="00DE3E5C" w:rsidP="00DE3E5C"/>
    <w:p w14:paraId="3E3950C6" w14:textId="6071E570" w:rsidR="00E266F1" w:rsidRDefault="00E266F1" w:rsidP="00DE3E5C">
      <w:r>
        <w:t xml:space="preserve">Simulation results are shown in Figure 1 and Figure 2 per OL </w:t>
      </w:r>
      <w:proofErr w:type="gramStart"/>
      <w:r>
        <w:t>Tx</w:t>
      </w:r>
      <w:proofErr w:type="gramEnd"/>
      <w:r>
        <w:t xml:space="preserve"> diversity scheme for SFBC and </w:t>
      </w:r>
      <w:r w:rsidR="00427C91">
        <w:t>SCDD</w:t>
      </w:r>
      <w:r>
        <w:t xml:space="preserve"> respectively.</w:t>
      </w:r>
    </w:p>
    <w:p w14:paraId="6696FFE9" w14:textId="49E48E5F" w:rsidR="00E266F1" w:rsidRPr="00E266F1" w:rsidRDefault="00E266F1" w:rsidP="00DE3E5C">
      <w:pPr>
        <w:rPr>
          <w:u w:val="single"/>
        </w:rPr>
      </w:pPr>
      <w:r w:rsidRPr="00E266F1">
        <w:rPr>
          <w:u w:val="single"/>
        </w:rPr>
        <w:t>Observations</w:t>
      </w:r>
    </w:p>
    <w:p w14:paraId="6036AE99" w14:textId="05E7261B" w:rsidR="00E266F1" w:rsidRPr="00B076FE" w:rsidRDefault="00E266F1" w:rsidP="00E266F1">
      <w:pPr>
        <w:pStyle w:val="ListParagraph"/>
        <w:numPr>
          <w:ilvl w:val="0"/>
          <w:numId w:val="48"/>
        </w:numPr>
        <w:rPr>
          <w:rFonts w:ascii="Times New Roman" w:hAnsi="Times New Roman"/>
          <w:sz w:val="20"/>
          <w:szCs w:val="20"/>
        </w:rPr>
      </w:pPr>
      <w:r w:rsidRPr="00B076FE">
        <w:rPr>
          <w:rFonts w:ascii="Times New Roman" w:hAnsi="Times New Roman"/>
          <w:sz w:val="20"/>
          <w:szCs w:val="20"/>
        </w:rPr>
        <w:t>WB channel estimation</w:t>
      </w:r>
      <w:r w:rsidR="0011405D" w:rsidRPr="00B076FE">
        <w:rPr>
          <w:rFonts w:ascii="Times New Roman" w:hAnsi="Times New Roman"/>
          <w:sz w:val="20"/>
          <w:szCs w:val="20"/>
        </w:rPr>
        <w:t xml:space="preserve"> has been shown to have u</w:t>
      </w:r>
      <w:r w:rsidRPr="00B076FE">
        <w:rPr>
          <w:rFonts w:ascii="Times New Roman" w:hAnsi="Times New Roman"/>
          <w:sz w:val="20"/>
          <w:szCs w:val="20"/>
        </w:rPr>
        <w:t xml:space="preserve">p to 2.5 dB performance </w:t>
      </w:r>
      <w:r w:rsidR="0011405D" w:rsidRPr="00B076FE">
        <w:rPr>
          <w:rFonts w:ascii="Times New Roman" w:hAnsi="Times New Roman"/>
          <w:sz w:val="20"/>
          <w:szCs w:val="20"/>
        </w:rPr>
        <w:t>gain over NB channel estimation when SFBC is assumed</w:t>
      </w:r>
    </w:p>
    <w:p w14:paraId="20DAD341" w14:textId="0E7B61DC" w:rsidR="0011405D" w:rsidRPr="00B076FE" w:rsidRDefault="0011405D" w:rsidP="00E266F1">
      <w:pPr>
        <w:pStyle w:val="ListParagraph"/>
        <w:numPr>
          <w:ilvl w:val="0"/>
          <w:numId w:val="48"/>
        </w:numPr>
        <w:rPr>
          <w:rFonts w:ascii="Times New Roman" w:hAnsi="Times New Roman"/>
          <w:sz w:val="20"/>
          <w:szCs w:val="20"/>
        </w:rPr>
      </w:pPr>
      <w:r w:rsidRPr="00B076FE">
        <w:rPr>
          <w:rFonts w:ascii="Times New Roman" w:hAnsi="Times New Roman"/>
          <w:sz w:val="20"/>
          <w:szCs w:val="20"/>
        </w:rPr>
        <w:t xml:space="preserve">WB channel estimation has been shown to have up to 1.4 dB performance gain over NB channel estimation when </w:t>
      </w:r>
      <w:r w:rsidR="00427C91">
        <w:rPr>
          <w:rFonts w:ascii="Times New Roman" w:hAnsi="Times New Roman"/>
          <w:sz w:val="20"/>
          <w:szCs w:val="20"/>
        </w:rPr>
        <w:t>SCDD</w:t>
      </w:r>
      <w:r w:rsidR="00AE0F31" w:rsidRPr="00B076FE">
        <w:rPr>
          <w:rFonts w:ascii="Times New Roman" w:hAnsi="Times New Roman"/>
          <w:sz w:val="20"/>
          <w:szCs w:val="20"/>
        </w:rPr>
        <w:t xml:space="preserve"> </w:t>
      </w:r>
      <w:r w:rsidRPr="00B076FE">
        <w:rPr>
          <w:rFonts w:ascii="Times New Roman" w:hAnsi="Times New Roman"/>
          <w:sz w:val="20"/>
          <w:szCs w:val="20"/>
        </w:rPr>
        <w:t>is assumed</w:t>
      </w:r>
    </w:p>
    <w:p w14:paraId="0FAD83D9" w14:textId="7E25093D" w:rsidR="0011405D" w:rsidRPr="00B076FE" w:rsidRDefault="0011405D" w:rsidP="00E266F1">
      <w:pPr>
        <w:pStyle w:val="ListParagraph"/>
        <w:numPr>
          <w:ilvl w:val="0"/>
          <w:numId w:val="48"/>
        </w:numPr>
        <w:rPr>
          <w:rFonts w:ascii="Times New Roman" w:hAnsi="Times New Roman"/>
          <w:sz w:val="20"/>
          <w:szCs w:val="20"/>
        </w:rPr>
      </w:pPr>
      <w:r w:rsidRPr="00B076FE">
        <w:rPr>
          <w:rFonts w:ascii="Times New Roman" w:hAnsi="Times New Roman"/>
          <w:sz w:val="20"/>
          <w:szCs w:val="20"/>
        </w:rPr>
        <w:t xml:space="preserve">Note that WB channel estimation can </w:t>
      </w:r>
      <w:r w:rsidR="00E6643A" w:rsidRPr="00B076FE">
        <w:rPr>
          <w:rFonts w:ascii="Times New Roman" w:hAnsi="Times New Roman"/>
          <w:sz w:val="20"/>
          <w:szCs w:val="20"/>
        </w:rPr>
        <w:t xml:space="preserve">be </w:t>
      </w:r>
      <w:r w:rsidRPr="00B076FE">
        <w:rPr>
          <w:rFonts w:ascii="Times New Roman" w:hAnsi="Times New Roman"/>
          <w:sz w:val="20"/>
          <w:szCs w:val="20"/>
        </w:rPr>
        <w:t xml:space="preserve">further improved if coherent filtering </w:t>
      </w:r>
      <w:r w:rsidR="00E6643A" w:rsidRPr="00B076FE">
        <w:rPr>
          <w:rFonts w:ascii="Times New Roman" w:hAnsi="Times New Roman"/>
          <w:sz w:val="20"/>
          <w:szCs w:val="20"/>
        </w:rPr>
        <w:t>is used</w:t>
      </w:r>
    </w:p>
    <w:p w14:paraId="43126F73" w14:textId="0DF370F9" w:rsidR="0011405D" w:rsidRPr="00B076FE" w:rsidRDefault="0011405D" w:rsidP="00E266F1">
      <w:pPr>
        <w:pStyle w:val="ListParagraph"/>
        <w:numPr>
          <w:ilvl w:val="0"/>
          <w:numId w:val="48"/>
        </w:numPr>
        <w:rPr>
          <w:rFonts w:ascii="Times New Roman" w:hAnsi="Times New Roman"/>
          <w:sz w:val="20"/>
          <w:szCs w:val="20"/>
        </w:rPr>
      </w:pPr>
      <w:r w:rsidRPr="00B076FE">
        <w:rPr>
          <w:rFonts w:ascii="Times New Roman" w:hAnsi="Times New Roman"/>
          <w:sz w:val="20"/>
          <w:szCs w:val="20"/>
        </w:rPr>
        <w:t>Depending the target performance at cell edge</w:t>
      </w:r>
      <w:r w:rsidR="00F43E72" w:rsidRPr="00B076FE">
        <w:rPr>
          <w:rFonts w:ascii="Times New Roman" w:hAnsi="Times New Roman"/>
          <w:sz w:val="20"/>
          <w:szCs w:val="20"/>
        </w:rPr>
        <w:t xml:space="preserve"> (1-10% BLER at -6 dB Geometry)</w:t>
      </w:r>
      <w:r w:rsidRPr="00B076FE">
        <w:rPr>
          <w:rFonts w:ascii="Times New Roman" w:hAnsi="Times New Roman"/>
          <w:sz w:val="20"/>
          <w:szCs w:val="20"/>
        </w:rPr>
        <w:t xml:space="preserve">, NB channel estimation would require </w:t>
      </w:r>
      <w:r w:rsidR="00F43E72" w:rsidRPr="00B076FE">
        <w:rPr>
          <w:rFonts w:ascii="Times New Roman" w:hAnsi="Times New Roman"/>
          <w:sz w:val="20"/>
          <w:szCs w:val="20"/>
        </w:rPr>
        <w:t xml:space="preserve">even </w:t>
      </w:r>
      <w:r w:rsidRPr="00B076FE">
        <w:rPr>
          <w:rFonts w:ascii="Times New Roman" w:hAnsi="Times New Roman"/>
          <w:sz w:val="20"/>
          <w:szCs w:val="20"/>
        </w:rPr>
        <w:t>a larger CCE size or aggregation level compared to 8 AL with CCE size = 6 REG</w:t>
      </w:r>
    </w:p>
    <w:p w14:paraId="1073B154" w14:textId="77777777" w:rsidR="00E266F1" w:rsidRPr="00F10832" w:rsidRDefault="00E266F1" w:rsidP="00E266F1">
      <w:r w:rsidRPr="00E266F1">
        <w:rPr>
          <w:noProof/>
          <w:lang w:eastAsia="ko-KR"/>
        </w:rPr>
        <w:lastRenderedPageBreak/>
        <w:drawing>
          <wp:inline distT="0" distB="0" distL="0" distR="0" wp14:anchorId="16F7E8BE" wp14:editId="3FA87FBD">
            <wp:extent cx="6332220" cy="381620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3816209"/>
                    </a:xfrm>
                    <a:prstGeom prst="rect">
                      <a:avLst/>
                    </a:prstGeom>
                    <a:noFill/>
                    <a:ln>
                      <a:noFill/>
                    </a:ln>
                  </pic:spPr>
                </pic:pic>
              </a:graphicData>
            </a:graphic>
          </wp:inline>
        </w:drawing>
      </w:r>
    </w:p>
    <w:p w14:paraId="416691E5" w14:textId="77777777" w:rsidR="00E266F1" w:rsidRDefault="00E266F1" w:rsidP="00E266F1">
      <w:pPr>
        <w:pStyle w:val="Caption"/>
        <w:jc w:val="center"/>
      </w:pPr>
      <w:r>
        <w:t xml:space="preserve">Figure </w:t>
      </w:r>
      <w:r w:rsidR="00863ABD">
        <w:fldChar w:fldCharType="begin"/>
      </w:r>
      <w:r w:rsidR="00863ABD">
        <w:instrText xml:space="preserve"> SEQ Figure \* ARABIC </w:instrText>
      </w:r>
      <w:r w:rsidR="00863ABD">
        <w:fldChar w:fldCharType="separate"/>
      </w:r>
      <w:r>
        <w:rPr>
          <w:noProof/>
        </w:rPr>
        <w:t>1</w:t>
      </w:r>
      <w:r w:rsidR="00863ABD">
        <w:rPr>
          <w:noProof/>
        </w:rPr>
        <w:fldChar w:fldCharType="end"/>
      </w:r>
      <w:r>
        <w:t xml:space="preserve">: OL DL </w:t>
      </w:r>
      <w:proofErr w:type="gramStart"/>
      <w:r>
        <w:t>control channel performance sensitivity</w:t>
      </w:r>
      <w:proofErr w:type="gramEnd"/>
      <w:r>
        <w:t xml:space="preserve"> to channel estimation schemes, SFBC</w:t>
      </w:r>
    </w:p>
    <w:p w14:paraId="18B4755E" w14:textId="77777777" w:rsidR="00E266F1" w:rsidRDefault="00E266F1" w:rsidP="00E266F1">
      <w:pPr>
        <w:keepNext/>
      </w:pPr>
      <w:r w:rsidRPr="00E266F1">
        <w:rPr>
          <w:noProof/>
          <w:lang w:eastAsia="ko-KR"/>
        </w:rPr>
        <w:drawing>
          <wp:inline distT="0" distB="0" distL="0" distR="0" wp14:anchorId="3359C468" wp14:editId="3775D486">
            <wp:extent cx="6332220" cy="38162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3816209"/>
                    </a:xfrm>
                    <a:prstGeom prst="rect">
                      <a:avLst/>
                    </a:prstGeom>
                    <a:noFill/>
                    <a:ln>
                      <a:noFill/>
                    </a:ln>
                  </pic:spPr>
                </pic:pic>
              </a:graphicData>
            </a:graphic>
          </wp:inline>
        </w:drawing>
      </w:r>
    </w:p>
    <w:p w14:paraId="5E075F3A" w14:textId="7C6178DF" w:rsidR="00E266F1" w:rsidRDefault="00E266F1" w:rsidP="00E266F1">
      <w:pPr>
        <w:pStyle w:val="Caption"/>
        <w:jc w:val="center"/>
      </w:pPr>
      <w:r>
        <w:t xml:space="preserve">Figure </w:t>
      </w:r>
      <w:fldSimple w:instr=" SEQ Figure \* ARABIC ">
        <w:r>
          <w:rPr>
            <w:noProof/>
          </w:rPr>
          <w:t>2</w:t>
        </w:r>
      </w:fldSimple>
      <w:r>
        <w:t xml:space="preserve">: OL DL </w:t>
      </w:r>
      <w:proofErr w:type="gramStart"/>
      <w:r>
        <w:t>control channel performance sensitivity</w:t>
      </w:r>
      <w:proofErr w:type="gramEnd"/>
      <w:r>
        <w:t xml:space="preserve"> to channel estimation schemes, SCDD</w:t>
      </w:r>
    </w:p>
    <w:p w14:paraId="74EB509C" w14:textId="77777777" w:rsidR="001251C0" w:rsidRPr="00DC7680" w:rsidRDefault="001251C0" w:rsidP="001251C0"/>
    <w:p w14:paraId="02805BAC" w14:textId="77777777" w:rsidR="001251C0" w:rsidRPr="00226FE2" w:rsidRDefault="001251C0" w:rsidP="001251C0">
      <w:pPr>
        <w:pStyle w:val="Heading1"/>
        <w:rPr>
          <w:lang w:eastAsia="zh-CN"/>
        </w:rPr>
      </w:pPr>
      <w:r>
        <w:rPr>
          <w:lang w:eastAsia="zh-CN"/>
        </w:rPr>
        <w:lastRenderedPageBreak/>
        <w:t>Conclusions</w:t>
      </w:r>
    </w:p>
    <w:p w14:paraId="54F64653" w14:textId="05B7874A" w:rsidR="007431DD" w:rsidRDefault="007431DD" w:rsidP="007431DD">
      <w:pPr>
        <w:jc w:val="both"/>
        <w:rPr>
          <w:szCs w:val="22"/>
        </w:rPr>
      </w:pPr>
      <w:r>
        <w:rPr>
          <w:szCs w:val="22"/>
        </w:rPr>
        <w:t xml:space="preserve">We have discussed the options for RS design, channel estimation assumptions at UE and </w:t>
      </w:r>
      <w:proofErr w:type="gramStart"/>
      <w:r>
        <w:rPr>
          <w:szCs w:val="22"/>
        </w:rPr>
        <w:t>Tx</w:t>
      </w:r>
      <w:proofErr w:type="gramEnd"/>
      <w:r>
        <w:rPr>
          <w:szCs w:val="22"/>
        </w:rPr>
        <w:t xml:space="preserve"> diversity scheme related to control resource set and search space. OL </w:t>
      </w:r>
      <w:proofErr w:type="gramStart"/>
      <w:r>
        <w:rPr>
          <w:szCs w:val="22"/>
        </w:rPr>
        <w:t>Tx</w:t>
      </w:r>
      <w:proofErr w:type="gramEnd"/>
      <w:r>
        <w:rPr>
          <w:szCs w:val="22"/>
        </w:rPr>
        <w:t xml:space="preserve"> diversity PDCCH performance has been analyzed with different assumptions on channel estimation schemes.</w:t>
      </w:r>
      <w:r w:rsidR="00E33DAE">
        <w:rPr>
          <w:szCs w:val="22"/>
        </w:rPr>
        <w:t xml:space="preserve"> The following proposals </w:t>
      </w:r>
      <w:proofErr w:type="gramStart"/>
      <w:r w:rsidR="00E33DAE">
        <w:rPr>
          <w:szCs w:val="22"/>
        </w:rPr>
        <w:t>have been made</w:t>
      </w:r>
      <w:proofErr w:type="gramEnd"/>
      <w:r w:rsidR="00E33DAE">
        <w:rPr>
          <w:szCs w:val="22"/>
        </w:rPr>
        <w:t>:</w:t>
      </w:r>
    </w:p>
    <w:p w14:paraId="737F3A54" w14:textId="113CF6C0" w:rsidR="0093601E" w:rsidRPr="00815BB4" w:rsidRDefault="001251C0" w:rsidP="00454173">
      <w:r w:rsidRPr="00A3651A">
        <w:rPr>
          <w:b/>
          <w:u w:val="single"/>
        </w:rPr>
        <w:t>Proposal 1</w:t>
      </w:r>
      <w:r>
        <w:t xml:space="preserve">: </w:t>
      </w:r>
      <w:r w:rsidR="0093601E">
        <w:t xml:space="preserve">Common control resource set </w:t>
      </w:r>
      <w:proofErr w:type="gramStart"/>
      <w:r w:rsidR="0093601E">
        <w:t>is configured</w:t>
      </w:r>
      <w:proofErr w:type="gramEnd"/>
      <w:r w:rsidR="0093601E">
        <w:t xml:space="preserve"> with </w:t>
      </w:r>
      <w:r w:rsidR="00C215F5">
        <w:t xml:space="preserve">contiguous </w:t>
      </w:r>
      <w:r w:rsidR="0093601E">
        <w:t>allocation</w:t>
      </w:r>
      <w:r w:rsidR="00C215F5">
        <w:t xml:space="preserve"> in frequency and </w:t>
      </w:r>
      <w:r w:rsidR="0093601E" w:rsidRPr="00815BB4">
        <w:t xml:space="preserve">UE can perform </w:t>
      </w:r>
      <w:r w:rsidR="00C215F5" w:rsidRPr="00815BB4">
        <w:t xml:space="preserve">WB </w:t>
      </w:r>
      <w:r w:rsidR="0093601E" w:rsidRPr="00815BB4">
        <w:t>channel estimation over the configured common control resource set</w:t>
      </w:r>
    </w:p>
    <w:p w14:paraId="72EDA90D" w14:textId="6AD2E7A2" w:rsidR="0093601E" w:rsidRPr="00326A57" w:rsidRDefault="0093601E" w:rsidP="0093601E">
      <w:pPr>
        <w:pStyle w:val="ListParagraph"/>
        <w:numPr>
          <w:ilvl w:val="1"/>
          <w:numId w:val="43"/>
        </w:numPr>
        <w:rPr>
          <w:rFonts w:ascii="Times New Roman" w:hAnsi="Times New Roman"/>
          <w:sz w:val="20"/>
          <w:szCs w:val="20"/>
        </w:rPr>
      </w:pPr>
      <w:r w:rsidRPr="00326A57">
        <w:rPr>
          <w:rFonts w:ascii="Times New Roman" w:hAnsi="Times New Roman"/>
          <w:sz w:val="20"/>
          <w:szCs w:val="20"/>
        </w:rPr>
        <w:t xml:space="preserve">Common search space will utilize the channel estimate from WB </w:t>
      </w:r>
      <w:r w:rsidR="00C215F5">
        <w:rPr>
          <w:rFonts w:ascii="Times New Roman" w:hAnsi="Times New Roman"/>
          <w:sz w:val="20"/>
          <w:szCs w:val="20"/>
        </w:rPr>
        <w:t>RS</w:t>
      </w:r>
      <w:r w:rsidRPr="00326A57">
        <w:rPr>
          <w:rFonts w:ascii="Times New Roman" w:hAnsi="Times New Roman"/>
          <w:sz w:val="20"/>
          <w:szCs w:val="20"/>
        </w:rPr>
        <w:t xml:space="preserve"> over the common control resource set</w:t>
      </w:r>
    </w:p>
    <w:p w14:paraId="227B5BF9" w14:textId="29563278" w:rsidR="0093601E" w:rsidRPr="00326A57" w:rsidRDefault="0093601E" w:rsidP="0093601E">
      <w:pPr>
        <w:pStyle w:val="ListParagraph"/>
        <w:numPr>
          <w:ilvl w:val="1"/>
          <w:numId w:val="43"/>
        </w:numPr>
        <w:rPr>
          <w:rFonts w:ascii="Times New Roman" w:hAnsi="Times New Roman"/>
          <w:sz w:val="20"/>
          <w:szCs w:val="20"/>
        </w:rPr>
      </w:pPr>
      <w:r w:rsidRPr="00326A57">
        <w:rPr>
          <w:rFonts w:ascii="Times New Roman" w:hAnsi="Times New Roman"/>
          <w:sz w:val="20"/>
          <w:szCs w:val="20"/>
        </w:rPr>
        <w:t>If UE-specific search space is configured within the common control resource set, OL Tx diversity is assumed for UE-specific search space</w:t>
      </w:r>
    </w:p>
    <w:p w14:paraId="718429DC" w14:textId="380D216C" w:rsidR="0093601E" w:rsidRPr="00326A57" w:rsidRDefault="0093601E" w:rsidP="0093601E">
      <w:pPr>
        <w:pStyle w:val="ListParagraph"/>
        <w:numPr>
          <w:ilvl w:val="1"/>
          <w:numId w:val="43"/>
        </w:numPr>
        <w:rPr>
          <w:rFonts w:ascii="Times New Roman" w:hAnsi="Times New Roman"/>
          <w:sz w:val="20"/>
          <w:szCs w:val="20"/>
        </w:rPr>
      </w:pPr>
      <w:r w:rsidRPr="00326A57">
        <w:rPr>
          <w:rFonts w:ascii="Times New Roman" w:hAnsi="Times New Roman"/>
          <w:sz w:val="20"/>
          <w:szCs w:val="20"/>
        </w:rPr>
        <w:t xml:space="preserve">If CL Tx diversity is preferred for UE-specific search space, </w:t>
      </w:r>
      <w:r w:rsidR="004C3D88">
        <w:rPr>
          <w:rFonts w:ascii="Times New Roman" w:hAnsi="Times New Roman"/>
          <w:sz w:val="20"/>
          <w:szCs w:val="20"/>
        </w:rPr>
        <w:t>UE-specific search space should be configured outside common control resource set</w:t>
      </w:r>
    </w:p>
    <w:p w14:paraId="4F4B7DB1" w14:textId="6AC7F18A" w:rsidR="001251C0" w:rsidRDefault="0093601E" w:rsidP="0093601E">
      <w:r w:rsidRPr="00A3651A">
        <w:rPr>
          <w:b/>
          <w:u w:val="single"/>
        </w:rPr>
        <w:t xml:space="preserve">Proposal </w:t>
      </w:r>
      <w:r>
        <w:rPr>
          <w:b/>
          <w:u w:val="single"/>
        </w:rPr>
        <w:t>2</w:t>
      </w:r>
      <w:r>
        <w:t xml:space="preserve">: UE specific control resource set </w:t>
      </w:r>
      <w:proofErr w:type="gramStart"/>
      <w:r>
        <w:t>can be configured</w:t>
      </w:r>
      <w:proofErr w:type="gramEnd"/>
      <w:r>
        <w:t xml:space="preserve"> with </w:t>
      </w:r>
      <w:r w:rsidR="00C215F5">
        <w:t>contiguous or non-contiguous</w:t>
      </w:r>
      <w:r>
        <w:t xml:space="preserve"> allocation</w:t>
      </w:r>
      <w:r w:rsidR="00C215F5">
        <w:t xml:space="preserve"> in frequency</w:t>
      </w:r>
      <w:r>
        <w:t>.</w:t>
      </w:r>
    </w:p>
    <w:p w14:paraId="1E21DD99" w14:textId="77777777" w:rsidR="001251C0" w:rsidRPr="000A64D8" w:rsidRDefault="001251C0" w:rsidP="001251C0">
      <w:pPr>
        <w:pStyle w:val="Heading1"/>
        <w:rPr>
          <w:lang w:val="en-US"/>
        </w:rPr>
      </w:pPr>
      <w:r w:rsidRPr="000A64D8">
        <w:rPr>
          <w:lang w:val="en-US"/>
        </w:rPr>
        <w:t>References</w:t>
      </w:r>
    </w:p>
    <w:p w14:paraId="143EF872" w14:textId="00CC0991" w:rsidR="001251C0" w:rsidRDefault="001251C0" w:rsidP="001251C0">
      <w:pPr>
        <w:numPr>
          <w:ilvl w:val="0"/>
          <w:numId w:val="2"/>
        </w:numPr>
        <w:spacing w:before="100" w:beforeAutospacing="1" w:after="100" w:afterAutospacing="1"/>
        <w:rPr>
          <w:szCs w:val="22"/>
        </w:rPr>
      </w:pPr>
      <w:r w:rsidRPr="007977CE">
        <w:rPr>
          <w:szCs w:val="22"/>
        </w:rPr>
        <w:t>R1-1</w:t>
      </w:r>
      <w:r w:rsidR="00421047">
        <w:rPr>
          <w:szCs w:val="22"/>
        </w:rPr>
        <w:t>702624</w:t>
      </w:r>
      <w:r w:rsidRPr="007977CE">
        <w:rPr>
          <w:szCs w:val="22"/>
        </w:rPr>
        <w:t>, “</w:t>
      </w:r>
      <w:r w:rsidR="00421047">
        <w:rPr>
          <w:szCs w:val="22"/>
        </w:rPr>
        <w:t>Tx diversity scheme for PDCCH</w:t>
      </w:r>
      <w:r w:rsidRPr="007977CE">
        <w:rPr>
          <w:szCs w:val="22"/>
        </w:rPr>
        <w:t>”, Qualcomm Incorporated</w:t>
      </w:r>
    </w:p>
    <w:p w14:paraId="6A5147E0" w14:textId="59888EB8" w:rsidR="00421047" w:rsidRDefault="00421047" w:rsidP="001251C0">
      <w:pPr>
        <w:numPr>
          <w:ilvl w:val="0"/>
          <w:numId w:val="2"/>
        </w:numPr>
        <w:spacing w:before="100" w:beforeAutospacing="1" w:after="100" w:afterAutospacing="1"/>
        <w:rPr>
          <w:szCs w:val="22"/>
        </w:rPr>
      </w:pPr>
      <w:r>
        <w:rPr>
          <w:szCs w:val="22"/>
        </w:rPr>
        <w:t>R1-1702627, “PDCCH structure”, Qualcomm Incorporated</w:t>
      </w:r>
    </w:p>
    <w:p w14:paraId="4699DDBB" w14:textId="524720D9" w:rsidR="001F16EB" w:rsidRPr="00007730" w:rsidRDefault="00421047" w:rsidP="001251C0">
      <w:pPr>
        <w:numPr>
          <w:ilvl w:val="0"/>
          <w:numId w:val="2"/>
        </w:numPr>
        <w:spacing w:before="100" w:beforeAutospacing="1" w:after="100" w:afterAutospacing="1"/>
        <w:rPr>
          <w:szCs w:val="22"/>
        </w:rPr>
      </w:pPr>
      <w:r>
        <w:rPr>
          <w:szCs w:val="22"/>
        </w:rPr>
        <w:t>R1-1702628, “PDCCH control resource set and search space”, Qualcomm Incorporated</w:t>
      </w:r>
    </w:p>
    <w:sectPr w:rsidR="001F16EB" w:rsidRPr="00007730"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E4381" w14:textId="77777777" w:rsidR="00863ABD" w:rsidRDefault="00863ABD">
      <w:r>
        <w:separator/>
      </w:r>
    </w:p>
  </w:endnote>
  <w:endnote w:type="continuationSeparator" w:id="0">
    <w:p w14:paraId="0D362678" w14:textId="77777777" w:rsidR="00863ABD" w:rsidRDefault="00863ABD">
      <w:r>
        <w:continuationSeparator/>
      </w:r>
    </w:p>
  </w:endnote>
  <w:endnote w:type="continuationNotice" w:id="1">
    <w:p w14:paraId="3708C9FB" w14:textId="77777777" w:rsidR="00863ABD" w:rsidRDefault="00863A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5833B6D9"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5417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54173">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631D7" w14:textId="77777777" w:rsidR="00863ABD" w:rsidRDefault="00863ABD">
      <w:r>
        <w:separator/>
      </w:r>
    </w:p>
  </w:footnote>
  <w:footnote w:type="continuationSeparator" w:id="0">
    <w:p w14:paraId="79FF6050" w14:textId="77777777" w:rsidR="00863ABD" w:rsidRDefault="00863ABD">
      <w:r>
        <w:continuationSeparator/>
      </w:r>
    </w:p>
  </w:footnote>
  <w:footnote w:type="continuationNotice" w:id="1">
    <w:p w14:paraId="1935ACD2" w14:textId="77777777" w:rsidR="00863ABD" w:rsidRDefault="00863ABD">
      <w:pPr>
        <w:spacing w:after="0"/>
      </w:pPr>
    </w:p>
  </w:footnote>
  <w:footnote w:id="2">
    <w:p w14:paraId="1FB0DE75" w14:textId="64EDF22A" w:rsidR="009D384B" w:rsidRPr="009D384B" w:rsidRDefault="009D384B">
      <w:pPr>
        <w:pStyle w:val="FootnoteText"/>
        <w:rPr>
          <w:rFonts w:eastAsia="Malgun Gothic"/>
          <w:lang w:eastAsia="ko-KR"/>
        </w:rPr>
      </w:pPr>
      <w:r>
        <w:rPr>
          <w:rStyle w:val="FootnoteReference"/>
        </w:rPr>
        <w:footnoteRef/>
      </w:r>
      <w:r>
        <w:t xml:space="preserve"> As discussed in [3], it is our view that common search space </w:t>
      </w:r>
      <w:proofErr w:type="gramStart"/>
      <w:r>
        <w:t>may also be configured</w:t>
      </w:r>
      <w:proofErr w:type="gramEnd"/>
      <w:r>
        <w:t xml:space="preserve"> in UE-specific control resource set.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7F3033A"/>
    <w:multiLevelType w:val="hybridMultilevel"/>
    <w:tmpl w:val="0A2CA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660727"/>
    <w:multiLevelType w:val="hybridMultilevel"/>
    <w:tmpl w:val="32880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277D04"/>
    <w:multiLevelType w:val="hybridMultilevel"/>
    <w:tmpl w:val="7974F67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1D0001">
      <w:numFmt w:val="bullet"/>
      <w:lvlText w:val="-"/>
      <w:lvlJc w:val="left"/>
      <w:pPr>
        <w:ind w:left="2160" w:hanging="180"/>
      </w:pPr>
      <w:rPr>
        <w:rFonts w:ascii="Times New Roman" w:eastAsia="Times New Roma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tentative="1">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CD40366"/>
    <w:multiLevelType w:val="hybridMultilevel"/>
    <w:tmpl w:val="2E083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996FEF"/>
    <w:multiLevelType w:val="hybridMultilevel"/>
    <w:tmpl w:val="00AAE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DD44129"/>
    <w:multiLevelType w:val="hybridMultilevel"/>
    <w:tmpl w:val="193C5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7D4D91"/>
    <w:multiLevelType w:val="hybridMultilevel"/>
    <w:tmpl w:val="0A0A956C"/>
    <w:lvl w:ilvl="0" w:tplc="08090001">
      <w:start w:val="1"/>
      <w:numFmt w:val="bullet"/>
      <w:lvlText w:val=""/>
      <w:lvlJc w:val="left"/>
      <w:pPr>
        <w:tabs>
          <w:tab w:val="num" w:pos="720"/>
        </w:tabs>
        <w:ind w:left="720" w:hanging="360"/>
      </w:pPr>
      <w:rPr>
        <w:rFonts w:ascii="Symbol" w:hAnsi="Symbol" w:hint="default"/>
      </w:rPr>
    </w:lvl>
    <w:lvl w:ilvl="1" w:tplc="BD16A504">
      <w:start w:val="48"/>
      <w:numFmt w:val="bullet"/>
      <w:lvlText w:val="–"/>
      <w:lvlJc w:val="left"/>
      <w:pPr>
        <w:tabs>
          <w:tab w:val="num" w:pos="1440"/>
        </w:tabs>
        <w:ind w:left="1440" w:hanging="360"/>
      </w:pPr>
      <w:rPr>
        <w:rFonts w:ascii="Arial" w:hAnsi="Arial" w:hint="default"/>
      </w:rPr>
    </w:lvl>
    <w:lvl w:ilvl="2" w:tplc="388EEB32">
      <w:start w:val="48"/>
      <w:numFmt w:val="bullet"/>
      <w:lvlText w:val="•"/>
      <w:lvlJc w:val="left"/>
      <w:pPr>
        <w:tabs>
          <w:tab w:val="num" w:pos="2160"/>
        </w:tabs>
        <w:ind w:left="2160" w:hanging="360"/>
      </w:pPr>
      <w:rPr>
        <w:rFonts w:ascii="Arial" w:hAnsi="Arial" w:hint="default"/>
      </w:rPr>
    </w:lvl>
    <w:lvl w:ilvl="3" w:tplc="96E67756">
      <w:start w:val="48"/>
      <w:numFmt w:val="bullet"/>
      <w:lvlText w:val="–"/>
      <w:lvlJc w:val="left"/>
      <w:pPr>
        <w:tabs>
          <w:tab w:val="num" w:pos="2880"/>
        </w:tabs>
        <w:ind w:left="2880" w:hanging="360"/>
      </w:pPr>
      <w:rPr>
        <w:rFonts w:ascii="Arial" w:hAnsi="Arial" w:hint="default"/>
      </w:rPr>
    </w:lvl>
    <w:lvl w:ilvl="4" w:tplc="B388FEC6">
      <w:start w:val="1"/>
      <w:numFmt w:val="bullet"/>
      <w:lvlText w:val="•"/>
      <w:lvlJc w:val="left"/>
      <w:pPr>
        <w:tabs>
          <w:tab w:val="num" w:pos="3600"/>
        </w:tabs>
        <w:ind w:left="3600" w:hanging="360"/>
      </w:pPr>
      <w:rPr>
        <w:rFonts w:ascii="Arial" w:hAnsi="Arial" w:hint="default"/>
      </w:rPr>
    </w:lvl>
    <w:lvl w:ilvl="5" w:tplc="78389998" w:tentative="1">
      <w:start w:val="1"/>
      <w:numFmt w:val="bullet"/>
      <w:lvlText w:val="•"/>
      <w:lvlJc w:val="left"/>
      <w:pPr>
        <w:tabs>
          <w:tab w:val="num" w:pos="4320"/>
        </w:tabs>
        <w:ind w:left="4320" w:hanging="360"/>
      </w:pPr>
      <w:rPr>
        <w:rFonts w:ascii="Arial" w:hAnsi="Arial" w:hint="default"/>
      </w:rPr>
    </w:lvl>
    <w:lvl w:ilvl="6" w:tplc="0958DA90" w:tentative="1">
      <w:start w:val="1"/>
      <w:numFmt w:val="bullet"/>
      <w:lvlText w:val="•"/>
      <w:lvlJc w:val="left"/>
      <w:pPr>
        <w:tabs>
          <w:tab w:val="num" w:pos="5040"/>
        </w:tabs>
        <w:ind w:left="5040" w:hanging="360"/>
      </w:pPr>
      <w:rPr>
        <w:rFonts w:ascii="Arial" w:hAnsi="Arial" w:hint="default"/>
      </w:rPr>
    </w:lvl>
    <w:lvl w:ilvl="7" w:tplc="798450E2" w:tentative="1">
      <w:start w:val="1"/>
      <w:numFmt w:val="bullet"/>
      <w:lvlText w:val="•"/>
      <w:lvlJc w:val="left"/>
      <w:pPr>
        <w:tabs>
          <w:tab w:val="num" w:pos="5760"/>
        </w:tabs>
        <w:ind w:left="5760" w:hanging="360"/>
      </w:pPr>
      <w:rPr>
        <w:rFonts w:ascii="Arial" w:hAnsi="Arial" w:hint="default"/>
      </w:rPr>
    </w:lvl>
    <w:lvl w:ilvl="8" w:tplc="4BA4571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C1205DC2">
      <w:start w:val="4012"/>
      <w:numFmt w:val="bullet"/>
      <w:lvlText w:val="•"/>
      <w:lvlJc w:val="left"/>
      <w:pPr>
        <w:tabs>
          <w:tab w:val="num" w:pos="2160"/>
        </w:tabs>
        <w:ind w:left="2160" w:hanging="360"/>
      </w:pPr>
      <w:rPr>
        <w:rFonts w:ascii="Arial" w:hAnsi="Arial" w:hint="default"/>
      </w:rPr>
    </w:lvl>
    <w:lvl w:ilvl="3" w:tplc="4E7A10DA" w:tentative="1">
      <w:start w:val="1"/>
      <w:numFmt w:val="bullet"/>
      <w:lvlText w:val="•"/>
      <w:lvlJc w:val="left"/>
      <w:pPr>
        <w:tabs>
          <w:tab w:val="num" w:pos="2880"/>
        </w:tabs>
        <w:ind w:left="2880" w:hanging="360"/>
      </w:pPr>
      <w:rPr>
        <w:rFonts w:ascii="Arial" w:hAnsi="Arial" w:hint="default"/>
      </w:rPr>
    </w:lvl>
    <w:lvl w:ilvl="4" w:tplc="BA7E19AA" w:tentative="1">
      <w:start w:val="1"/>
      <w:numFmt w:val="bullet"/>
      <w:lvlText w:val="•"/>
      <w:lvlJc w:val="left"/>
      <w:pPr>
        <w:tabs>
          <w:tab w:val="num" w:pos="3600"/>
        </w:tabs>
        <w:ind w:left="3600" w:hanging="360"/>
      </w:pPr>
      <w:rPr>
        <w:rFonts w:ascii="Arial" w:hAnsi="Arial" w:hint="default"/>
      </w:rPr>
    </w:lvl>
    <w:lvl w:ilvl="5" w:tplc="DFD45396" w:tentative="1">
      <w:start w:val="1"/>
      <w:numFmt w:val="bullet"/>
      <w:lvlText w:val="•"/>
      <w:lvlJc w:val="left"/>
      <w:pPr>
        <w:tabs>
          <w:tab w:val="num" w:pos="4320"/>
        </w:tabs>
        <w:ind w:left="4320" w:hanging="360"/>
      </w:pPr>
      <w:rPr>
        <w:rFonts w:ascii="Arial" w:hAnsi="Arial" w:hint="default"/>
      </w:rPr>
    </w:lvl>
    <w:lvl w:ilvl="6" w:tplc="287A2F0C" w:tentative="1">
      <w:start w:val="1"/>
      <w:numFmt w:val="bullet"/>
      <w:lvlText w:val="•"/>
      <w:lvlJc w:val="left"/>
      <w:pPr>
        <w:tabs>
          <w:tab w:val="num" w:pos="5040"/>
        </w:tabs>
        <w:ind w:left="5040" w:hanging="360"/>
      </w:pPr>
      <w:rPr>
        <w:rFonts w:ascii="Arial" w:hAnsi="Arial" w:hint="default"/>
      </w:rPr>
    </w:lvl>
    <w:lvl w:ilvl="7" w:tplc="4CA6048C" w:tentative="1">
      <w:start w:val="1"/>
      <w:numFmt w:val="bullet"/>
      <w:lvlText w:val="•"/>
      <w:lvlJc w:val="left"/>
      <w:pPr>
        <w:tabs>
          <w:tab w:val="num" w:pos="5760"/>
        </w:tabs>
        <w:ind w:left="5760" w:hanging="360"/>
      </w:pPr>
      <w:rPr>
        <w:rFonts w:ascii="Arial" w:hAnsi="Arial" w:hint="default"/>
      </w:rPr>
    </w:lvl>
    <w:lvl w:ilvl="8" w:tplc="BE962D3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26E1918"/>
    <w:multiLevelType w:val="hybridMultilevel"/>
    <w:tmpl w:val="E7704E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4E90346"/>
    <w:multiLevelType w:val="hybridMultilevel"/>
    <w:tmpl w:val="618CC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15241"/>
    <w:multiLevelType w:val="hybridMultilevel"/>
    <w:tmpl w:val="8A14A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E3126A"/>
    <w:multiLevelType w:val="hybridMultilevel"/>
    <w:tmpl w:val="2EE0D7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abstractNum w:abstractNumId="47"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4"/>
  </w:num>
  <w:num w:numId="4">
    <w:abstractNumId w:val="26"/>
  </w:num>
  <w:num w:numId="5">
    <w:abstractNumId w:val="5"/>
  </w:num>
  <w:num w:numId="6">
    <w:abstractNumId w:val="9"/>
  </w:num>
  <w:num w:numId="7">
    <w:abstractNumId w:val="11"/>
  </w:num>
  <w:num w:numId="8">
    <w:abstractNumId w:val="1"/>
  </w:num>
  <w:num w:numId="9">
    <w:abstractNumId w:val="45"/>
    <w:lvlOverride w:ilvl="0">
      <w:startOverride w:val="1"/>
    </w:lvlOverride>
  </w:num>
  <w:num w:numId="10">
    <w:abstractNumId w:val="30"/>
  </w:num>
  <w:num w:numId="11">
    <w:abstractNumId w:val="35"/>
  </w:num>
  <w:num w:numId="12">
    <w:abstractNumId w:val="37"/>
  </w:num>
  <w:num w:numId="13">
    <w:abstractNumId w:val="19"/>
  </w:num>
  <w:num w:numId="14">
    <w:abstractNumId w:val="32"/>
  </w:num>
  <w:num w:numId="15">
    <w:abstractNumId w:val="7"/>
  </w:num>
  <w:num w:numId="16">
    <w:abstractNumId w:val="25"/>
  </w:num>
  <w:num w:numId="17">
    <w:abstractNumId w:val="16"/>
  </w:num>
  <w:num w:numId="18">
    <w:abstractNumId w:val="41"/>
  </w:num>
  <w:num w:numId="19">
    <w:abstractNumId w:val="47"/>
  </w:num>
  <w:num w:numId="20">
    <w:abstractNumId w:val="12"/>
  </w:num>
  <w:num w:numId="21">
    <w:abstractNumId w:val="40"/>
  </w:num>
  <w:num w:numId="22">
    <w:abstractNumId w:val="3"/>
  </w:num>
  <w:num w:numId="23">
    <w:abstractNumId w:val="18"/>
  </w:num>
  <w:num w:numId="24">
    <w:abstractNumId w:val="10"/>
  </w:num>
  <w:num w:numId="25">
    <w:abstractNumId w:val="6"/>
  </w:num>
  <w:num w:numId="26">
    <w:abstractNumId w:val="31"/>
  </w:num>
  <w:num w:numId="27">
    <w:abstractNumId w:val="38"/>
  </w:num>
  <w:num w:numId="28">
    <w:abstractNumId w:val="28"/>
  </w:num>
  <w:num w:numId="29">
    <w:abstractNumId w:val="43"/>
  </w:num>
  <w:num w:numId="30">
    <w:abstractNumId w:val="13"/>
  </w:num>
  <w:num w:numId="31">
    <w:abstractNumId w:val="8"/>
  </w:num>
  <w:num w:numId="32">
    <w:abstractNumId w:val="36"/>
  </w:num>
  <w:num w:numId="33">
    <w:abstractNumId w:val="22"/>
  </w:num>
  <w:num w:numId="34">
    <w:abstractNumId w:val="29"/>
  </w:num>
  <w:num w:numId="35">
    <w:abstractNumId w:val="39"/>
  </w:num>
  <w:num w:numId="36">
    <w:abstractNumId w:val="2"/>
  </w:num>
  <w:num w:numId="37">
    <w:abstractNumId w:val="23"/>
  </w:num>
  <w:num w:numId="38">
    <w:abstractNumId w:val="46"/>
  </w:num>
  <w:num w:numId="39">
    <w:abstractNumId w:val="33"/>
  </w:num>
  <w:num w:numId="40">
    <w:abstractNumId w:val="17"/>
  </w:num>
  <w:num w:numId="41">
    <w:abstractNumId w:val="14"/>
  </w:num>
  <w:num w:numId="42">
    <w:abstractNumId w:val="24"/>
  </w:num>
  <w:num w:numId="43">
    <w:abstractNumId w:val="15"/>
  </w:num>
  <w:num w:numId="44">
    <w:abstractNumId w:val="42"/>
  </w:num>
  <w:num w:numId="45">
    <w:abstractNumId w:val="27"/>
  </w:num>
  <w:num w:numId="46">
    <w:abstractNumId w:val="34"/>
  </w:num>
  <w:num w:numId="47">
    <w:abstractNumId w:val="44"/>
  </w:num>
  <w:num w:numId="48">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8EB"/>
    <w:rsid w:val="000063BC"/>
    <w:rsid w:val="00006780"/>
    <w:rsid w:val="00006C7A"/>
    <w:rsid w:val="00007495"/>
    <w:rsid w:val="00007730"/>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0CC"/>
    <w:rsid w:val="000221EB"/>
    <w:rsid w:val="000222F7"/>
    <w:rsid w:val="000233F4"/>
    <w:rsid w:val="00023C29"/>
    <w:rsid w:val="00024D64"/>
    <w:rsid w:val="00024E37"/>
    <w:rsid w:val="0002506A"/>
    <w:rsid w:val="000255A1"/>
    <w:rsid w:val="000258DD"/>
    <w:rsid w:val="0002591B"/>
    <w:rsid w:val="00025C0D"/>
    <w:rsid w:val="000266AE"/>
    <w:rsid w:val="00026905"/>
    <w:rsid w:val="00026977"/>
    <w:rsid w:val="00026B7D"/>
    <w:rsid w:val="00026C64"/>
    <w:rsid w:val="00026EF9"/>
    <w:rsid w:val="00027333"/>
    <w:rsid w:val="000273DF"/>
    <w:rsid w:val="000300FE"/>
    <w:rsid w:val="00030619"/>
    <w:rsid w:val="000306F6"/>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15B"/>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4F98"/>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653"/>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0A7"/>
    <w:rsid w:val="001134DA"/>
    <w:rsid w:val="0011372B"/>
    <w:rsid w:val="00113D8F"/>
    <w:rsid w:val="0011405D"/>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B3D"/>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1C0"/>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18"/>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34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263"/>
    <w:rsid w:val="00170397"/>
    <w:rsid w:val="00170482"/>
    <w:rsid w:val="001706E4"/>
    <w:rsid w:val="001708D0"/>
    <w:rsid w:val="00170E05"/>
    <w:rsid w:val="001713A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AC"/>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6EB"/>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98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53"/>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3366"/>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1EE"/>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B8E"/>
    <w:rsid w:val="00304C9E"/>
    <w:rsid w:val="00305688"/>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6A57"/>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A08"/>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047"/>
    <w:rsid w:val="004213C2"/>
    <w:rsid w:val="004213E8"/>
    <w:rsid w:val="0042156E"/>
    <w:rsid w:val="00421EC6"/>
    <w:rsid w:val="004222BF"/>
    <w:rsid w:val="00422A01"/>
    <w:rsid w:val="00422B94"/>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C91"/>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173"/>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B8B"/>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3D88"/>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70D"/>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DAD"/>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BE7"/>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15A"/>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6F6B"/>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6F9C"/>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A99"/>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0DE"/>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13F"/>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3F23"/>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458"/>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F27"/>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724"/>
    <w:rsid w:val="00741A56"/>
    <w:rsid w:val="007420C9"/>
    <w:rsid w:val="00742695"/>
    <w:rsid w:val="00742A51"/>
    <w:rsid w:val="007431DD"/>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041"/>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BB4"/>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8B"/>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1B7"/>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3ABD"/>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1FA4"/>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4A"/>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56D"/>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8A2"/>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AFF"/>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5B8A"/>
    <w:rsid w:val="00916099"/>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1E"/>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20"/>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4DA"/>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C36"/>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8E4"/>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1C6"/>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892"/>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2"/>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84B"/>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1D6"/>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ECA"/>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B3D"/>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0F31"/>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AD2"/>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6FE"/>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A18"/>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A5"/>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411"/>
    <w:rsid w:val="00BE45C1"/>
    <w:rsid w:val="00BE51C7"/>
    <w:rsid w:val="00BE5515"/>
    <w:rsid w:val="00BE5613"/>
    <w:rsid w:val="00BE5813"/>
    <w:rsid w:val="00BE5C7E"/>
    <w:rsid w:val="00BE5E94"/>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C27"/>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F5"/>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BAF"/>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026"/>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928"/>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CFD"/>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3E43"/>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59FF"/>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5C"/>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0BD2"/>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6F1"/>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DAE"/>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3CE"/>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B5A"/>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43A"/>
    <w:rsid w:val="00E66446"/>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579C"/>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A44"/>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5B68"/>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32"/>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37E70"/>
    <w:rsid w:val="00F41D1F"/>
    <w:rsid w:val="00F426B0"/>
    <w:rsid w:val="00F42910"/>
    <w:rsid w:val="00F42C2B"/>
    <w:rsid w:val="00F43E72"/>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9BE"/>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5EC"/>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66"/>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4D0E"/>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6F9E"/>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F28A2"/>
    <w:rPr>
      <w:rFonts w:ascii="Arial" w:hAnsi="Arial"/>
      <w:b/>
      <w:i/>
      <w:noProof/>
      <w:sz w:val="18"/>
      <w:lang w:eastAsia="en-US"/>
    </w:rPr>
  </w:style>
  <w:style w:type="table" w:styleId="GridTable4-Accent1">
    <w:name w:val="Grid Table 4 Accent 1"/>
    <w:basedOn w:val="TableNormal"/>
    <w:uiPriority w:val="49"/>
    <w:rsid w:val="00DE3E5C"/>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61782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044966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HR33RHYHUWRF-4-1733</_dlc_DocId>
    <_dlc_DocIdUrl xmlns="c06861ca-3f08-4d07-bff7-bb15bac121f4">
      <Url>https://projects.qualcomm.com/sites/pentari/_layouts/15/DocIdRedir.aspx?ID=HR33RHYHUWRF-4-1733</Url>
      <Description>HR33RHYHUWRF-4-1733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DFAD6208-803B-47A1-9138-32FA68DBD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1415</Words>
  <Characters>8068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Common control resource set and UE-specific control resource set</vt:lpstr>
    </vt:vector>
  </TitlesOfParts>
  <Company>Qualcomm Inc.</Company>
  <LinksUpToDate>false</LinksUpToDate>
  <CharactersWithSpaces>9465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control resource set and UE-specific control resource set</dc:title>
  <dc:subject/>
  <dc:creator>Qualcomm Inc.</dc:creator>
  <cp:keywords/>
  <cp:lastModifiedBy>Lee, Heechoon</cp:lastModifiedBy>
  <cp:revision>4</cp:revision>
  <cp:lastPrinted>2014-11-07T05:38:00Z</cp:lastPrinted>
  <dcterms:created xsi:type="dcterms:W3CDTF">2017-02-07T05:48:00Z</dcterms:created>
  <dcterms:modified xsi:type="dcterms:W3CDTF">2017-02-07T05:49:00Z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eda40792-427c-42d0-94c0-7223bb0e6be4</vt:lpwstr>
  </property>
  <property fmtid="{D5CDD505-2E9C-101B-9397-08002B2CF9AE}" pid="4" name="_AdHocReviewCycleID">
    <vt:i4>-142651373</vt:i4>
  </property>
  <property fmtid="{D5CDD505-2E9C-101B-9397-08002B2CF9AE}" pid="5" name="_NewReviewCycle">
    <vt:lpwstr/>
  </property>
  <property fmtid="{D5CDD505-2E9C-101B-9397-08002B2CF9AE}" pid="6" name="_EmailSubject">
    <vt:lpwstr>Control channel contributions for RAN1#87</vt:lpwstr>
  </property>
  <property fmtid="{D5CDD505-2E9C-101B-9397-08002B2CF9AE}" pid="7" name="_AuthorEmail">
    <vt:lpwstr>jingsun@qti.qualcomm.com</vt:lpwstr>
  </property>
  <property fmtid="{D5CDD505-2E9C-101B-9397-08002B2CF9AE}" pid="8" name="_AuthorEmailDisplayName">
    <vt:lpwstr>Sun, Jing</vt:lpwstr>
  </property>
  <property fmtid="{D5CDD505-2E9C-101B-9397-08002B2CF9AE}" pid="9" name="_ReviewingToolsShownOnce">
    <vt:lpwstr/>
  </property>
</Properties>
</file>