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93EA8" w14:textId="32EC57E6"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3GPP TSG-RAN WG1 #8</w:t>
      </w:r>
      <w:r w:rsidR="00EC3C6A">
        <w:rPr>
          <w:rFonts w:ascii="Arial" w:hAnsi="Arial" w:cs="Arial"/>
          <w:b/>
          <w:sz w:val="24"/>
          <w:szCs w:val="24"/>
          <w:lang w:val="en-US"/>
        </w:rPr>
        <w:t>8</w:t>
      </w:r>
      <w:r>
        <w:rPr>
          <w:rFonts w:ascii="Arial" w:hAnsi="Arial" w:cs="Arial"/>
          <w:b/>
          <w:sz w:val="24"/>
          <w:szCs w:val="24"/>
          <w:lang w:val="en-US"/>
        </w:rPr>
        <w:t xml:space="preserve">                                                          </w:t>
      </w:r>
      <w:r>
        <w:rPr>
          <w:rFonts w:ascii="Arial" w:hAnsi="Arial" w:cs="Arial"/>
          <w:b/>
          <w:sz w:val="24"/>
          <w:szCs w:val="24"/>
          <w:lang w:val="en-US"/>
        </w:rPr>
        <w:tab/>
        <w:t xml:space="preserve">            </w:t>
      </w:r>
      <w:r w:rsidR="00AD3ABD" w:rsidRPr="00AD3ABD">
        <w:rPr>
          <w:rFonts w:ascii="Arial" w:hAnsi="Arial" w:cs="Arial"/>
          <w:b/>
          <w:sz w:val="24"/>
          <w:szCs w:val="24"/>
          <w:lang w:val="en-US"/>
        </w:rPr>
        <w:t>R1-1702528</w:t>
      </w:r>
    </w:p>
    <w:p w14:paraId="15251CEF" w14:textId="19B75C8C" w:rsidR="00995160" w:rsidRPr="001033C9" w:rsidRDefault="00995160" w:rsidP="00995160">
      <w:pPr>
        <w:tabs>
          <w:tab w:val="right" w:pos="9360"/>
        </w:tabs>
        <w:spacing w:after="0"/>
        <w:rPr>
          <w:rFonts w:ascii="Arial" w:hAnsi="Arial" w:cs="Arial"/>
          <w:b/>
          <w:sz w:val="24"/>
          <w:szCs w:val="24"/>
          <w:lang w:val="en-US"/>
        </w:rPr>
      </w:pPr>
      <w:r>
        <w:rPr>
          <w:rFonts w:ascii="Arial" w:hAnsi="Arial" w:cs="Arial"/>
          <w:b/>
          <w:sz w:val="24"/>
          <w:szCs w:val="24"/>
          <w:lang w:val="en-US"/>
        </w:rPr>
        <w:t>1</w:t>
      </w:r>
      <w:r w:rsidR="00EC3C6A">
        <w:rPr>
          <w:rFonts w:ascii="Arial" w:hAnsi="Arial" w:cs="Arial"/>
          <w:b/>
          <w:sz w:val="24"/>
          <w:szCs w:val="24"/>
          <w:lang w:val="en-US"/>
        </w:rPr>
        <w:t>3</w:t>
      </w:r>
      <w:r>
        <w:rPr>
          <w:rFonts w:ascii="Arial" w:hAnsi="Arial" w:cs="Arial"/>
          <w:b/>
          <w:sz w:val="24"/>
          <w:szCs w:val="24"/>
          <w:lang w:val="en-US"/>
        </w:rPr>
        <w:t>th – 1</w:t>
      </w:r>
      <w:r w:rsidR="00EC3C6A">
        <w:rPr>
          <w:rFonts w:ascii="Arial" w:hAnsi="Arial" w:cs="Arial"/>
          <w:b/>
          <w:sz w:val="24"/>
          <w:szCs w:val="24"/>
          <w:lang w:val="en-US"/>
        </w:rPr>
        <w:t>7</w:t>
      </w:r>
      <w:r>
        <w:rPr>
          <w:rFonts w:ascii="Arial" w:hAnsi="Arial" w:cs="Arial"/>
          <w:b/>
          <w:sz w:val="24"/>
          <w:szCs w:val="24"/>
          <w:lang w:val="en-US"/>
        </w:rPr>
        <w:t xml:space="preserve">th </w:t>
      </w:r>
      <w:r w:rsidR="00EC3C6A">
        <w:rPr>
          <w:rFonts w:ascii="Arial" w:hAnsi="Arial" w:cs="Arial"/>
          <w:b/>
          <w:sz w:val="24"/>
          <w:szCs w:val="24"/>
          <w:lang w:val="en-US"/>
        </w:rPr>
        <w:t>February</w:t>
      </w:r>
      <w:r w:rsidRPr="001033C9">
        <w:rPr>
          <w:rFonts w:ascii="Arial" w:hAnsi="Arial" w:cs="Arial"/>
          <w:b/>
          <w:sz w:val="24"/>
          <w:szCs w:val="24"/>
          <w:lang w:val="en-US"/>
        </w:rPr>
        <w:t>, 201</w:t>
      </w:r>
      <w:r w:rsidR="00EC3C6A">
        <w:rPr>
          <w:rFonts w:ascii="Arial" w:hAnsi="Arial" w:cs="Arial"/>
          <w:b/>
          <w:sz w:val="24"/>
          <w:szCs w:val="24"/>
          <w:lang w:val="en-US"/>
        </w:rPr>
        <w:t>7</w:t>
      </w:r>
    </w:p>
    <w:p w14:paraId="4BD3BC4A" w14:textId="445D0FC7" w:rsidR="00995160" w:rsidRDefault="00B64D6A" w:rsidP="00995160">
      <w:pPr>
        <w:tabs>
          <w:tab w:val="right" w:pos="9360"/>
        </w:tabs>
        <w:spacing w:after="0"/>
        <w:rPr>
          <w:rFonts w:ascii="Arial" w:hAnsi="Arial" w:cs="Arial"/>
          <w:b/>
          <w:sz w:val="24"/>
          <w:szCs w:val="24"/>
          <w:lang w:val="en-US"/>
        </w:rPr>
      </w:pPr>
      <w:r>
        <w:rPr>
          <w:rFonts w:ascii="Arial" w:hAnsi="Arial" w:cs="Arial"/>
          <w:b/>
          <w:sz w:val="24"/>
          <w:szCs w:val="24"/>
          <w:lang w:val="en-US"/>
        </w:rPr>
        <w:t>Athens</w:t>
      </w:r>
      <w:r w:rsidR="00995160">
        <w:rPr>
          <w:rFonts w:ascii="Arial" w:hAnsi="Arial" w:cs="Arial"/>
          <w:b/>
          <w:sz w:val="24"/>
          <w:szCs w:val="24"/>
          <w:lang w:val="en-US"/>
        </w:rPr>
        <w:t xml:space="preserve">, </w:t>
      </w:r>
      <w:r>
        <w:rPr>
          <w:rFonts w:ascii="Arial" w:hAnsi="Arial" w:cs="Arial"/>
          <w:b/>
          <w:sz w:val="24"/>
          <w:szCs w:val="24"/>
          <w:lang w:val="en-US"/>
        </w:rPr>
        <w:t>Greece</w:t>
      </w:r>
      <w:r w:rsidR="00995160">
        <w:rPr>
          <w:rFonts w:ascii="Arial" w:hAnsi="Arial" w:cs="Arial"/>
          <w:b/>
          <w:sz w:val="24"/>
          <w:szCs w:val="24"/>
          <w:lang w:val="en-US"/>
        </w:rPr>
        <w:t>.</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70DBA169"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E5204C" w:rsidRPr="00E5204C">
        <w:rPr>
          <w:rFonts w:ascii="Arial" w:hAnsi="Arial"/>
          <w:sz w:val="24"/>
          <w:lang w:val="en-US"/>
        </w:rPr>
        <w:t>7.2.1.4</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795397AD"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D3ABD" w:rsidRPr="00AD3ABD">
        <w:rPr>
          <w:rFonts w:ascii="Arial" w:hAnsi="Arial"/>
          <w:sz w:val="24"/>
          <w:lang w:val="en-US"/>
        </w:rPr>
        <w:t>UE capability for tracking different number of timings</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24DE1374" w14:textId="79412BBE" w:rsidR="003A17AE" w:rsidRDefault="005B5005" w:rsidP="005B5005">
      <w:pPr>
        <w:jc w:val="both"/>
      </w:pPr>
      <w:r>
        <w:t xml:space="preserve">In this contribution, we discuss the impact of tracking multiple distinct V2X timing with multi-carrier V2X operation. It is then proposed </w:t>
      </w:r>
      <w:r w:rsidR="00AE3869">
        <w:t xml:space="preserve">to have an </w:t>
      </w:r>
      <w:r>
        <w:t xml:space="preserve">UE capability </w:t>
      </w:r>
      <w:r w:rsidR="00AE3869">
        <w:t>for the number of distinct V2X timings that can be tracked by the UE.</w:t>
      </w:r>
    </w:p>
    <w:p w14:paraId="46BDCA97" w14:textId="09C54F00" w:rsidR="003A17AE" w:rsidRDefault="003A17AE" w:rsidP="003A17AE">
      <w:pPr>
        <w:ind w:left="1080"/>
        <w:jc w:val="both"/>
      </w:pPr>
    </w:p>
    <w:p w14:paraId="6D10FA08" w14:textId="5437FE60" w:rsidR="008B368F" w:rsidRDefault="005B5005" w:rsidP="00816C11">
      <w:pPr>
        <w:pStyle w:val="Heading1"/>
        <w:numPr>
          <w:ilvl w:val="0"/>
          <w:numId w:val="2"/>
        </w:numPr>
      </w:pPr>
      <w:r>
        <w:t>Tracking multiple timings in multicarrier V2X</w:t>
      </w:r>
    </w:p>
    <w:p w14:paraId="03268783" w14:textId="14ADBFAA" w:rsidR="00AE3869" w:rsidRDefault="00AE3869" w:rsidP="00AE3869">
      <w:pPr>
        <w:jc w:val="both"/>
      </w:pPr>
      <w:r>
        <w:t xml:space="preserve">In context of multi-carrier V2X operation, one aspect that is not yet discussed is the assumption of synchronous timing across carriers. A starting point can be to assume GNSS based timing reference for all the carriers such that all V2X carriers are synchronous. However, it is possible to have different offsets to align DFN and SFN on each of the carrier. </w:t>
      </w:r>
      <w:r w:rsidR="00C1077A">
        <w:t xml:space="preserve">For </w:t>
      </w:r>
      <w:proofErr w:type="gramStart"/>
      <w:r w:rsidR="00C1077A">
        <w:t>example</w:t>
      </w:r>
      <w:proofErr w:type="gramEnd"/>
      <w:r w:rsidR="00C1077A">
        <w:t xml:space="preserve"> a UE supporting </w:t>
      </w:r>
      <w:proofErr w:type="spellStart"/>
      <w:r w:rsidR="00C1077A">
        <w:t>Uu</w:t>
      </w:r>
      <w:proofErr w:type="spellEnd"/>
      <w:r w:rsidR="00C1077A">
        <w:t xml:space="preserve"> and two V2X </w:t>
      </w:r>
      <w:proofErr w:type="spellStart"/>
      <w:r w:rsidR="00C1077A">
        <w:t>sidelink</w:t>
      </w:r>
      <w:proofErr w:type="spellEnd"/>
      <w:r w:rsidR="00C1077A">
        <w:t xml:space="preserve"> carriers can have up to three timings. </w:t>
      </w:r>
      <w:proofErr w:type="spellStart"/>
      <w:r w:rsidR="00C1077A">
        <w:t>eNodeB</w:t>
      </w:r>
      <w:proofErr w:type="spellEnd"/>
      <w:r w:rsidR="00C1077A">
        <w:t xml:space="preserve"> time on the </w:t>
      </w:r>
      <w:proofErr w:type="spellStart"/>
      <w:r w:rsidR="00C1077A">
        <w:t>Uu</w:t>
      </w:r>
      <w:proofErr w:type="spellEnd"/>
      <w:r w:rsidR="00C1077A">
        <w:t xml:space="preserve">, GNSS time on one of the </w:t>
      </w:r>
      <w:proofErr w:type="spellStart"/>
      <w:r w:rsidR="00C1077A">
        <w:t>sidelink</w:t>
      </w:r>
      <w:proofErr w:type="spellEnd"/>
      <w:r w:rsidR="00C1077A">
        <w:t xml:space="preserve"> carrier and </w:t>
      </w:r>
      <w:proofErr w:type="spellStart"/>
      <w:r w:rsidR="00C1077A">
        <w:t>eNodeB</w:t>
      </w:r>
      <w:proofErr w:type="spellEnd"/>
      <w:r w:rsidR="00C1077A">
        <w:t xml:space="preserve"> timing with DFN offset on the other </w:t>
      </w:r>
      <w:proofErr w:type="spellStart"/>
      <w:r w:rsidR="00C1077A">
        <w:t>sidelink</w:t>
      </w:r>
      <w:proofErr w:type="spellEnd"/>
      <w:r w:rsidR="00C1077A">
        <w:t xml:space="preserve"> carrier.</w:t>
      </w:r>
    </w:p>
    <w:p w14:paraId="6958BC40" w14:textId="695D91E6" w:rsidR="00AE3869" w:rsidRDefault="006F51AA" w:rsidP="00AE3869">
      <w:pPr>
        <w:jc w:val="both"/>
      </w:pPr>
      <w:r>
        <w:t>From a</w:t>
      </w:r>
      <w:r w:rsidR="00AE3869">
        <w:t xml:space="preserve"> UE implementation viewpoint, having multiple distinct timings to be tracked introduces non-trivial implementation complexity</w:t>
      </w:r>
      <w:r w:rsidR="00F356B4">
        <w:t xml:space="preserve"> and unnecessarily increases the cost of UE</w:t>
      </w:r>
      <w:r w:rsidR="00AE3869">
        <w:t>. The impact on UE implementation is on both RF and baseband (FW/HW) designs:</w:t>
      </w:r>
    </w:p>
    <w:p w14:paraId="2BE301FC" w14:textId="5194ACD0" w:rsidR="008739E5" w:rsidRDefault="00AE3869" w:rsidP="00816C11">
      <w:pPr>
        <w:pStyle w:val="ListParagraph"/>
        <w:numPr>
          <w:ilvl w:val="0"/>
          <w:numId w:val="3"/>
        </w:numPr>
        <w:jc w:val="both"/>
      </w:pPr>
      <w:r w:rsidRPr="00AE3869">
        <w:rPr>
          <w:u w:val="single"/>
        </w:rPr>
        <w:t>RF impact</w:t>
      </w:r>
      <w:r>
        <w:t xml:space="preserve">: The maximum number of distinct timings that can be supported is limited by the number of </w:t>
      </w:r>
      <w:proofErr w:type="spellStart"/>
      <w:r>
        <w:t>Tx</w:t>
      </w:r>
      <w:proofErr w:type="spellEnd"/>
      <w:r>
        <w:t xml:space="preserve"> chains. The restriction arises since (typically) each timing chain is designed to handle only one timing. </w:t>
      </w:r>
      <w:r w:rsidR="008739E5">
        <w:t xml:space="preserve">A UE can support multiple V2X </w:t>
      </w:r>
      <w:proofErr w:type="spellStart"/>
      <w:r w:rsidR="008739E5">
        <w:t>sidelink</w:t>
      </w:r>
      <w:proofErr w:type="spellEnd"/>
      <w:r w:rsidR="008739E5">
        <w:t xml:space="preserve"> channels by having a dedicated receiver chain per channel but a shared transmitter chain across the </w:t>
      </w:r>
      <w:proofErr w:type="spellStart"/>
      <w:r w:rsidR="008739E5">
        <w:t>sidelink</w:t>
      </w:r>
      <w:proofErr w:type="spellEnd"/>
      <w:r w:rsidR="008739E5">
        <w:t xml:space="preserve"> channels. </w:t>
      </w:r>
      <w:r w:rsidR="00F356B4">
        <w:t xml:space="preserve">A good example of this intra-band contiguous V2X </w:t>
      </w:r>
      <w:proofErr w:type="spellStart"/>
      <w:r w:rsidR="00F356B4">
        <w:t>sidelink</w:t>
      </w:r>
      <w:proofErr w:type="spellEnd"/>
      <w:r w:rsidR="00F356B4">
        <w:t xml:space="preserve"> CA being studied in RAN4. Here the timing of all V2X </w:t>
      </w:r>
      <w:proofErr w:type="spellStart"/>
      <w:r w:rsidR="00F356B4">
        <w:t>sidelink</w:t>
      </w:r>
      <w:proofErr w:type="spellEnd"/>
      <w:r w:rsidR="00F356B4">
        <w:t xml:space="preserve"> carriers needs to be synchronized. So the number of timing supported is lesser than the number of total carriers supported.</w:t>
      </w:r>
    </w:p>
    <w:p w14:paraId="6962B89E" w14:textId="18F4C630" w:rsidR="00AE3869" w:rsidRDefault="00AE3869" w:rsidP="001C0B3F">
      <w:pPr>
        <w:pStyle w:val="ListParagraph"/>
        <w:jc w:val="both"/>
      </w:pPr>
      <w:bookmarkStart w:id="2" w:name="_GoBack"/>
      <w:bookmarkEnd w:id="2"/>
    </w:p>
    <w:p w14:paraId="2D422291" w14:textId="3B59D349" w:rsidR="006F51AA" w:rsidRDefault="006F51AA" w:rsidP="00816C11">
      <w:pPr>
        <w:pStyle w:val="ListParagraph"/>
        <w:numPr>
          <w:ilvl w:val="0"/>
          <w:numId w:val="3"/>
        </w:numPr>
        <w:jc w:val="both"/>
      </w:pPr>
      <w:r>
        <w:rPr>
          <w:u w:val="single"/>
        </w:rPr>
        <w:t>Baseband impact</w:t>
      </w:r>
      <w:r w:rsidRPr="006F51AA">
        <w:t>:</w:t>
      </w:r>
      <w:r>
        <w:t xml:space="preserve"> The main impact to firmware design and hardware sharing among different timings. Firmware architecture typically involves alignment of firmware states/context with respect to the </w:t>
      </w:r>
      <w:proofErr w:type="spellStart"/>
      <w:r>
        <w:t>subframe</w:t>
      </w:r>
      <w:proofErr w:type="spellEnd"/>
      <w:r>
        <w:t xml:space="preserve"> boundaries. Usage of HW resources are then partitioned with these boundaries in mind. With multiple asynchronous timings, this introduces greater complexity of managing HW resource split between the asynchronous firmware threads.</w:t>
      </w:r>
      <w:r w:rsidR="006D6015">
        <w:t xml:space="preserve"> This is a limitation for both the </w:t>
      </w:r>
      <w:proofErr w:type="spellStart"/>
      <w:r w:rsidR="006D6015">
        <w:t>tx</w:t>
      </w:r>
      <w:proofErr w:type="spellEnd"/>
      <w:r w:rsidR="006D6015">
        <w:t xml:space="preserve"> and </w:t>
      </w:r>
      <w:proofErr w:type="spellStart"/>
      <w:r w:rsidR="006D6015">
        <w:t>rx</w:t>
      </w:r>
      <w:proofErr w:type="spellEnd"/>
      <w:r w:rsidR="006D6015">
        <w:t xml:space="preserve"> procedure.</w:t>
      </w:r>
    </w:p>
    <w:p w14:paraId="55B6CA32" w14:textId="32208D22" w:rsidR="006F51AA" w:rsidRDefault="006F51AA" w:rsidP="006F51AA">
      <w:pPr>
        <w:jc w:val="both"/>
      </w:pPr>
      <w:r>
        <w:t xml:space="preserve">Due to these impact of UE implementation, we propose a UE capability indication of the number of asynchronous timings that can be supported by the UE with multicarrier V2X. </w:t>
      </w:r>
    </w:p>
    <w:p w14:paraId="6DAB9893" w14:textId="6B092BE5" w:rsidR="006F51AA" w:rsidRDefault="006F51AA" w:rsidP="006F51AA">
      <w:pPr>
        <w:jc w:val="both"/>
      </w:pPr>
    </w:p>
    <w:p w14:paraId="59E5F0FE" w14:textId="25D310E5" w:rsidR="006F51AA" w:rsidRDefault="006F51AA" w:rsidP="006F51AA">
      <w:pPr>
        <w:jc w:val="both"/>
      </w:pPr>
      <w:r w:rsidRPr="006F51AA">
        <w:rPr>
          <w:b/>
        </w:rPr>
        <w:t>Proposal 1:</w:t>
      </w:r>
      <w:r>
        <w:t xml:space="preserve"> Introduce a</w:t>
      </w:r>
      <w:r w:rsidRPr="006F51AA">
        <w:t xml:space="preserve"> </w:t>
      </w:r>
      <w:r>
        <w:t>UE capability indication of the number of asynchronous timings that can be supported by the UE for multicarrier V2X.</w:t>
      </w:r>
      <w:r w:rsidR="006D6015">
        <w:t xml:space="preserve"> This capability applies to both </w:t>
      </w:r>
      <w:proofErr w:type="spellStart"/>
      <w:r w:rsidR="006D6015">
        <w:t>tx</w:t>
      </w:r>
      <w:proofErr w:type="spellEnd"/>
      <w:r w:rsidR="006D6015">
        <w:t xml:space="preserve"> and </w:t>
      </w:r>
      <w:proofErr w:type="spellStart"/>
      <w:r w:rsidR="006D6015">
        <w:t>rx</w:t>
      </w:r>
      <w:proofErr w:type="spellEnd"/>
      <w:r w:rsidR="006D6015">
        <w:t xml:space="preserve"> processing.</w:t>
      </w:r>
    </w:p>
    <w:p w14:paraId="53524841" w14:textId="615F113A" w:rsidR="00F9749E" w:rsidRDefault="00BA30AA" w:rsidP="00F9749E">
      <w:pPr>
        <w:pStyle w:val="Heading1"/>
      </w:pPr>
      <w:r>
        <w:rPr>
          <w:i/>
        </w:rPr>
        <w:lastRenderedPageBreak/>
        <w:t>8</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01B4CAC8" w14:textId="46F6FD1A" w:rsidR="006F51AA" w:rsidRDefault="006F51AA" w:rsidP="006F51AA">
      <w:pPr>
        <w:jc w:val="both"/>
      </w:pPr>
      <w:r w:rsidRPr="006F51AA">
        <w:rPr>
          <w:b/>
        </w:rPr>
        <w:t>Proposal 1:</w:t>
      </w:r>
      <w:r>
        <w:t xml:space="preserve"> Introduce a</w:t>
      </w:r>
      <w:r w:rsidRPr="006F51AA">
        <w:t xml:space="preserve"> </w:t>
      </w:r>
      <w:r>
        <w:t>UE capability indication of the number of asynchronous timings that can be supported by the UE for multicarrier V2X.</w:t>
      </w:r>
      <w:r w:rsidR="00CB7833">
        <w:t xml:space="preserve"> This capability applies to both </w:t>
      </w:r>
      <w:proofErr w:type="spellStart"/>
      <w:r w:rsidR="00CB7833">
        <w:t>tx</w:t>
      </w:r>
      <w:proofErr w:type="spellEnd"/>
      <w:r w:rsidR="00CB7833">
        <w:t xml:space="preserve"> and </w:t>
      </w:r>
      <w:proofErr w:type="spellStart"/>
      <w:r w:rsidR="00CB7833">
        <w:t>rx</w:t>
      </w:r>
      <w:proofErr w:type="spellEnd"/>
      <w:r w:rsidR="00CB7833">
        <w:t xml:space="preserve"> processing.</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t>References</w:t>
      </w:r>
    </w:p>
    <w:p w14:paraId="54538AB5" w14:textId="3D3EACF1" w:rsidR="00930A51" w:rsidRDefault="00E52CAC" w:rsidP="00816C11">
      <w:pPr>
        <w:numPr>
          <w:ilvl w:val="0"/>
          <w:numId w:val="1"/>
        </w:numPr>
        <w:spacing w:after="0"/>
      </w:pPr>
      <w:r>
        <w:rPr>
          <w:bCs/>
          <w:shd w:val="clear" w:color="auto" w:fill="FFFFFF"/>
        </w:rPr>
        <w:t>Chairman’s Notes, RAN1#87</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1b4827f-6107-4548-85d2-bee677143c1f"/>
    <ds:schemaRef ds:uri="http://www.w3.org/XML/1998/namespace"/>
    <ds:schemaRef ds:uri="http://purl.org/dc/dcmitype/"/>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C7F93621-139C-49C2-A80C-DCB38A7C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171</cp:revision>
  <dcterms:created xsi:type="dcterms:W3CDTF">2016-08-12T23:58:00Z</dcterms:created>
  <dcterms:modified xsi:type="dcterms:W3CDTF">2017-02-03T21:00:00Z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