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7A2EE9B6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717E1F">
        <w:rPr>
          <w:rFonts w:ascii="Arial" w:hAnsi="Arial" w:cs="Arial"/>
          <w:b/>
          <w:sz w:val="24"/>
        </w:rPr>
        <w:t>8</w:t>
      </w:r>
      <w:r w:rsidR="00E926CB">
        <w:rPr>
          <w:rFonts w:ascii="Arial" w:hAnsi="Arial" w:cs="Arial"/>
          <w:b/>
          <w:sz w:val="24"/>
        </w:rPr>
        <w:t xml:space="preserve">   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E674E3">
        <w:rPr>
          <w:rFonts w:ascii="Arial" w:hAnsi="Arial" w:cs="Arial"/>
          <w:b/>
          <w:sz w:val="24"/>
          <w:lang w:eastAsia="zh-CN"/>
        </w:rPr>
        <w:t>2252</w:t>
      </w:r>
    </w:p>
    <w:p w14:paraId="5C3E292E" w14:textId="02AD2F41" w:rsidR="00EB10CB" w:rsidRPr="00FC7BBB" w:rsidRDefault="00717E1F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D92C38">
        <w:rPr>
          <w:rFonts w:ascii="Arial" w:hAnsi="Arial" w:cs="Arial"/>
          <w:b/>
          <w:bCs/>
          <w:sz w:val="24"/>
        </w:rPr>
        <w:t xml:space="preserve">, </w:t>
      </w:r>
      <w:r w:rsidR="00D92C3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="00AD59C9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 w:rsidR="00D92C3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926CB" w:rsidRPr="005648B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February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2E1A1C84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BF6FF4">
        <w:rPr>
          <w:rFonts w:ascii="Arial" w:hAnsi="Arial"/>
          <w:b/>
          <w:sz w:val="24"/>
        </w:rPr>
        <w:t>8.1.8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2B095711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BF6FF4">
        <w:rPr>
          <w:rFonts w:ascii="Arial" w:hAnsi="Arial"/>
          <w:b/>
          <w:sz w:val="24"/>
        </w:rPr>
        <w:t>Remaining LTE-NR coexistence issues and handling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3667B402" w:rsidR="00AC631B" w:rsidRDefault="00AC631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the last RAN WG1</w:t>
      </w:r>
      <w:r w:rsidR="00BF6FF4">
        <w:rPr>
          <w:sz w:val="20"/>
          <w:szCs w:val="20"/>
          <w:lang w:val="en-US"/>
        </w:rPr>
        <w:t xml:space="preserve"> NR Ad-Hoc</w:t>
      </w:r>
      <w:r>
        <w:rPr>
          <w:sz w:val="20"/>
          <w:szCs w:val="20"/>
          <w:lang w:val="en-US"/>
        </w:rPr>
        <w:t xml:space="preserve"> Meeting, the following agreement</w:t>
      </w:r>
      <w:r w:rsidR="00BF6FF4">
        <w:rPr>
          <w:sz w:val="20"/>
          <w:szCs w:val="20"/>
          <w:lang w:val="en-US"/>
        </w:rPr>
        <w:t xml:space="preserve">s were made regarding the LTE-NR coexistence </w:t>
      </w:r>
      <w:r>
        <w:rPr>
          <w:sz w:val="20"/>
          <w:szCs w:val="20"/>
          <w:lang w:val="en-US"/>
        </w:rPr>
        <w:t>[1]</w:t>
      </w:r>
      <w:r w:rsidR="00991F9D">
        <w:rPr>
          <w:sz w:val="20"/>
          <w:szCs w:val="20"/>
          <w:lang w:val="en-US"/>
        </w:rPr>
        <w:t>.</w:t>
      </w:r>
    </w:p>
    <w:p w14:paraId="57735A3F" w14:textId="77777777" w:rsidR="008475FE" w:rsidRDefault="008475FE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475FE" w14:paraId="3EEBE14E" w14:textId="77777777" w:rsidTr="008475FE">
        <w:tc>
          <w:tcPr>
            <w:tcW w:w="9962" w:type="dxa"/>
          </w:tcPr>
          <w:p w14:paraId="74CD12FB" w14:textId="77777777" w:rsidR="00DC0003" w:rsidRPr="00C02FF6" w:rsidRDefault="00DC0003" w:rsidP="00BF6FF4">
            <w:pPr>
              <w:spacing w:before="0" w:after="0" w:line="240" w:lineRule="auto"/>
              <w:rPr>
                <w:sz w:val="10"/>
                <w:highlight w:val="green"/>
                <w:lang w:val="en-US"/>
              </w:rPr>
            </w:pPr>
          </w:p>
          <w:p w14:paraId="1C5CB1D8" w14:textId="77777777" w:rsidR="00BF6FF4" w:rsidRPr="009568C4" w:rsidRDefault="00BF6FF4" w:rsidP="00BF6FF4">
            <w:pPr>
              <w:spacing w:before="0" w:after="0" w:line="240" w:lineRule="auto"/>
              <w:rPr>
                <w:lang w:val="en-US"/>
              </w:rPr>
            </w:pPr>
            <w:r w:rsidRPr="009568C4">
              <w:rPr>
                <w:highlight w:val="green"/>
                <w:lang w:val="en-US"/>
              </w:rPr>
              <w:t>Agreements</w:t>
            </w:r>
            <w:r w:rsidRPr="009568C4">
              <w:rPr>
                <w:lang w:val="en-US"/>
              </w:rPr>
              <w:t>:</w:t>
            </w:r>
          </w:p>
          <w:p w14:paraId="2B1F69F6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NR supports </w:t>
            </w:r>
            <w:r w:rsidRPr="009568C4">
              <w:rPr>
                <w:lang w:val="en-US"/>
              </w:rPr>
              <w:t>efficient</w:t>
            </w:r>
            <w:r w:rsidRPr="009568C4">
              <w:rPr>
                <w:rFonts w:hint="eastAsia"/>
                <w:lang w:val="en-US"/>
              </w:rPr>
              <w:t xml:space="preserve"> adjacent channel co-existence with LTE-TDD using UL-DL configurations 0,1,2,3,4,5 in unpaired spectrum</w:t>
            </w:r>
            <w:r w:rsidRPr="009568C4">
              <w:rPr>
                <w:lang w:val="en-US"/>
              </w:rPr>
              <w:t xml:space="preserve">  </w:t>
            </w:r>
          </w:p>
          <w:p w14:paraId="6F30C893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FFS detailed mechanism</w:t>
            </w:r>
          </w:p>
          <w:p w14:paraId="3D8B90CF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NR supports </w:t>
            </w:r>
            <w:r w:rsidRPr="009568C4">
              <w:rPr>
                <w:lang w:val="en-US"/>
              </w:rPr>
              <w:t>efficient</w:t>
            </w:r>
            <w:r w:rsidRPr="009568C4">
              <w:rPr>
                <w:rFonts w:hint="eastAsia"/>
                <w:lang w:val="en-US"/>
              </w:rPr>
              <w:t xml:space="preserve"> adjacent channel co-existence with LTE-TDD using all the special </w:t>
            </w:r>
            <w:proofErr w:type="spellStart"/>
            <w:r w:rsidRPr="009568C4">
              <w:rPr>
                <w:rFonts w:hint="eastAsia"/>
                <w:lang w:val="en-US"/>
              </w:rPr>
              <w:t>subframe</w:t>
            </w:r>
            <w:proofErr w:type="spellEnd"/>
            <w:r w:rsidRPr="009568C4">
              <w:rPr>
                <w:rFonts w:hint="eastAsia"/>
                <w:lang w:val="en-US"/>
              </w:rPr>
              <w:t xml:space="preserve"> configurations in unpaired spectrum</w:t>
            </w:r>
          </w:p>
          <w:p w14:paraId="2E3F3423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Notes:</w:t>
            </w:r>
          </w:p>
          <w:p w14:paraId="49BFDB83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The above bullets does not necessarily imply that two or more frame structures are to be defined for NR</w:t>
            </w:r>
          </w:p>
          <w:p w14:paraId="6054FE4A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The wording “efficient” in the above two bullets does not imply exact alignment of configurations</w:t>
            </w:r>
          </w:p>
          <w:p w14:paraId="37AC4496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RAN1 has agreed the following</w:t>
            </w:r>
          </w:p>
          <w:p w14:paraId="66CFF0F4" w14:textId="77777777" w:rsidR="00BF6FF4" w:rsidRPr="009568C4" w:rsidRDefault="00BF6FF4" w:rsidP="00BF6FF4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Design at least one semi-statically assigned DL/UL transmission direction configuration for NR that avoids DL/UL interference with at least one LTE TDD DL/UL configuration and special </w:t>
            </w:r>
            <w:proofErr w:type="spellStart"/>
            <w:r w:rsidRPr="009568C4">
              <w:rPr>
                <w:rFonts w:hint="eastAsia"/>
                <w:lang w:val="en-US"/>
              </w:rPr>
              <w:t>subframe</w:t>
            </w:r>
            <w:proofErr w:type="spellEnd"/>
            <w:r w:rsidRPr="009568C4">
              <w:rPr>
                <w:rFonts w:hint="eastAsia"/>
                <w:lang w:val="en-US"/>
              </w:rPr>
              <w:t xml:space="preserve"> configuration</w:t>
            </w:r>
          </w:p>
          <w:p w14:paraId="4A942206" w14:textId="77777777" w:rsidR="00BF6FF4" w:rsidRDefault="00BF6FF4" w:rsidP="00BF6FF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b/>
                <w:szCs w:val="24"/>
                <w:u w:val="single"/>
                <w:lang w:val="en-US" w:eastAsia="ja-JP"/>
              </w:rPr>
            </w:pPr>
          </w:p>
          <w:p w14:paraId="54368CE3" w14:textId="77777777" w:rsidR="00BF6FF4" w:rsidRPr="008D5FE3" w:rsidRDefault="00BF6FF4" w:rsidP="00BF6FF4">
            <w:pPr>
              <w:spacing w:before="0" w:after="0" w:line="240" w:lineRule="auto"/>
              <w:rPr>
                <w:lang w:val="en-US"/>
              </w:rPr>
            </w:pPr>
            <w:r w:rsidRPr="008D5FE3">
              <w:rPr>
                <w:highlight w:val="green"/>
                <w:lang w:val="en-US"/>
              </w:rPr>
              <w:t>Agreements</w:t>
            </w:r>
            <w:r w:rsidRPr="008D5FE3">
              <w:rPr>
                <w:lang w:val="en-US"/>
              </w:rPr>
              <w:t>:</w:t>
            </w:r>
          </w:p>
          <w:p w14:paraId="4BC7B85B" w14:textId="77777777" w:rsidR="00BF6FF4" w:rsidRPr="008D5FE3" w:rsidRDefault="00BF6FF4" w:rsidP="00BF6FF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8D5FE3">
              <w:t xml:space="preserve">Supporting NR DL in MBSFN </w:t>
            </w:r>
            <w:proofErr w:type="spellStart"/>
            <w:r w:rsidRPr="008D5FE3">
              <w:t>subframes</w:t>
            </w:r>
            <w:proofErr w:type="spellEnd"/>
            <w:r w:rsidRPr="008D5FE3">
              <w:t xml:space="preserve"> of LTE</w:t>
            </w:r>
          </w:p>
          <w:p w14:paraId="5CA63CA2" w14:textId="49D5B672" w:rsidR="008475FE" w:rsidRPr="00BF6FF4" w:rsidRDefault="00BF6FF4" w:rsidP="00BF6FF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8D5FE3">
              <w:t>FFS details</w:t>
            </w:r>
          </w:p>
          <w:p w14:paraId="4E982C64" w14:textId="3F8B436B" w:rsidR="00363CE1" w:rsidRPr="00C02FF6" w:rsidRDefault="00363CE1" w:rsidP="00363CE1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 w:val="16"/>
                <w:szCs w:val="24"/>
                <w:lang w:eastAsia="ja-JP"/>
              </w:rPr>
            </w:pPr>
          </w:p>
        </w:tc>
      </w:tr>
    </w:tbl>
    <w:p w14:paraId="0D7A68AB" w14:textId="38EC723F" w:rsidR="00DD34FD" w:rsidRDefault="00065EBA" w:rsidP="00751C18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BF6FF4">
        <w:rPr>
          <w:sz w:val="20"/>
          <w:szCs w:val="20"/>
          <w:lang w:val="en-US"/>
        </w:rPr>
        <w:t xml:space="preserve"> </w:t>
      </w:r>
      <w:r w:rsidR="00DD34FD">
        <w:rPr>
          <w:sz w:val="20"/>
          <w:szCs w:val="20"/>
          <w:lang w:val="en-US"/>
        </w:rPr>
        <w:t xml:space="preserve">various remaining LTE-NR coexistence issues will be discussed. In particular, </w:t>
      </w:r>
      <w:r w:rsidR="006B6001">
        <w:rPr>
          <w:sz w:val="20"/>
          <w:szCs w:val="20"/>
          <w:lang w:val="en-US"/>
        </w:rPr>
        <w:t xml:space="preserve">the discussions in this contributions </w:t>
      </w:r>
      <w:r w:rsidR="009D7A12">
        <w:rPr>
          <w:sz w:val="20"/>
          <w:szCs w:val="20"/>
          <w:lang w:val="en-US"/>
        </w:rPr>
        <w:t>relate</w:t>
      </w:r>
      <w:r w:rsidR="006B6001">
        <w:rPr>
          <w:sz w:val="20"/>
          <w:szCs w:val="20"/>
          <w:lang w:val="en-US"/>
        </w:rPr>
        <w:t xml:space="preserve"> to </w:t>
      </w:r>
      <w:r w:rsidR="00DC0003">
        <w:rPr>
          <w:sz w:val="20"/>
          <w:szCs w:val="20"/>
          <w:lang w:val="en-US"/>
        </w:rPr>
        <w:t>the scenario</w:t>
      </w:r>
      <w:r w:rsidR="009D7A12">
        <w:rPr>
          <w:sz w:val="20"/>
          <w:szCs w:val="20"/>
          <w:lang w:val="en-US"/>
        </w:rPr>
        <w:t>s</w:t>
      </w:r>
      <w:r w:rsidR="00DC0003">
        <w:rPr>
          <w:sz w:val="20"/>
          <w:szCs w:val="20"/>
          <w:lang w:val="en-US"/>
        </w:rPr>
        <w:t xml:space="preserve"> when the LTE/NR coexist in the adjacent channels and when the NR utilizes LTE MBSFN </w:t>
      </w:r>
      <w:proofErr w:type="spellStart"/>
      <w:r w:rsidR="00DC0003">
        <w:rPr>
          <w:sz w:val="20"/>
          <w:szCs w:val="20"/>
          <w:lang w:val="en-US"/>
        </w:rPr>
        <w:t>subframes</w:t>
      </w:r>
      <w:proofErr w:type="spellEnd"/>
      <w:r w:rsidR="00DC0003">
        <w:rPr>
          <w:sz w:val="20"/>
          <w:szCs w:val="20"/>
          <w:lang w:val="en-US"/>
        </w:rPr>
        <w:t xml:space="preserve"> for DL transmission.</w:t>
      </w:r>
    </w:p>
    <w:p w14:paraId="5994CE5F" w14:textId="78F4EA2F" w:rsidR="00105FC8" w:rsidRDefault="00A528C1" w:rsidP="00751C18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Remaining</w:t>
      </w:r>
      <w:r w:rsidR="00105FC8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LTE-NR coexistence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issues</w:t>
      </w:r>
    </w:p>
    <w:p w14:paraId="44180316" w14:textId="6297C11B" w:rsidR="0058371F" w:rsidRPr="00751C18" w:rsidRDefault="00A528C1" w:rsidP="0058371F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</w:t>
      </w:r>
      <w:r w:rsidR="0058371F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djacent channel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coexistence</w:t>
      </w:r>
    </w:p>
    <w:p w14:paraId="207A0994" w14:textId="4ED38BD2" w:rsidR="00CE14E1" w:rsidRDefault="00D65274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Per the agreement made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in the last meeting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NR supports 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‘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efficient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’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 adjacent channel coexistence with LTE-TDD in unpaired spectrum.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 xml:space="preserve"> In this subsection, we try to address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how the 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>adjacent channel coexistence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could be ‘efficient’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 xml:space="preserve"> for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collocated and non-collocated </w:t>
      </w:r>
      <w:r w:rsidR="009D7A12">
        <w:rPr>
          <w:b w:val="0"/>
          <w:snapToGrid/>
          <w:color w:val="000000" w:themeColor="text1"/>
          <w:kern w:val="2"/>
          <w:sz w:val="20"/>
          <w:lang w:val="en-US"/>
        </w:rPr>
        <w:t>cases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764FCB27" w14:textId="20A2EE91" w:rsidR="00CE14E1" w:rsidRDefault="00CE14E1" w:rsidP="007313D4">
      <w:pPr>
        <w:pStyle w:val="LGTdoc1"/>
        <w:spacing w:beforeLines="0" w:before="24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Collocated </w:t>
      </w:r>
      <w:r w:rsidR="007313D4"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>LTE-NR base stations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573344DB" w14:textId="41B49F0E" w:rsidR="00823412" w:rsidRDefault="009D7A12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I</w:t>
      </w:r>
      <w:r w:rsidR="004C42ED">
        <w:rPr>
          <w:b w:val="0"/>
          <w:snapToGrid/>
          <w:color w:val="000000" w:themeColor="text1"/>
          <w:kern w:val="2"/>
          <w:sz w:val="20"/>
          <w:lang w:val="en-US"/>
        </w:rPr>
        <w:t xml:space="preserve">t is reasonable to assume that 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 xml:space="preserve">single RF front-end will be shared between </w:t>
      </w:r>
      <w:proofErr w:type="spellStart"/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 xml:space="preserve"> and </w:t>
      </w:r>
      <w:proofErr w:type="spellStart"/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, which mandates that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 xml:space="preserve"> the transmission directions of the adjacent channels 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 xml:space="preserve">must be perfectly aligned. 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Although it is unlikely, e</w:t>
      </w:r>
      <w:r w:rsidR="006D45EC">
        <w:rPr>
          <w:b w:val="0"/>
          <w:snapToGrid/>
          <w:color w:val="000000" w:themeColor="text1"/>
          <w:kern w:val="2"/>
          <w:sz w:val="20"/>
          <w:lang w:val="en-US"/>
        </w:rPr>
        <w:t>ven i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 xml:space="preserve">f </w:t>
      </w:r>
      <w:r w:rsidR="006D45EC">
        <w:rPr>
          <w:b w:val="0"/>
          <w:snapToGrid/>
          <w:color w:val="000000" w:themeColor="text1"/>
          <w:kern w:val="2"/>
          <w:sz w:val="20"/>
          <w:lang w:val="en-US"/>
        </w:rPr>
        <w:t xml:space="preserve">the collocated </w:t>
      </w:r>
      <w:proofErr w:type="spellStart"/>
      <w:r w:rsidR="006D45EC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="006D45EC">
        <w:rPr>
          <w:b w:val="0"/>
          <w:snapToGrid/>
          <w:color w:val="000000" w:themeColor="text1"/>
          <w:kern w:val="2"/>
          <w:sz w:val="20"/>
          <w:lang w:val="en-US"/>
        </w:rPr>
        <w:t xml:space="preserve"> and </w:t>
      </w:r>
      <w:proofErr w:type="spellStart"/>
      <w:r w:rsidR="006D45EC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6D45EC">
        <w:rPr>
          <w:b w:val="0"/>
          <w:snapToGrid/>
          <w:color w:val="000000" w:themeColor="text1"/>
          <w:kern w:val="2"/>
          <w:sz w:val="20"/>
          <w:lang w:val="en-US"/>
        </w:rPr>
        <w:t xml:space="preserve"> use different RF front-end, the </w:t>
      </w:r>
      <w:r w:rsidR="00EE15E0">
        <w:rPr>
          <w:b w:val="0"/>
          <w:snapToGrid/>
          <w:color w:val="000000" w:themeColor="text1"/>
          <w:kern w:val="2"/>
          <w:sz w:val="20"/>
          <w:lang w:val="en-US"/>
        </w:rPr>
        <w:t xml:space="preserve">effect of self-interference would 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 xml:space="preserve">not allow </w:t>
      </w:r>
      <w:r w:rsidR="00EE15E0">
        <w:rPr>
          <w:b w:val="0"/>
          <w:snapToGrid/>
          <w:color w:val="000000" w:themeColor="text1"/>
          <w:kern w:val="2"/>
          <w:sz w:val="20"/>
          <w:lang w:val="en-US"/>
        </w:rPr>
        <w:t xml:space="preserve">the adjacent carriers to operate in 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different</w:t>
      </w:r>
      <w:r w:rsidR="00EE15E0">
        <w:rPr>
          <w:b w:val="0"/>
          <w:snapToGrid/>
          <w:color w:val="000000" w:themeColor="text1"/>
          <w:kern w:val="2"/>
          <w:sz w:val="20"/>
          <w:lang w:val="en-US"/>
        </w:rPr>
        <w:t xml:space="preserve"> direction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 w:rsidR="00EE15E0">
        <w:rPr>
          <w:b w:val="0"/>
          <w:snapToGrid/>
          <w:color w:val="000000" w:themeColor="text1"/>
          <w:kern w:val="2"/>
          <w:sz w:val="20"/>
          <w:lang w:val="en-US"/>
        </w:rPr>
        <w:t xml:space="preserve">. In this 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 xml:space="preserve">regard, </w:t>
      </w:r>
      <w:r w:rsidR="00823412">
        <w:rPr>
          <w:b w:val="0"/>
          <w:snapToGrid/>
          <w:color w:val="000000" w:themeColor="text1"/>
          <w:kern w:val="2"/>
          <w:sz w:val="20"/>
          <w:lang w:val="en-US"/>
        </w:rPr>
        <w:t>the most straightforward way to support efficient adjacent channel co-existence between LTE-TDD and NR would be to make DL/UL directions perfectly aligned.</w:t>
      </w:r>
    </w:p>
    <w:p w14:paraId="29732CD6" w14:textId="384CE564" w:rsidR="00BC0D30" w:rsidRDefault="00681245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lastRenderedPageBreak/>
        <w:t xml:space="preserve">However, if some LTE UL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>on all the adjacent LTE carriers are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unused due </w:t>
      </w:r>
      <w:r w:rsidR="00C10E6E">
        <w:rPr>
          <w:b w:val="0"/>
          <w:snapToGrid/>
          <w:color w:val="000000" w:themeColor="text1"/>
          <w:kern w:val="2"/>
          <w:sz w:val="20"/>
          <w:lang w:val="en-US"/>
        </w:rPr>
        <w:t>to, e.g., no UL data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, the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>may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instantly inform the </w:t>
      </w:r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 xml:space="preserve">collocated </w:t>
      </w:r>
      <w:proofErr w:type="spellStart"/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 xml:space="preserve"> such that 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>those</w:t>
      </w:r>
      <w:r w:rsidR="00025684">
        <w:rPr>
          <w:b w:val="0"/>
          <w:snapToGrid/>
          <w:color w:val="000000" w:themeColor="text1"/>
          <w:kern w:val="2"/>
          <w:sz w:val="20"/>
          <w:lang w:val="en-US"/>
        </w:rPr>
        <w:t xml:space="preserve"> unused UL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 xml:space="preserve">can 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be </w:t>
      </w:r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>flexibly use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>d</w:t>
      </w:r>
      <w:r w:rsidR="00191A77">
        <w:rPr>
          <w:b w:val="0"/>
          <w:snapToGrid/>
          <w:color w:val="000000" w:themeColor="text1"/>
          <w:kern w:val="2"/>
          <w:sz w:val="20"/>
          <w:lang w:val="en-US"/>
        </w:rPr>
        <w:t xml:space="preserve"> for either UL or DL. </w:t>
      </w:r>
      <w:r w:rsidR="00025684">
        <w:rPr>
          <w:b w:val="0"/>
          <w:snapToGrid/>
          <w:color w:val="000000" w:themeColor="text1"/>
          <w:kern w:val="2"/>
          <w:sz w:val="20"/>
          <w:lang w:val="en-US"/>
        </w:rPr>
        <w:t xml:space="preserve">This 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>operation is illustrated in Figure 1 below.</w:t>
      </w:r>
      <w:r w:rsidR="00C36F82" w:rsidRPr="00C36F82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C36F82">
        <w:rPr>
          <w:b w:val="0"/>
          <w:snapToGrid/>
          <w:color w:val="000000" w:themeColor="text1"/>
          <w:kern w:val="2"/>
          <w:sz w:val="20"/>
          <w:lang w:val="en-US"/>
        </w:rPr>
        <w:t xml:space="preserve">When NR transmits DL on the unused LTE UL subframes on the adjacent carriers, gNB may perform power control to reduce the cross-link interference leakage to adjacent channels for other neighboring base stations. </w:t>
      </w:r>
      <w:r w:rsidR="00FB5F75">
        <w:rPr>
          <w:b w:val="0"/>
          <w:snapToGrid/>
          <w:color w:val="000000" w:themeColor="text1"/>
          <w:kern w:val="2"/>
          <w:sz w:val="20"/>
          <w:lang w:val="en-US"/>
        </w:rPr>
        <w:t xml:space="preserve">The UL </w:t>
      </w:r>
      <w:proofErr w:type="spellStart"/>
      <w:r w:rsidR="00FB5F75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FB5F75">
        <w:rPr>
          <w:b w:val="0"/>
          <w:snapToGrid/>
          <w:color w:val="000000" w:themeColor="text1"/>
          <w:kern w:val="2"/>
          <w:sz w:val="20"/>
          <w:lang w:val="en-US"/>
        </w:rPr>
        <w:t xml:space="preserve"> that can be dynamically switched can be further restricted to a certain set, called ‘flexible </w:t>
      </w:r>
      <w:proofErr w:type="spellStart"/>
      <w:r w:rsidR="00FB5F75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FB5F75">
        <w:rPr>
          <w:b w:val="0"/>
          <w:snapToGrid/>
          <w:color w:val="000000" w:themeColor="text1"/>
          <w:kern w:val="2"/>
          <w:sz w:val="20"/>
          <w:lang w:val="en-US"/>
        </w:rPr>
        <w:t>’, in consideration of other neighboring base stations operating on the same band.</w:t>
      </w:r>
    </w:p>
    <w:p w14:paraId="3ED11DAD" w14:textId="77777777" w:rsidR="00BC0D30" w:rsidRDefault="00BC0D3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7474F248" w14:textId="33A932E5" w:rsidR="00391F80" w:rsidRPr="00391F80" w:rsidRDefault="00391F80" w:rsidP="00391F80">
      <w:pPr>
        <w:pStyle w:val="LGTdoc1"/>
        <w:spacing w:beforeLines="0" w:before="120" w:after="120" w:afterAutospacing="0"/>
        <w:jc w:val="center"/>
      </w:pPr>
      <w:r w:rsidRPr="00391F80">
        <w:rPr>
          <w:noProof/>
          <w:lang w:val="en-US"/>
        </w:rPr>
        <w:drawing>
          <wp:inline distT="0" distB="0" distL="0" distR="0" wp14:anchorId="7D1246B7" wp14:editId="412FDE48">
            <wp:extent cx="2706353" cy="1126146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6353" cy="112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A2383" w14:textId="539DBEF6" w:rsidR="00BC0D30" w:rsidRPr="00FC7BBB" w:rsidRDefault="00BC0D30" w:rsidP="00BC0D30">
      <w:pPr>
        <w:pStyle w:val="LGTdoc1"/>
        <w:spacing w:beforeLines="0" w:before="240" w:after="120" w:afterAutospacing="0"/>
        <w:jc w:val="center"/>
        <w:rPr>
          <w:snapToGrid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1. </w:t>
      </w:r>
      <w:r w:rsidR="001E4B42">
        <w:rPr>
          <w:snapToGrid/>
          <w:kern w:val="2"/>
          <w:sz w:val="20"/>
        </w:rPr>
        <w:t xml:space="preserve">Dynamic switching of flexible UL </w:t>
      </w:r>
      <w:proofErr w:type="spellStart"/>
      <w:r w:rsidR="001E4B42">
        <w:rPr>
          <w:snapToGrid/>
          <w:kern w:val="2"/>
          <w:sz w:val="20"/>
        </w:rPr>
        <w:t>subframes</w:t>
      </w:r>
      <w:proofErr w:type="spellEnd"/>
      <w:r w:rsidR="001E4B42">
        <w:rPr>
          <w:snapToGrid/>
          <w:kern w:val="2"/>
          <w:sz w:val="20"/>
        </w:rPr>
        <w:t xml:space="preserve"> if adjacent carriers are not used by collocated </w:t>
      </w:r>
      <w:proofErr w:type="spellStart"/>
      <w:r w:rsidR="001E4B42">
        <w:rPr>
          <w:snapToGrid/>
          <w:kern w:val="2"/>
          <w:sz w:val="20"/>
        </w:rPr>
        <w:t>eNB</w:t>
      </w:r>
      <w:proofErr w:type="spellEnd"/>
    </w:p>
    <w:p w14:paraId="08F8B691" w14:textId="77777777" w:rsidR="00BC0D30" w:rsidRPr="00BC0D30" w:rsidRDefault="00BC0D3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6BEBEE34" w14:textId="2B60AC79" w:rsidR="00BC0D30" w:rsidRDefault="0031758F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On the other hand,</w:t>
      </w:r>
      <w:r w:rsidR="00A70B08">
        <w:rPr>
          <w:b w:val="0"/>
          <w:snapToGrid/>
          <w:color w:val="000000" w:themeColor="text1"/>
          <w:kern w:val="2"/>
          <w:sz w:val="20"/>
          <w:lang w:val="en-US"/>
        </w:rPr>
        <w:t xml:space="preserve"> even if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some DL subframes are unused by collocated eNB on the adjacent carriers</w:t>
      </w:r>
      <w:r w:rsidR="00A70B08">
        <w:rPr>
          <w:b w:val="0"/>
          <w:snapToGrid/>
          <w:color w:val="000000" w:themeColor="text1"/>
          <w:kern w:val="2"/>
          <w:sz w:val="20"/>
          <w:lang w:val="en-US"/>
        </w:rPr>
        <w:t>, NR cannot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arbitrarily </w:t>
      </w:r>
      <w:r w:rsidR="00A70B08">
        <w:rPr>
          <w:b w:val="0"/>
          <w:snapToGrid/>
          <w:color w:val="000000" w:themeColor="text1"/>
          <w:kern w:val="2"/>
          <w:sz w:val="20"/>
          <w:lang w:val="en-US"/>
        </w:rPr>
        <w:t>use it for UL transmis</w:t>
      </w:r>
      <w:r w:rsidR="00E5363E">
        <w:rPr>
          <w:b w:val="0"/>
          <w:snapToGrid/>
          <w:color w:val="000000" w:themeColor="text1"/>
          <w:kern w:val="2"/>
          <w:sz w:val="20"/>
          <w:lang w:val="en-US"/>
        </w:rPr>
        <w:t>sion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because</w:t>
      </w:r>
      <w:r w:rsidR="00E5363E">
        <w:rPr>
          <w:b w:val="0"/>
          <w:snapToGrid/>
          <w:color w:val="000000" w:themeColor="text1"/>
          <w:kern w:val="2"/>
          <w:sz w:val="20"/>
          <w:lang w:val="en-US"/>
        </w:rPr>
        <w:t xml:space="preserve"> CRS and some control messages are</w:t>
      </w:r>
      <w:r w:rsidR="00C36F82">
        <w:rPr>
          <w:b w:val="0"/>
          <w:snapToGrid/>
          <w:color w:val="000000" w:themeColor="text1"/>
          <w:kern w:val="2"/>
          <w:sz w:val="20"/>
          <w:lang w:val="en-US"/>
        </w:rPr>
        <w:t xml:space="preserve"> still needed to be transmitted, i.e., the RF needs to be in the</w:t>
      </w:r>
      <w:r w:rsidR="005D391E">
        <w:rPr>
          <w:b w:val="0"/>
          <w:snapToGrid/>
          <w:color w:val="000000" w:themeColor="text1"/>
          <w:kern w:val="2"/>
          <w:sz w:val="20"/>
          <w:lang w:val="en-US"/>
        </w:rPr>
        <w:t xml:space="preserve"> mode of transmission</w:t>
      </w:r>
      <w:r w:rsidR="00C36F82"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6E9C4688" w14:textId="5F9856F2" w:rsidR="00BC0D30" w:rsidRDefault="00BC0D30" w:rsidP="00BC0D3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 1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</w:t>
      </w:r>
      <w:r w:rsidRPr="00BC0D30">
        <w:rPr>
          <w:snapToGrid/>
          <w:kern w:val="2"/>
          <w:sz w:val="20"/>
          <w:lang w:val="en-US"/>
        </w:rPr>
        <w:t xml:space="preserve">f </w:t>
      </w:r>
      <w:r w:rsidR="005D391E">
        <w:rPr>
          <w:snapToGrid/>
          <w:kern w:val="2"/>
          <w:sz w:val="20"/>
          <w:lang w:val="en-US"/>
        </w:rPr>
        <w:t>‘flexible’</w:t>
      </w:r>
      <w:r w:rsidRPr="00BC0D30">
        <w:rPr>
          <w:snapToGrid/>
          <w:kern w:val="2"/>
          <w:sz w:val="20"/>
          <w:lang w:val="en-US"/>
        </w:rPr>
        <w:t xml:space="preserve"> LTE UL subframes on all the adjacent LTE carriers are unused, the </w:t>
      </w:r>
      <w:r>
        <w:rPr>
          <w:snapToGrid/>
          <w:kern w:val="2"/>
          <w:sz w:val="20"/>
          <w:lang w:val="en-US"/>
        </w:rPr>
        <w:t xml:space="preserve">collocated </w:t>
      </w:r>
      <w:proofErr w:type="spellStart"/>
      <w:r>
        <w:rPr>
          <w:snapToGrid/>
          <w:kern w:val="2"/>
          <w:sz w:val="20"/>
          <w:lang w:val="en-US"/>
        </w:rPr>
        <w:t>gNB</w:t>
      </w:r>
      <w:proofErr w:type="spellEnd"/>
      <w:r>
        <w:rPr>
          <w:snapToGrid/>
          <w:kern w:val="2"/>
          <w:sz w:val="20"/>
          <w:lang w:val="en-US"/>
        </w:rPr>
        <w:t xml:space="preserve"> can </w:t>
      </w:r>
      <w:r w:rsidR="005D391E">
        <w:rPr>
          <w:snapToGrid/>
          <w:kern w:val="2"/>
          <w:sz w:val="20"/>
          <w:lang w:val="en-US"/>
        </w:rPr>
        <w:t xml:space="preserve">dynamically decide to use </w:t>
      </w:r>
      <w:r>
        <w:rPr>
          <w:snapToGrid/>
          <w:kern w:val="2"/>
          <w:sz w:val="20"/>
          <w:lang w:val="en-US"/>
        </w:rPr>
        <w:t xml:space="preserve">those subframes for either DL or UL. </w:t>
      </w:r>
    </w:p>
    <w:p w14:paraId="0BB31115" w14:textId="1D63FA92" w:rsidR="00681245" w:rsidRDefault="00BC0D30" w:rsidP="00BC0D30">
      <w:pPr>
        <w:pStyle w:val="LGTdoc1"/>
        <w:spacing w:beforeLines="0" w:before="24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>Non-c</w:t>
      </w:r>
      <w:r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>ollocated LTE-NR base stations</w:t>
      </w:r>
      <w:r w:rsidR="00023C6E"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 belonging to the same network operator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6C98B8E8" w14:textId="121791A5" w:rsidR="00A4728F" w:rsidRDefault="00BC0D3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>In non-collocated scenarios, the transmission direction alignment between adjacent carriers is not a</w:t>
      </w:r>
      <w:r w:rsidR="00F06A90">
        <w:rPr>
          <w:b w:val="0"/>
          <w:snapToGrid/>
          <w:color w:val="000000" w:themeColor="text1"/>
          <w:kern w:val="2"/>
          <w:sz w:val="20"/>
        </w:rPr>
        <w:t xml:space="preserve"> critical issue as neither the non-collocated base stations</w:t>
      </w:r>
      <w:r>
        <w:rPr>
          <w:b w:val="0"/>
          <w:snapToGrid/>
          <w:color w:val="000000" w:themeColor="text1"/>
          <w:kern w:val="2"/>
          <w:sz w:val="20"/>
        </w:rPr>
        <w:t xml:space="preserve"> share the same RF nor there exists self-interference. In some situations,</w:t>
      </w:r>
      <w:r w:rsidR="00F06A90">
        <w:rPr>
          <w:b w:val="0"/>
          <w:snapToGrid/>
          <w:color w:val="000000" w:themeColor="text1"/>
          <w:kern w:val="2"/>
          <w:sz w:val="20"/>
        </w:rPr>
        <w:t xml:space="preserve"> however,</w:t>
      </w:r>
      <w:r>
        <w:rPr>
          <w:b w:val="0"/>
          <w:snapToGrid/>
          <w:color w:val="000000" w:themeColor="text1"/>
          <w:kern w:val="2"/>
          <w:sz w:val="20"/>
        </w:rPr>
        <w:t xml:space="preserve"> it may be still beneficial to align the transmission direction of adjacent channels between non-collocated </w:t>
      </w:r>
      <w:r w:rsidR="00F06A90">
        <w:rPr>
          <w:b w:val="0"/>
          <w:snapToGrid/>
          <w:color w:val="000000" w:themeColor="text1"/>
          <w:kern w:val="2"/>
          <w:sz w:val="20"/>
        </w:rPr>
        <w:t>base stations</w:t>
      </w:r>
      <w:r>
        <w:rPr>
          <w:b w:val="0"/>
          <w:snapToGrid/>
          <w:color w:val="000000" w:themeColor="text1"/>
          <w:kern w:val="2"/>
          <w:sz w:val="20"/>
        </w:rPr>
        <w:t>, if it happens to be that LTE UE in DL reception is close by the NR UE in UL transmission and</w:t>
      </w:r>
      <w:r w:rsidR="00F06A90">
        <w:rPr>
          <w:b w:val="0"/>
          <w:snapToGrid/>
          <w:color w:val="000000" w:themeColor="text1"/>
          <w:kern w:val="2"/>
          <w:sz w:val="20"/>
        </w:rPr>
        <w:t>,</w:t>
      </w:r>
      <w:r>
        <w:rPr>
          <w:b w:val="0"/>
          <w:snapToGrid/>
          <w:color w:val="000000" w:themeColor="text1"/>
          <w:kern w:val="2"/>
          <w:sz w:val="20"/>
        </w:rPr>
        <w:t xml:space="preserve"> vice versa.</w:t>
      </w:r>
      <w:r w:rsidR="00F06A90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2E2393">
        <w:rPr>
          <w:b w:val="0"/>
          <w:snapToGrid/>
          <w:color w:val="000000" w:themeColor="text1"/>
          <w:kern w:val="2"/>
          <w:sz w:val="20"/>
        </w:rPr>
        <w:t xml:space="preserve">However, this additional optimization from 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the perspective of </w:t>
      </w:r>
      <w:r w:rsidR="002E2393">
        <w:rPr>
          <w:b w:val="0"/>
          <w:snapToGrid/>
          <w:color w:val="000000" w:themeColor="text1"/>
          <w:kern w:val="2"/>
          <w:sz w:val="20"/>
        </w:rPr>
        <w:t>cross-link interference leakage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 to adjacent channels</w:t>
      </w:r>
      <w:r w:rsidR="002E2393">
        <w:rPr>
          <w:b w:val="0"/>
          <w:snapToGrid/>
          <w:color w:val="000000" w:themeColor="text1"/>
          <w:kern w:val="2"/>
          <w:sz w:val="20"/>
        </w:rPr>
        <w:t xml:space="preserve"> can restrict ‘efficient’ operation </w:t>
      </w:r>
      <w:r w:rsidR="0020745B">
        <w:rPr>
          <w:b w:val="0"/>
          <w:snapToGrid/>
          <w:color w:val="000000" w:themeColor="text1"/>
          <w:kern w:val="2"/>
          <w:sz w:val="20"/>
        </w:rPr>
        <w:t>of</w:t>
      </w:r>
      <w:r w:rsidR="002E2393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="002E2393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2E2393">
        <w:rPr>
          <w:b w:val="0"/>
          <w:snapToGrid/>
          <w:color w:val="000000" w:themeColor="text1"/>
          <w:kern w:val="2"/>
          <w:sz w:val="20"/>
        </w:rPr>
        <w:t xml:space="preserve"> from traffic adaptation perspective. 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By giving some flexibility, </w:t>
      </w:r>
      <w:r w:rsidR="008143AB">
        <w:rPr>
          <w:b w:val="0"/>
          <w:snapToGrid/>
          <w:color w:val="000000" w:themeColor="text1"/>
          <w:kern w:val="2"/>
          <w:sz w:val="20"/>
        </w:rPr>
        <w:t>the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="00B62650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B62650">
        <w:rPr>
          <w:b w:val="0"/>
          <w:snapToGrid/>
          <w:color w:val="000000" w:themeColor="text1"/>
          <w:kern w:val="2"/>
          <w:sz w:val="20"/>
        </w:rPr>
        <w:t xml:space="preserve"> can better adapt to varying DL/UL traffic demand. </w:t>
      </w:r>
      <w:r w:rsidR="00EE10D7">
        <w:rPr>
          <w:b w:val="0"/>
          <w:snapToGrid/>
          <w:color w:val="000000" w:themeColor="text1"/>
          <w:kern w:val="2"/>
          <w:sz w:val="20"/>
        </w:rPr>
        <w:t xml:space="preserve">For instance, the NR static DL/UL frame structure is designed to be constituted </w:t>
      </w:r>
      <w:r w:rsidR="00B62650">
        <w:rPr>
          <w:b w:val="0"/>
          <w:snapToGrid/>
          <w:color w:val="000000" w:themeColor="text1"/>
          <w:kern w:val="2"/>
          <w:sz w:val="20"/>
        </w:rPr>
        <w:t>of</w:t>
      </w:r>
      <w:r w:rsidR="00EE10D7">
        <w:rPr>
          <w:b w:val="0"/>
          <w:snapToGrid/>
          <w:color w:val="000000" w:themeColor="text1"/>
          <w:kern w:val="2"/>
          <w:sz w:val="20"/>
        </w:rPr>
        <w:t xml:space="preserve"> DL, UL, S (special), and F (flexible) subframe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 type</w:t>
      </w:r>
      <w:r w:rsidR="00EE10D7">
        <w:rPr>
          <w:b w:val="0"/>
          <w:snapToGrid/>
          <w:color w:val="000000" w:themeColor="text1"/>
          <w:kern w:val="2"/>
          <w:sz w:val="20"/>
        </w:rPr>
        <w:t xml:space="preserve">s. </w:t>
      </w:r>
      <w:r w:rsidR="009953CA">
        <w:rPr>
          <w:b w:val="0"/>
          <w:snapToGrid/>
          <w:color w:val="000000" w:themeColor="text1"/>
          <w:kern w:val="2"/>
          <w:sz w:val="20"/>
        </w:rPr>
        <w:t xml:space="preserve">The S 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refers to subframes in line with </w:t>
      </w:r>
      <w:r w:rsidR="009953CA">
        <w:rPr>
          <w:b w:val="0"/>
          <w:snapToGrid/>
          <w:color w:val="000000" w:themeColor="text1"/>
          <w:kern w:val="2"/>
          <w:sz w:val="20"/>
        </w:rPr>
        <w:t xml:space="preserve">LTE TDD special subframes. The new subframe type F </w:t>
      </w:r>
      <w:r w:rsidR="00B62650">
        <w:rPr>
          <w:b w:val="0"/>
          <w:snapToGrid/>
          <w:color w:val="000000" w:themeColor="text1"/>
          <w:kern w:val="2"/>
          <w:sz w:val="20"/>
        </w:rPr>
        <w:t xml:space="preserve">is intended to be </w:t>
      </w:r>
      <w:r w:rsidR="009953CA">
        <w:rPr>
          <w:b w:val="0"/>
          <w:snapToGrid/>
          <w:color w:val="000000" w:themeColor="text1"/>
          <w:kern w:val="2"/>
          <w:sz w:val="20"/>
        </w:rPr>
        <w:t xml:space="preserve">flexibly used for either DL or UL up to gNB decision. </w:t>
      </w:r>
      <w:r w:rsidR="00BA4B3F">
        <w:rPr>
          <w:b w:val="0"/>
          <w:snapToGrid/>
          <w:color w:val="000000" w:themeColor="text1"/>
          <w:kern w:val="2"/>
          <w:sz w:val="20"/>
        </w:rPr>
        <w:t>The overall NR static DL/UL frame structure for coexistence scenarios can be, for example, chosen to have maximum commonality with the LTE TDD configurations used by the operator.</w:t>
      </w:r>
    </w:p>
    <w:p w14:paraId="517D8CA3" w14:textId="77777777" w:rsidR="00B62650" w:rsidRDefault="00B6265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3137A19E" w14:textId="77777777" w:rsidR="00335CF7" w:rsidRDefault="00335CF7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5699BE22" w14:textId="44940E17" w:rsidR="00B62650" w:rsidRDefault="00B9632E" w:rsidP="00B62650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B9632E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7EED6CE8" wp14:editId="7577F757">
            <wp:extent cx="5626165" cy="798955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26165" cy="79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00DEB" w14:textId="77777777" w:rsidR="00B62650" w:rsidRDefault="00B62650" w:rsidP="00B62650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</w:p>
    <w:p w14:paraId="2CB817E3" w14:textId="0AA347D0" w:rsidR="00B62650" w:rsidRDefault="00B62650" w:rsidP="00B62650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 w:rsidR="007E600F">
        <w:rPr>
          <w:snapToGrid/>
          <w:kern w:val="2"/>
          <w:sz w:val="20"/>
        </w:rPr>
        <w:t>2</w:t>
      </w:r>
      <w:r w:rsidRPr="00FC7BBB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 xml:space="preserve">An example NR static DL/UL configuration with </w:t>
      </w:r>
      <w:r w:rsidR="00B9632E">
        <w:rPr>
          <w:snapToGrid/>
          <w:kern w:val="2"/>
          <w:sz w:val="20"/>
        </w:rPr>
        <w:t>‘flexible’</w:t>
      </w:r>
      <w:r>
        <w:rPr>
          <w:snapToGrid/>
          <w:kern w:val="2"/>
          <w:sz w:val="20"/>
        </w:rPr>
        <w:t xml:space="preserve"> </w:t>
      </w:r>
      <w:proofErr w:type="spellStart"/>
      <w:r>
        <w:rPr>
          <w:snapToGrid/>
          <w:kern w:val="2"/>
          <w:sz w:val="20"/>
        </w:rPr>
        <w:t>subframe</w:t>
      </w:r>
      <w:r w:rsidR="00B9632E">
        <w:rPr>
          <w:snapToGrid/>
          <w:kern w:val="2"/>
          <w:sz w:val="20"/>
        </w:rPr>
        <w:t>s</w:t>
      </w:r>
      <w:proofErr w:type="spellEnd"/>
    </w:p>
    <w:p w14:paraId="2D792885" w14:textId="77777777" w:rsidR="00B62650" w:rsidRDefault="00B6265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69725224" w14:textId="2214F550" w:rsidR="008B39DE" w:rsidRPr="005F410E" w:rsidRDefault="00BA4B3F" w:rsidP="005F410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>As in the</w:t>
      </w:r>
      <w:r w:rsidR="00CD382A">
        <w:rPr>
          <w:b w:val="0"/>
          <w:snapToGrid/>
          <w:color w:val="000000" w:themeColor="text1"/>
          <w:kern w:val="2"/>
          <w:sz w:val="20"/>
        </w:rPr>
        <w:t xml:space="preserve"> above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335CF7">
        <w:rPr>
          <w:b w:val="0"/>
          <w:snapToGrid/>
          <w:color w:val="000000" w:themeColor="text1"/>
          <w:kern w:val="2"/>
          <w:sz w:val="20"/>
        </w:rPr>
        <w:t>figure</w:t>
      </w:r>
      <w:r>
        <w:rPr>
          <w:b w:val="0"/>
          <w:snapToGrid/>
          <w:color w:val="000000" w:themeColor="text1"/>
          <w:kern w:val="2"/>
          <w:sz w:val="20"/>
        </w:rPr>
        <w:t xml:space="preserve">, </w:t>
      </w:r>
      <w:r w:rsidR="00180BCE">
        <w:rPr>
          <w:b w:val="0"/>
          <w:snapToGrid/>
          <w:color w:val="000000" w:themeColor="text1"/>
          <w:kern w:val="2"/>
          <w:sz w:val="20"/>
        </w:rPr>
        <w:t xml:space="preserve">if the MNO uses TDD UL/DL configurations 1 and 2 most of the times, </w:t>
      </w:r>
      <w:r w:rsidR="00A74A36">
        <w:rPr>
          <w:b w:val="0"/>
          <w:snapToGrid/>
          <w:color w:val="000000" w:themeColor="text1"/>
          <w:kern w:val="2"/>
          <w:sz w:val="20"/>
        </w:rPr>
        <w:t xml:space="preserve">then one NR static DL/UL configuration </w:t>
      </w:r>
      <w:r w:rsidR="00CD382A">
        <w:rPr>
          <w:b w:val="0"/>
          <w:snapToGrid/>
          <w:color w:val="000000" w:themeColor="text1"/>
          <w:kern w:val="2"/>
          <w:sz w:val="20"/>
        </w:rPr>
        <w:t>may</w:t>
      </w:r>
      <w:r w:rsidR="00A74A36">
        <w:rPr>
          <w:b w:val="0"/>
          <w:snapToGrid/>
          <w:color w:val="000000" w:themeColor="text1"/>
          <w:kern w:val="2"/>
          <w:sz w:val="20"/>
        </w:rPr>
        <w:t xml:space="preserve"> be set with the maximum commonality between the two configurations while </w:t>
      </w:r>
      <w:r w:rsidR="00CD382A">
        <w:rPr>
          <w:b w:val="0"/>
          <w:snapToGrid/>
          <w:color w:val="000000" w:themeColor="text1"/>
          <w:kern w:val="2"/>
          <w:sz w:val="20"/>
        </w:rPr>
        <w:t>leaving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the</w:t>
      </w:r>
      <w:r w:rsidR="00CD382A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="00CD382A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CD382A">
        <w:rPr>
          <w:b w:val="0"/>
          <w:snapToGrid/>
          <w:color w:val="000000" w:themeColor="text1"/>
          <w:kern w:val="2"/>
          <w:sz w:val="20"/>
        </w:rPr>
        <w:t xml:space="preserve"> having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non-coinciding</w:t>
      </w:r>
      <w:r w:rsidR="00CD382A">
        <w:rPr>
          <w:b w:val="0"/>
          <w:snapToGrid/>
          <w:color w:val="000000" w:themeColor="text1"/>
          <w:kern w:val="2"/>
          <w:sz w:val="20"/>
        </w:rPr>
        <w:t xml:space="preserve"> direction</w:t>
      </w:r>
      <w:r w:rsidR="004339D3">
        <w:rPr>
          <w:b w:val="0"/>
          <w:snapToGrid/>
          <w:color w:val="000000" w:themeColor="text1"/>
          <w:kern w:val="2"/>
          <w:sz w:val="20"/>
        </w:rPr>
        <w:t>s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CD382A">
        <w:rPr>
          <w:b w:val="0"/>
          <w:snapToGrid/>
          <w:color w:val="000000" w:themeColor="text1"/>
          <w:kern w:val="2"/>
          <w:sz w:val="20"/>
        </w:rPr>
        <w:t>as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F </w:t>
      </w:r>
      <w:proofErr w:type="spellStart"/>
      <w:r w:rsidR="0023199B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23199B">
        <w:rPr>
          <w:b w:val="0"/>
          <w:snapToGrid/>
          <w:color w:val="000000" w:themeColor="text1"/>
          <w:kern w:val="2"/>
          <w:sz w:val="20"/>
        </w:rPr>
        <w:t xml:space="preserve">. </w:t>
      </w:r>
      <w:r w:rsidR="00637EC6">
        <w:rPr>
          <w:b w:val="0"/>
          <w:snapToGrid/>
          <w:color w:val="000000" w:themeColor="text1"/>
          <w:kern w:val="2"/>
          <w:sz w:val="20"/>
        </w:rPr>
        <w:t>In utilizing the F subframe</w:t>
      </w:r>
      <w:r w:rsidR="00F24531">
        <w:rPr>
          <w:b w:val="0"/>
          <w:snapToGrid/>
          <w:color w:val="000000" w:themeColor="text1"/>
          <w:kern w:val="2"/>
          <w:sz w:val="20"/>
        </w:rPr>
        <w:t xml:space="preserve">s, the gNB may schedule cell-center UEs </w:t>
      </w:r>
      <w:r w:rsidR="007C69A0">
        <w:rPr>
          <w:b w:val="0"/>
          <w:snapToGrid/>
          <w:color w:val="000000" w:themeColor="text1"/>
          <w:kern w:val="2"/>
          <w:sz w:val="20"/>
        </w:rPr>
        <w:t xml:space="preserve">with reduced power to minimize the potential impact to neighbouring base stations operating on the same channel or adjacent channels.  </w:t>
      </w:r>
      <w:r w:rsidR="00223D12">
        <w:rPr>
          <w:b w:val="0"/>
          <w:snapToGrid/>
          <w:color w:val="000000" w:themeColor="text1"/>
          <w:kern w:val="2"/>
          <w:sz w:val="20"/>
          <w:lang w:val="en-US"/>
        </w:rPr>
        <w:t xml:space="preserve">  </w:t>
      </w:r>
      <w:r w:rsidR="00CF1422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</w:p>
    <w:p w14:paraId="25DE7080" w14:textId="1913CB2B" w:rsidR="00105FC8" w:rsidRDefault="00CD382A" w:rsidP="00CD382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lastRenderedPageBreak/>
        <w:t>Proposal 2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In the case of non-collocated scenario</w:t>
      </w:r>
      <w:r w:rsidR="004339D3">
        <w:rPr>
          <w:snapToGrid/>
          <w:kern w:val="2"/>
          <w:sz w:val="20"/>
          <w:lang w:val="en-US"/>
        </w:rPr>
        <w:t>s</w:t>
      </w:r>
      <w:r>
        <w:rPr>
          <w:snapToGrid/>
          <w:kern w:val="2"/>
          <w:sz w:val="20"/>
          <w:lang w:val="en-US"/>
        </w:rPr>
        <w:t xml:space="preserve">, the </w:t>
      </w:r>
      <w:r w:rsidRPr="00CD382A">
        <w:rPr>
          <w:snapToGrid/>
          <w:kern w:val="2"/>
          <w:sz w:val="20"/>
          <w:lang w:val="en-US"/>
        </w:rPr>
        <w:t xml:space="preserve">NR static DL/UL frame structure </w:t>
      </w:r>
      <w:r>
        <w:rPr>
          <w:snapToGrid/>
          <w:kern w:val="2"/>
          <w:sz w:val="20"/>
          <w:lang w:val="en-US"/>
        </w:rPr>
        <w:t>can</w:t>
      </w:r>
      <w:r w:rsidRPr="00CD382A">
        <w:rPr>
          <w:snapToGrid/>
          <w:kern w:val="2"/>
          <w:sz w:val="20"/>
          <w:lang w:val="en-US"/>
        </w:rPr>
        <w:t xml:space="preserve"> be constituted of DL, UL, S (special), and F (flexible) subframe types</w:t>
      </w:r>
      <w:r>
        <w:rPr>
          <w:snapToGrid/>
          <w:kern w:val="2"/>
          <w:sz w:val="20"/>
          <w:lang w:val="en-US"/>
        </w:rPr>
        <w:t xml:space="preserve">, where the </w:t>
      </w:r>
      <w:r w:rsidRPr="00CD382A">
        <w:rPr>
          <w:snapToGrid/>
          <w:kern w:val="2"/>
          <w:sz w:val="20"/>
          <w:lang w:val="en-US"/>
        </w:rPr>
        <w:t>subframe type F is intended to be flexibly used for either DL or UL</w:t>
      </w:r>
      <w:r>
        <w:rPr>
          <w:snapToGrid/>
          <w:kern w:val="2"/>
          <w:sz w:val="20"/>
          <w:lang w:val="en-US"/>
        </w:rPr>
        <w:t xml:space="preserve">. </w:t>
      </w:r>
    </w:p>
    <w:p w14:paraId="728B2350" w14:textId="3A2E97E8" w:rsidR="00A213A3" w:rsidRDefault="00A213A3" w:rsidP="00A213A3">
      <w:pPr>
        <w:pStyle w:val="LGTdoc1"/>
        <w:spacing w:beforeLines="0" w:before="24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>Non-c</w:t>
      </w:r>
      <w:r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>ollocated LTE-NR base stations</w:t>
      </w: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 </w:t>
      </w: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>between different</w:t>
      </w: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 network operator</w:t>
      </w: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>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532E43B3" w14:textId="297D5DE4" w:rsidR="00293426" w:rsidRDefault="00A213A3" w:rsidP="00CD382A">
      <w:pPr>
        <w:pStyle w:val="LGTdoc1"/>
        <w:spacing w:beforeLines="0" w:before="240" w:after="24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In some frequency band allocation, it is also possible that the adjacent channels are assigned to different operators and one operator have upgraded its network to NR </w:t>
      </w:r>
      <w:r w:rsidR="0036134A">
        <w:rPr>
          <w:b w:val="0"/>
          <w:snapToGrid/>
          <w:color w:val="000000" w:themeColor="text1"/>
          <w:kern w:val="2"/>
          <w:sz w:val="20"/>
        </w:rPr>
        <w:t xml:space="preserve">through LTE spectrum </w:t>
      </w:r>
      <w:proofErr w:type="spellStart"/>
      <w:r w:rsidR="0036134A">
        <w:rPr>
          <w:b w:val="0"/>
          <w:snapToGrid/>
          <w:color w:val="000000" w:themeColor="text1"/>
          <w:kern w:val="2"/>
          <w:sz w:val="20"/>
        </w:rPr>
        <w:t>refarming</w:t>
      </w:r>
      <w:proofErr w:type="spellEnd"/>
      <w:r w:rsidR="0036134A">
        <w:rPr>
          <w:b w:val="0"/>
          <w:snapToGrid/>
          <w:color w:val="000000" w:themeColor="text1"/>
          <w:kern w:val="2"/>
          <w:sz w:val="20"/>
        </w:rPr>
        <w:t xml:space="preserve"> while the other operator is still operating with LTE. In this inter-operator scenario, </w:t>
      </w:r>
      <w:r w:rsidR="009F640E">
        <w:rPr>
          <w:b w:val="0"/>
          <w:snapToGrid/>
          <w:color w:val="000000" w:themeColor="text1"/>
          <w:kern w:val="2"/>
          <w:sz w:val="20"/>
        </w:rPr>
        <w:t>e</w:t>
      </w:r>
      <w:r w:rsidR="0036134A">
        <w:rPr>
          <w:b w:val="0"/>
          <w:snapToGrid/>
          <w:color w:val="000000" w:themeColor="text1"/>
          <w:kern w:val="2"/>
          <w:sz w:val="20"/>
        </w:rPr>
        <w:t xml:space="preserve">nforcing to strictly abide by the agreed TDD UL/DL pattern </w:t>
      </w:r>
      <w:r w:rsidR="00293426">
        <w:rPr>
          <w:b w:val="0"/>
          <w:snapToGrid/>
          <w:color w:val="000000" w:themeColor="text1"/>
          <w:kern w:val="2"/>
          <w:sz w:val="20"/>
        </w:rPr>
        <w:t>seems reasonable as the information exchange between BSs belonging to different operators would be difficult and will experience long delay.</w:t>
      </w:r>
      <w:r w:rsidR="009F640E">
        <w:rPr>
          <w:b w:val="0"/>
          <w:snapToGrid/>
          <w:color w:val="000000" w:themeColor="text1"/>
          <w:kern w:val="2"/>
          <w:sz w:val="20"/>
        </w:rPr>
        <w:t xml:space="preserve"> Therefore, in such scenarios, the NR network should follow the configured TDD pattern, which can be specified in the NR specification.</w:t>
      </w:r>
      <w:r w:rsidR="00293426">
        <w:rPr>
          <w:b w:val="0"/>
          <w:snapToGrid/>
          <w:color w:val="000000" w:themeColor="text1"/>
          <w:kern w:val="2"/>
          <w:sz w:val="20"/>
        </w:rPr>
        <w:t xml:space="preserve"> </w:t>
      </w:r>
    </w:p>
    <w:p w14:paraId="2DDA24F8" w14:textId="204812D4" w:rsidR="000F5B48" w:rsidRPr="00751C18" w:rsidRDefault="000F5B48" w:rsidP="000F5B48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bookmarkStart w:id="4" w:name="_GoBack"/>
      <w:bookmarkEnd w:id="4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NR DL in </w:t>
      </w:r>
      <w:r w:rsidR="007717C2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LTE 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MBSFN subfr</w:t>
      </w:r>
      <w:r w:rsidR="007717C2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ames</w:t>
      </w:r>
    </w:p>
    <w:p w14:paraId="5BF7EDA0" w14:textId="42885924" w:rsidR="0000368E" w:rsidRDefault="007B5CB5" w:rsidP="000F5B4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In the last meeting, it was agree</w:t>
      </w:r>
      <w:r w:rsidR="00D52D0C">
        <w:rPr>
          <w:b w:val="0"/>
          <w:snapToGrid/>
          <w:color w:val="000000" w:themeColor="text1"/>
          <w:kern w:val="2"/>
          <w:sz w:val="20"/>
          <w:lang w:val="en-US"/>
        </w:rPr>
        <w:t xml:space="preserve">d to </w:t>
      </w:r>
      <w:r w:rsidR="007846DA">
        <w:rPr>
          <w:b w:val="0"/>
          <w:snapToGrid/>
          <w:color w:val="000000" w:themeColor="text1"/>
          <w:kern w:val="2"/>
          <w:sz w:val="20"/>
          <w:lang w:val="en-US"/>
        </w:rPr>
        <w:t>‘</w:t>
      </w:r>
      <w:r w:rsidR="00D52D0C" w:rsidRPr="007846DA">
        <w:rPr>
          <w:b w:val="0"/>
          <w:i/>
          <w:snapToGrid/>
          <w:color w:val="000000" w:themeColor="text1"/>
          <w:kern w:val="2"/>
          <w:sz w:val="20"/>
          <w:lang w:val="en-US"/>
        </w:rPr>
        <w:t>support NR DL transmissions in MBSFN subframes of LTE</w:t>
      </w:r>
      <w:r w:rsidR="00D52D0C">
        <w:rPr>
          <w:b w:val="0"/>
          <w:snapToGrid/>
          <w:color w:val="000000" w:themeColor="text1"/>
          <w:kern w:val="2"/>
          <w:sz w:val="20"/>
          <w:lang w:val="en-US"/>
        </w:rPr>
        <w:t>.</w:t>
      </w:r>
      <w:r w:rsidR="007846DA">
        <w:rPr>
          <w:b w:val="0"/>
          <w:snapToGrid/>
          <w:color w:val="000000" w:themeColor="text1"/>
          <w:kern w:val="2"/>
          <w:sz w:val="20"/>
          <w:lang w:val="en-US"/>
        </w:rPr>
        <w:t>’</w:t>
      </w:r>
      <w:r w:rsidR="00D52D0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7C7B18">
        <w:rPr>
          <w:b w:val="0"/>
          <w:snapToGrid/>
          <w:color w:val="000000" w:themeColor="text1"/>
          <w:kern w:val="2"/>
          <w:sz w:val="20"/>
          <w:lang w:val="en-US"/>
        </w:rPr>
        <w:t xml:space="preserve">In LTE, certain subframes are not to be configured for MBSFN </w:t>
      </w:r>
      <w:proofErr w:type="spellStart"/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7C7B18">
        <w:rPr>
          <w:b w:val="0"/>
          <w:snapToGrid/>
          <w:color w:val="000000" w:themeColor="text1"/>
          <w:kern w:val="2"/>
          <w:sz w:val="20"/>
          <w:lang w:val="en-US"/>
        </w:rPr>
        <w:t>until</w:t>
      </w:r>
      <w:r w:rsidR="00A72DF9">
        <w:rPr>
          <w:b w:val="0"/>
          <w:snapToGrid/>
          <w:color w:val="000000" w:themeColor="text1"/>
          <w:kern w:val="2"/>
          <w:sz w:val="20"/>
          <w:lang w:val="en-US"/>
        </w:rPr>
        <w:t xml:space="preserve"> Release 13. For instance, in FDD,</w:t>
      </w:r>
      <w:r w:rsidR="007C7B18">
        <w:rPr>
          <w:b w:val="0"/>
          <w:snapToGrid/>
          <w:color w:val="000000" w:themeColor="text1"/>
          <w:kern w:val="2"/>
          <w:sz w:val="20"/>
          <w:lang w:val="en-US"/>
        </w:rPr>
        <w:t xml:space="preserve"> subframe 0, 4, 5, and 9 cannot be used for MBSFN </w:t>
      </w:r>
      <w:r w:rsidR="004339D3">
        <w:rPr>
          <w:b w:val="0"/>
          <w:snapToGrid/>
          <w:color w:val="000000" w:themeColor="text1"/>
          <w:kern w:val="2"/>
          <w:sz w:val="20"/>
          <w:lang w:val="en-US"/>
        </w:rPr>
        <w:t>due to the overlap</w:t>
      </w:r>
      <w:r w:rsidR="00107950">
        <w:rPr>
          <w:b w:val="0"/>
          <w:snapToGrid/>
          <w:color w:val="000000" w:themeColor="text1"/>
          <w:kern w:val="2"/>
          <w:sz w:val="20"/>
          <w:lang w:val="en-US"/>
        </w:rPr>
        <w:t xml:space="preserve"> with </w:t>
      </w:r>
      <w:r w:rsidR="00B87E43">
        <w:rPr>
          <w:b w:val="0"/>
          <w:snapToGrid/>
          <w:color w:val="000000" w:themeColor="text1"/>
          <w:kern w:val="2"/>
          <w:sz w:val="20"/>
          <w:lang w:val="en-US"/>
        </w:rPr>
        <w:t>synchronization</w:t>
      </w:r>
      <w:r w:rsidR="00FA6ADB">
        <w:rPr>
          <w:b w:val="0"/>
          <w:snapToGrid/>
          <w:color w:val="000000" w:themeColor="text1"/>
          <w:kern w:val="2"/>
          <w:sz w:val="20"/>
          <w:lang w:val="en-US"/>
        </w:rPr>
        <w:t xml:space="preserve"> signals </w:t>
      </w:r>
      <w:r w:rsidR="00A72DF9">
        <w:rPr>
          <w:b w:val="0"/>
          <w:snapToGrid/>
          <w:color w:val="000000" w:themeColor="text1"/>
          <w:kern w:val="2"/>
          <w:sz w:val="20"/>
          <w:lang w:val="en-US"/>
        </w:rPr>
        <w:t>and/</w:t>
      </w:r>
      <w:r w:rsidR="00FA6ADB">
        <w:rPr>
          <w:b w:val="0"/>
          <w:snapToGrid/>
          <w:color w:val="000000" w:themeColor="text1"/>
          <w:kern w:val="2"/>
          <w:sz w:val="20"/>
          <w:lang w:val="en-US"/>
        </w:rPr>
        <w:t>or pa</w:t>
      </w:r>
      <w:r w:rsidR="00A72DF9">
        <w:rPr>
          <w:b w:val="0"/>
          <w:snapToGrid/>
          <w:color w:val="000000" w:themeColor="text1"/>
          <w:kern w:val="2"/>
          <w:sz w:val="20"/>
          <w:lang w:val="en-US"/>
        </w:rPr>
        <w:t>ging occasions. Similarly, in TDD</w:t>
      </w:r>
      <w:r w:rsidR="00FA6ADB">
        <w:rPr>
          <w:b w:val="0"/>
          <w:snapToGrid/>
          <w:color w:val="000000" w:themeColor="text1"/>
          <w:kern w:val="2"/>
          <w:sz w:val="20"/>
          <w:lang w:val="en-US"/>
        </w:rPr>
        <w:t>, subframe 0, 1, 2, 5 and 6 cannot be configured for MBSFN</w:t>
      </w:r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FA6ADB"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</w:p>
    <w:p w14:paraId="714B4F2E" w14:textId="77777777" w:rsidR="004C3F05" w:rsidRDefault="004C3F05" w:rsidP="000F5B4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69B4DA51" w14:textId="0BB41F4A" w:rsidR="004C3F05" w:rsidRDefault="00C20B70" w:rsidP="004C3F05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C20B70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182112D5" wp14:editId="47DC2AA7">
            <wp:extent cx="2584377" cy="1056142"/>
            <wp:effectExtent l="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4377" cy="1056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83CFA" w14:textId="4CBB67A9" w:rsidR="004C3F05" w:rsidRPr="00FC7BBB" w:rsidRDefault="004C3F05" w:rsidP="004C3F05">
      <w:pPr>
        <w:pStyle w:val="LGTdoc1"/>
        <w:spacing w:beforeLines="0" w:before="240" w:after="120" w:afterAutospacing="0"/>
        <w:jc w:val="center"/>
        <w:rPr>
          <w:snapToGrid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 w:rsidR="007E600F">
        <w:rPr>
          <w:snapToGrid/>
          <w:kern w:val="2"/>
          <w:sz w:val="20"/>
        </w:rPr>
        <w:t>3</w:t>
      </w:r>
      <w:r w:rsidRPr="00FC7BBB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 xml:space="preserve">Potential MBSFN subframes in </w:t>
      </w:r>
      <w:r w:rsidR="00A72DF9">
        <w:rPr>
          <w:snapToGrid/>
          <w:kern w:val="2"/>
          <w:sz w:val="20"/>
        </w:rPr>
        <w:t xml:space="preserve">LTE </w:t>
      </w:r>
      <w:r>
        <w:rPr>
          <w:snapToGrid/>
          <w:kern w:val="2"/>
          <w:sz w:val="20"/>
        </w:rPr>
        <w:t>FDD (until Release 13)</w:t>
      </w:r>
    </w:p>
    <w:p w14:paraId="71299B95" w14:textId="77777777" w:rsidR="004C3F05" w:rsidRPr="004C3F05" w:rsidRDefault="004C3F05" w:rsidP="000F5B4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778BA763" w14:textId="4D2ED84B" w:rsidR="00F46E1D" w:rsidRDefault="00F46E1D" w:rsidP="000F5B4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Such restrictions on the configurable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for MBSFN </w:t>
      </w:r>
      <w:proofErr w:type="spellStart"/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by LTE, in return, implies that NR design should be</w:t>
      </w:r>
      <w:r w:rsidR="00C26846">
        <w:rPr>
          <w:b w:val="0"/>
          <w:snapToGrid/>
          <w:color w:val="000000" w:themeColor="text1"/>
          <w:kern w:val="2"/>
          <w:sz w:val="20"/>
          <w:lang w:val="en-US"/>
        </w:rPr>
        <w:t xml:space="preserve"> able to configure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its periodic transmissions or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possible periodic transmission occasions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on whichever subframes configured by LTE for MBSFN</w:t>
      </w:r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675910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</w:p>
    <w:p w14:paraId="22B21A34" w14:textId="0FF8D3E1" w:rsidR="00F46E1D" w:rsidRDefault="00F46E1D" w:rsidP="00F46E1D">
      <w:pPr>
        <w:pStyle w:val="LGTdoc1"/>
        <w:numPr>
          <w:ilvl w:val="0"/>
          <w:numId w:val="16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F7659C">
        <w:rPr>
          <w:snapToGrid/>
          <w:color w:val="000000" w:themeColor="text1"/>
          <w:kern w:val="2"/>
          <w:sz w:val="20"/>
          <w:lang w:val="en-US"/>
        </w:rPr>
        <w:t>Synchronization signals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 In LTE, the synchronization signals are transmitted in the fixed time/frequency resources.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The NR synchronization signal transmission could be an issue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if the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ir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occasions overlap with subframes that cannot be configured for MBSFN</w:t>
      </w:r>
      <w:r w:rsidR="009B6AF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9B6AF0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>. In this regard, the NR synchronization signal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should be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designed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flexible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enough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such that it can be transmitted in any configured MBSFN subframes.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F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or instance, the NR synchronization signal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can be transmitted in non-fixed slot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by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embedding the slot information in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the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sequence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itself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. Alternatively, the NR frame boundary can have an offset with respect to the LTE frame boundary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to avoid such overlap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  </w:t>
      </w:r>
    </w:p>
    <w:p w14:paraId="214E2986" w14:textId="09D61B35" w:rsidR="00F46E1D" w:rsidRPr="003057AD" w:rsidRDefault="00F46E1D" w:rsidP="003057AD">
      <w:pPr>
        <w:pStyle w:val="LGTdoc1"/>
        <w:numPr>
          <w:ilvl w:val="0"/>
          <w:numId w:val="16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snapToGrid/>
          <w:color w:val="000000" w:themeColor="text1"/>
          <w:kern w:val="2"/>
          <w:sz w:val="20"/>
          <w:lang w:val="en-US"/>
        </w:rPr>
        <w:t>Paging occasions</w:t>
      </w:r>
      <w:r w:rsidRPr="0099697F">
        <w:rPr>
          <w:b w:val="0"/>
          <w:snapToGrid/>
          <w:color w:val="000000" w:themeColor="text1"/>
          <w:kern w:val="2"/>
          <w:sz w:val="20"/>
          <w:lang w:val="en-US"/>
        </w:rPr>
        <w:t>: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In LTE, the paging instance, i.e., radio frame and subframe indices, are derived as a function of UE DRX cycle and UE ID. Depending on the network configuration in SIB2, possible paging occasions can be subframe 9, subframe 4 or 9, or subframe 0, 4, 5, or 9 for FDD.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Similarly, the possible paging occasions are defined for TDD as well. From this, it can be seen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that</w:t>
      </w:r>
      <w:r w:rsidR="009B633E">
        <w:rPr>
          <w:b w:val="0"/>
          <w:snapToGrid/>
          <w:color w:val="000000" w:themeColor="text1"/>
          <w:kern w:val="2"/>
          <w:sz w:val="20"/>
          <w:lang w:val="en-US"/>
        </w:rPr>
        <w:t xml:space="preserve"> the LTE paging occasions are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although configurable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not fully flexible.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Th</w:t>
      </w:r>
      <w:r w:rsidR="009B633E">
        <w:rPr>
          <w:b w:val="0"/>
          <w:snapToGrid/>
          <w:color w:val="000000" w:themeColor="text1"/>
          <w:kern w:val="2"/>
          <w:sz w:val="20"/>
          <w:lang w:val="en-US"/>
        </w:rPr>
        <w:t>erefore,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unless a particular assumption is made such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that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the shared LTE carrier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via MBSFN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can only be used as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an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NR SCell, NR paging design should also take into account the LTE-NR coexistence scenario. In other words, the NR paging should be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designed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flexible enough such that the paging occasions can be configured to whichever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subframes configured for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MBSFN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9B6AF0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9B6AF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by LTE.</w:t>
      </w:r>
    </w:p>
    <w:p w14:paraId="20563067" w14:textId="362D9C47" w:rsidR="0060280E" w:rsidRDefault="00F46E1D" w:rsidP="0060280E">
      <w:pPr>
        <w:pStyle w:val="LGTdoc1"/>
        <w:numPr>
          <w:ilvl w:val="0"/>
          <w:numId w:val="16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snapToGrid/>
          <w:color w:val="000000" w:themeColor="text1"/>
          <w:kern w:val="2"/>
          <w:sz w:val="20"/>
          <w:lang w:val="en-US"/>
        </w:rPr>
        <w:t>MIB/SIB transmissions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: 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In 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LTE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, MIB is transmitted every frame on subframe 0. Similarly, SIB1 is transmitted in subframe 5 in radio frame satisfying SFN mod 2 = 0. Other SIBs are scheduled by SIB1. 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U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nless a particular assumption can be made such that NR UEs do not camp on LTE-NR shared carrier, the NR system information transmission </w:t>
      </w:r>
      <w:r w:rsidR="00082535">
        <w:rPr>
          <w:b w:val="0"/>
          <w:snapToGrid/>
          <w:color w:val="000000" w:themeColor="text1"/>
          <w:kern w:val="2"/>
          <w:sz w:val="20"/>
          <w:lang w:val="en-US"/>
        </w:rPr>
        <w:t>design should allow that it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can be transmitted and received in whichever subframes configured for MBSFN </w:t>
      </w:r>
      <w:proofErr w:type="spellStart"/>
      <w:r w:rsidR="008279B0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8279B0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>by LTE.</w:t>
      </w:r>
    </w:p>
    <w:p w14:paraId="777128DD" w14:textId="77777777" w:rsidR="0060280E" w:rsidRDefault="0060280E" w:rsidP="0060280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lastRenderedPageBreak/>
        <w:t>Based on the preceding discussion, we drive the following proposals and observation.</w:t>
      </w:r>
    </w:p>
    <w:p w14:paraId="7E671323" w14:textId="67FFDAFB" w:rsidR="0060280E" w:rsidRPr="00CD382A" w:rsidRDefault="0060280E" w:rsidP="0060280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 3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Pr="0060280E">
        <w:rPr>
          <w:snapToGrid/>
          <w:kern w:val="2"/>
          <w:sz w:val="20"/>
          <w:lang w:val="en-US"/>
        </w:rPr>
        <w:t>NR synchronization signals should be designed flexible enough such that it can be transmitted in any configured MBSFN subframes.</w:t>
      </w:r>
      <w:r>
        <w:rPr>
          <w:snapToGrid/>
          <w:kern w:val="2"/>
          <w:sz w:val="20"/>
          <w:lang w:val="en-US"/>
        </w:rPr>
        <w:t xml:space="preserve"> </w:t>
      </w:r>
    </w:p>
    <w:p w14:paraId="63DB3C20" w14:textId="77777777" w:rsidR="0066708C" w:rsidRDefault="0060280E" w:rsidP="004842A6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 1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</w:t>
      </w:r>
      <w:r w:rsidRPr="0060280E">
        <w:rPr>
          <w:snapToGrid/>
          <w:kern w:val="2"/>
          <w:sz w:val="20"/>
          <w:lang w:val="en-US"/>
        </w:rPr>
        <w:t>the shared LTE carrier via MBSFN can only be used as an NR SCell</w:t>
      </w:r>
      <w:r>
        <w:rPr>
          <w:snapToGrid/>
          <w:kern w:val="2"/>
          <w:sz w:val="20"/>
          <w:lang w:val="en-US"/>
        </w:rPr>
        <w:t>, no considerations are needed for the paging occasions and system information transmissions on the shared carrier</w:t>
      </w:r>
      <w:r w:rsidR="00082535">
        <w:rPr>
          <w:snapToGrid/>
          <w:kern w:val="2"/>
          <w:sz w:val="20"/>
          <w:lang w:val="en-US"/>
        </w:rPr>
        <w:t xml:space="preserve"> due to the coexistence</w:t>
      </w:r>
      <w:r>
        <w:rPr>
          <w:snapToGrid/>
          <w:kern w:val="2"/>
          <w:sz w:val="20"/>
          <w:lang w:val="en-US"/>
        </w:rPr>
        <w:t xml:space="preserve">. </w:t>
      </w:r>
    </w:p>
    <w:p w14:paraId="0AF55F63" w14:textId="434EACE9" w:rsidR="00C2714A" w:rsidRDefault="0060280E" w:rsidP="004842A6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 xml:space="preserve">Proposal </w:t>
      </w:r>
      <w:r w:rsidR="0066708C">
        <w:rPr>
          <w:snapToGrid/>
          <w:kern w:val="2"/>
          <w:sz w:val="20"/>
          <w:lang w:val="en-US"/>
        </w:rPr>
        <w:t>4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the shared LTE carrier via MBSFN can be configured as a</w:t>
      </w:r>
      <w:r w:rsidR="0054623A">
        <w:rPr>
          <w:snapToGrid/>
          <w:kern w:val="2"/>
          <w:sz w:val="20"/>
          <w:lang w:val="en-US"/>
        </w:rPr>
        <w:t>n NR</w:t>
      </w:r>
      <w:r>
        <w:rPr>
          <w:snapToGrid/>
          <w:kern w:val="2"/>
          <w:sz w:val="20"/>
          <w:lang w:val="en-US"/>
        </w:rPr>
        <w:t xml:space="preserve"> </w:t>
      </w:r>
      <w:proofErr w:type="spellStart"/>
      <w:r>
        <w:rPr>
          <w:snapToGrid/>
          <w:kern w:val="2"/>
          <w:sz w:val="20"/>
          <w:lang w:val="en-US"/>
        </w:rPr>
        <w:t>PCell</w:t>
      </w:r>
      <w:proofErr w:type="spellEnd"/>
      <w:r>
        <w:rPr>
          <w:snapToGrid/>
          <w:kern w:val="2"/>
          <w:sz w:val="20"/>
          <w:lang w:val="en-US"/>
        </w:rPr>
        <w:t xml:space="preserve">, NR paging and system information transmissions should be </w:t>
      </w:r>
      <w:r w:rsidRPr="0060280E">
        <w:rPr>
          <w:snapToGrid/>
          <w:kern w:val="2"/>
          <w:sz w:val="20"/>
          <w:lang w:val="en-US"/>
        </w:rPr>
        <w:t xml:space="preserve">designed flexible enough </w:t>
      </w:r>
      <w:r w:rsidR="0054623A">
        <w:rPr>
          <w:snapToGrid/>
          <w:kern w:val="2"/>
          <w:sz w:val="20"/>
          <w:lang w:val="en-US"/>
        </w:rPr>
        <w:t>to be configurable</w:t>
      </w:r>
      <w:r w:rsidRPr="0060280E">
        <w:rPr>
          <w:snapToGrid/>
          <w:kern w:val="2"/>
          <w:sz w:val="20"/>
          <w:lang w:val="en-US"/>
        </w:rPr>
        <w:t xml:space="preserve"> to whichever </w:t>
      </w:r>
      <w:proofErr w:type="spellStart"/>
      <w:r w:rsidRPr="0060280E">
        <w:rPr>
          <w:snapToGrid/>
          <w:kern w:val="2"/>
          <w:sz w:val="20"/>
          <w:lang w:val="en-US"/>
        </w:rPr>
        <w:t>subframes</w:t>
      </w:r>
      <w:proofErr w:type="spellEnd"/>
      <w:r w:rsidRPr="0060280E">
        <w:rPr>
          <w:snapToGrid/>
          <w:kern w:val="2"/>
          <w:sz w:val="20"/>
          <w:lang w:val="en-US"/>
        </w:rPr>
        <w:t xml:space="preserve"> </w:t>
      </w:r>
      <w:r w:rsidR="0054623A">
        <w:rPr>
          <w:snapToGrid/>
          <w:kern w:val="2"/>
          <w:sz w:val="20"/>
          <w:lang w:val="en-US"/>
        </w:rPr>
        <w:t>set</w:t>
      </w:r>
      <w:r w:rsidRPr="0060280E">
        <w:rPr>
          <w:snapToGrid/>
          <w:kern w:val="2"/>
          <w:sz w:val="20"/>
          <w:lang w:val="en-US"/>
        </w:rPr>
        <w:t xml:space="preserve"> for MBSFN </w:t>
      </w:r>
      <w:proofErr w:type="spellStart"/>
      <w:r w:rsidR="008279B0">
        <w:rPr>
          <w:snapToGrid/>
          <w:kern w:val="2"/>
          <w:sz w:val="20"/>
          <w:lang w:val="en-US"/>
        </w:rPr>
        <w:t>subframes</w:t>
      </w:r>
      <w:proofErr w:type="spellEnd"/>
      <w:r w:rsidR="008279B0">
        <w:rPr>
          <w:snapToGrid/>
          <w:kern w:val="2"/>
          <w:sz w:val="20"/>
          <w:lang w:val="en-US"/>
        </w:rPr>
        <w:t xml:space="preserve"> </w:t>
      </w:r>
      <w:r w:rsidRPr="0060280E">
        <w:rPr>
          <w:snapToGrid/>
          <w:kern w:val="2"/>
          <w:sz w:val="20"/>
          <w:lang w:val="en-US"/>
        </w:rPr>
        <w:t>by LTE.</w:t>
      </w:r>
    </w:p>
    <w:p w14:paraId="2F5E6448" w14:textId="77777777" w:rsidR="00C2714A" w:rsidRPr="00751C18" w:rsidRDefault="00C2714A" w:rsidP="00C2714A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Restriction on the NR slot types</w:t>
      </w:r>
    </w:p>
    <w:p w14:paraId="5339EBEF" w14:textId="0CA236DA" w:rsidR="00C2714A" w:rsidRDefault="00C2714A" w:rsidP="00C2714A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It was agreed for NR to </w:t>
      </w:r>
      <w:r w:rsidR="007846DA">
        <w:rPr>
          <w:b w:val="0"/>
          <w:snapToGrid/>
          <w:color w:val="000000" w:themeColor="text1"/>
          <w:kern w:val="2"/>
          <w:sz w:val="20"/>
          <w:lang w:val="en-US"/>
        </w:rPr>
        <w:t>‘</w:t>
      </w:r>
      <w:r w:rsidRPr="007846DA">
        <w:rPr>
          <w:b w:val="0"/>
          <w:i/>
          <w:snapToGrid/>
          <w:color w:val="000000" w:themeColor="text1"/>
          <w:kern w:val="2"/>
          <w:sz w:val="20"/>
          <w:lang w:val="en-US"/>
        </w:rPr>
        <w:t>study flexible/dynamic TDD, including both downlink and uplink transmissions in the same subframe interval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.</w:t>
      </w:r>
      <w:r w:rsidR="007846DA">
        <w:rPr>
          <w:b w:val="0"/>
          <w:snapToGrid/>
          <w:color w:val="000000" w:themeColor="text1"/>
          <w:kern w:val="2"/>
          <w:sz w:val="20"/>
          <w:lang w:val="en-US"/>
        </w:rPr>
        <w:t xml:space="preserve">’ </w:t>
      </w:r>
      <w:r w:rsidR="007E600F">
        <w:rPr>
          <w:b w:val="0"/>
          <w:snapToGrid/>
          <w:color w:val="000000" w:themeColor="text1"/>
          <w:kern w:val="2"/>
          <w:sz w:val="20"/>
          <w:lang w:val="en-US"/>
        </w:rPr>
        <w:t>Following this</w:t>
      </w:r>
      <w:r w:rsidR="007846DA">
        <w:rPr>
          <w:b w:val="0"/>
          <w:snapToGrid/>
          <w:color w:val="000000" w:themeColor="text1"/>
          <w:kern w:val="2"/>
          <w:sz w:val="20"/>
          <w:lang w:val="en-US"/>
        </w:rPr>
        <w:t xml:space="preserve"> agreement, </w:t>
      </w:r>
      <w:r w:rsidR="00893E23">
        <w:rPr>
          <w:b w:val="0"/>
          <w:snapToGrid/>
          <w:color w:val="000000" w:themeColor="text1"/>
          <w:kern w:val="2"/>
          <w:sz w:val="20"/>
          <w:lang w:val="en-US"/>
        </w:rPr>
        <w:t xml:space="preserve">indeed </w:t>
      </w:r>
      <w:r w:rsidR="007846DA">
        <w:rPr>
          <w:b w:val="0"/>
          <w:snapToGrid/>
          <w:color w:val="000000" w:themeColor="text1"/>
          <w:kern w:val="2"/>
          <w:sz w:val="20"/>
          <w:lang w:val="en-US"/>
        </w:rPr>
        <w:t>any combination of DL</w:t>
      </w:r>
      <w:r w:rsidR="00893E23">
        <w:rPr>
          <w:b w:val="0"/>
          <w:snapToGrid/>
          <w:color w:val="000000" w:themeColor="text1"/>
          <w:kern w:val="2"/>
          <w:sz w:val="20"/>
          <w:lang w:val="en-US"/>
        </w:rPr>
        <w:t xml:space="preserve">/UL </w:t>
      </w:r>
      <w:r w:rsidR="007E600F">
        <w:rPr>
          <w:b w:val="0"/>
          <w:snapToGrid/>
          <w:color w:val="000000" w:themeColor="text1"/>
          <w:kern w:val="2"/>
          <w:sz w:val="20"/>
          <w:lang w:val="en-US"/>
        </w:rPr>
        <w:t>multiplexing</w:t>
      </w:r>
      <w:r w:rsidR="00893E23">
        <w:rPr>
          <w:b w:val="0"/>
          <w:snapToGrid/>
          <w:color w:val="000000" w:themeColor="text1"/>
          <w:kern w:val="2"/>
          <w:sz w:val="20"/>
          <w:lang w:val="en-US"/>
        </w:rPr>
        <w:t xml:space="preserve"> within a</w:t>
      </w:r>
      <w:r w:rsidR="0054623A">
        <w:rPr>
          <w:b w:val="0"/>
          <w:snapToGrid/>
          <w:color w:val="000000" w:themeColor="text1"/>
          <w:kern w:val="2"/>
          <w:sz w:val="20"/>
          <w:lang w:val="en-US"/>
        </w:rPr>
        <w:t>n</w:t>
      </w:r>
      <w:r w:rsidR="00893E23">
        <w:rPr>
          <w:b w:val="0"/>
          <w:snapToGrid/>
          <w:color w:val="000000" w:themeColor="text1"/>
          <w:kern w:val="2"/>
          <w:sz w:val="20"/>
          <w:lang w:val="en-US"/>
        </w:rPr>
        <w:t xml:space="preserve"> NR slot can be conceived. The following </w:t>
      </w:r>
      <w:r w:rsidR="007E600F">
        <w:rPr>
          <w:b w:val="0"/>
          <w:snapToGrid/>
          <w:color w:val="000000" w:themeColor="text1"/>
          <w:kern w:val="2"/>
          <w:sz w:val="20"/>
          <w:lang w:val="en-US"/>
        </w:rPr>
        <w:t>figure</w:t>
      </w:r>
      <w:r w:rsidR="00893E23">
        <w:rPr>
          <w:b w:val="0"/>
          <w:snapToGrid/>
          <w:color w:val="000000" w:themeColor="text1"/>
          <w:kern w:val="2"/>
          <w:sz w:val="20"/>
          <w:lang w:val="en-US"/>
        </w:rPr>
        <w:t xml:space="preserve"> illustrates </w:t>
      </w:r>
      <w:r w:rsidR="00374664">
        <w:rPr>
          <w:b w:val="0"/>
          <w:snapToGrid/>
          <w:color w:val="000000" w:themeColor="text1"/>
          <w:kern w:val="2"/>
          <w:sz w:val="20"/>
          <w:lang w:val="en-US"/>
        </w:rPr>
        <w:t xml:space="preserve">probable NR DL/UL slot structure. Again, with the additional </w:t>
      </w:r>
      <w:r w:rsidR="00D328E2">
        <w:rPr>
          <w:b w:val="0"/>
          <w:snapToGrid/>
          <w:color w:val="000000" w:themeColor="text1"/>
          <w:kern w:val="2"/>
          <w:sz w:val="20"/>
          <w:lang w:val="en-US"/>
        </w:rPr>
        <w:t xml:space="preserve">multiplexing of URLLC </w:t>
      </w:r>
      <w:r w:rsidR="00001089">
        <w:rPr>
          <w:b w:val="0"/>
          <w:snapToGrid/>
          <w:color w:val="000000" w:themeColor="text1"/>
          <w:kern w:val="2"/>
          <w:sz w:val="20"/>
          <w:lang w:val="en-US"/>
        </w:rPr>
        <w:t>or special purpose reference signal transmissions,</w:t>
      </w:r>
      <w:r w:rsidR="007E600F">
        <w:rPr>
          <w:b w:val="0"/>
          <w:snapToGrid/>
          <w:color w:val="000000" w:themeColor="text1"/>
          <w:kern w:val="2"/>
          <w:sz w:val="20"/>
          <w:lang w:val="en-US"/>
        </w:rPr>
        <w:t xml:space="preserve"> e.g., for interference measurement,</w:t>
      </w:r>
      <w:r w:rsidR="00001089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791ED9">
        <w:rPr>
          <w:b w:val="0"/>
          <w:snapToGrid/>
          <w:color w:val="000000" w:themeColor="text1"/>
          <w:kern w:val="2"/>
          <w:sz w:val="20"/>
          <w:lang w:val="en-US"/>
        </w:rPr>
        <w:t xml:space="preserve">there could be numerous </w:t>
      </w:r>
      <w:r w:rsidR="00001089">
        <w:rPr>
          <w:b w:val="0"/>
          <w:snapToGrid/>
          <w:color w:val="000000" w:themeColor="text1"/>
          <w:kern w:val="2"/>
          <w:sz w:val="20"/>
          <w:lang w:val="en-US"/>
        </w:rPr>
        <w:t xml:space="preserve">possible </w:t>
      </w:r>
      <w:r w:rsidR="00791ED9">
        <w:rPr>
          <w:b w:val="0"/>
          <w:snapToGrid/>
          <w:color w:val="000000" w:themeColor="text1"/>
          <w:kern w:val="2"/>
          <w:sz w:val="20"/>
          <w:lang w:val="en-US"/>
        </w:rPr>
        <w:t>construction</w:t>
      </w:r>
      <w:r w:rsidR="007E600F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 w:rsidR="00791ED9">
        <w:rPr>
          <w:b w:val="0"/>
          <w:snapToGrid/>
          <w:color w:val="000000" w:themeColor="text1"/>
          <w:kern w:val="2"/>
          <w:sz w:val="20"/>
          <w:lang w:val="en-US"/>
        </w:rPr>
        <w:t xml:space="preserve"> of DL/UL slot structures. </w:t>
      </w:r>
    </w:p>
    <w:p w14:paraId="3667C1B3" w14:textId="77777777" w:rsidR="007E600F" w:rsidRDefault="007E600F" w:rsidP="00C2714A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23506C51" w14:textId="595D5712" w:rsidR="00C2714A" w:rsidRDefault="0066708C" w:rsidP="00C2714A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66708C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6CE236F6" wp14:editId="3D636B03">
            <wp:extent cx="3735530" cy="760909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35530" cy="76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823C2" w14:textId="2281EE3D" w:rsidR="00C2714A" w:rsidRPr="00FC7BBB" w:rsidRDefault="00C2714A" w:rsidP="00036D9C">
      <w:pPr>
        <w:pStyle w:val="LGTdoc1"/>
        <w:spacing w:beforeLines="0" w:before="240" w:after="120" w:afterAutospacing="0"/>
        <w:jc w:val="center"/>
        <w:rPr>
          <w:snapToGrid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 w:rsidR="007E600F">
        <w:rPr>
          <w:snapToGrid/>
          <w:kern w:val="2"/>
          <w:sz w:val="20"/>
        </w:rPr>
        <w:t>4</w:t>
      </w:r>
      <w:r w:rsidRPr="00FC7BBB">
        <w:rPr>
          <w:snapToGrid/>
          <w:kern w:val="2"/>
          <w:sz w:val="20"/>
        </w:rPr>
        <w:t xml:space="preserve">. </w:t>
      </w:r>
      <w:r w:rsidR="007846DA">
        <w:rPr>
          <w:snapToGrid/>
          <w:kern w:val="2"/>
          <w:sz w:val="20"/>
        </w:rPr>
        <w:t>Possible NR</w:t>
      </w:r>
      <w:r w:rsidR="007E600F">
        <w:rPr>
          <w:snapToGrid/>
          <w:kern w:val="2"/>
          <w:sz w:val="20"/>
        </w:rPr>
        <w:t xml:space="preserve"> DL/UL</w:t>
      </w:r>
      <w:r w:rsidR="007846DA">
        <w:rPr>
          <w:snapToGrid/>
          <w:kern w:val="2"/>
          <w:sz w:val="20"/>
        </w:rPr>
        <w:t xml:space="preserve"> slot </w:t>
      </w:r>
      <w:r w:rsidR="007E600F">
        <w:rPr>
          <w:snapToGrid/>
          <w:kern w:val="2"/>
          <w:sz w:val="20"/>
        </w:rPr>
        <w:t>structure</w:t>
      </w:r>
    </w:p>
    <w:p w14:paraId="1A257C2D" w14:textId="77777777" w:rsidR="00A1790D" w:rsidRDefault="00A1790D" w:rsidP="00A1790D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07A9DA39" w14:textId="71422F40" w:rsidR="00A1790D" w:rsidRDefault="00D328E2" w:rsidP="00A1790D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Note that i</w:t>
      </w:r>
      <w:r w:rsidR="00A1790D">
        <w:rPr>
          <w:b w:val="0"/>
          <w:snapToGrid/>
          <w:color w:val="000000" w:themeColor="text1"/>
          <w:kern w:val="2"/>
          <w:sz w:val="20"/>
          <w:lang w:val="en-US"/>
        </w:rPr>
        <w:t xml:space="preserve">n sharing the spectrum between LTE and NR, </w:t>
      </w:r>
      <w:r w:rsidR="00821A4C">
        <w:rPr>
          <w:b w:val="0"/>
          <w:snapToGrid/>
          <w:color w:val="000000" w:themeColor="text1"/>
          <w:kern w:val="2"/>
          <w:sz w:val="20"/>
          <w:lang w:val="en-US"/>
        </w:rPr>
        <w:t xml:space="preserve">there are cases that certain subframes are supposed to be used for either DL or UL only. </w:t>
      </w:r>
      <w:r w:rsidR="00A15020">
        <w:rPr>
          <w:b w:val="0"/>
          <w:snapToGrid/>
          <w:color w:val="000000" w:themeColor="text1"/>
          <w:kern w:val="2"/>
          <w:sz w:val="20"/>
          <w:lang w:val="en-US"/>
        </w:rPr>
        <w:t xml:space="preserve">Those cases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are</w:t>
      </w:r>
      <w:r w:rsidR="00A15020">
        <w:rPr>
          <w:b w:val="0"/>
          <w:snapToGrid/>
          <w:color w:val="000000" w:themeColor="text1"/>
          <w:kern w:val="2"/>
          <w:sz w:val="20"/>
          <w:lang w:val="en-US"/>
        </w:rPr>
        <w:t>, for instance,</w:t>
      </w:r>
    </w:p>
    <w:p w14:paraId="7F19B6AC" w14:textId="6DA57592" w:rsidR="00A15020" w:rsidRDefault="00CD736E" w:rsidP="002571DD">
      <w:pPr>
        <w:pStyle w:val="LGTdoc1"/>
        <w:numPr>
          <w:ilvl w:val="0"/>
          <w:numId w:val="17"/>
        </w:numPr>
        <w:spacing w:beforeLines="0" w:before="120" w:after="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 w:rsidR="00A15020">
        <w:rPr>
          <w:b w:val="0"/>
          <w:snapToGrid/>
          <w:color w:val="000000" w:themeColor="text1"/>
          <w:kern w:val="2"/>
          <w:sz w:val="20"/>
          <w:lang w:val="en-US"/>
        </w:rPr>
        <w:t>har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ing</w:t>
      </w:r>
      <w:r w:rsidR="00A15020">
        <w:rPr>
          <w:b w:val="0"/>
          <w:snapToGrid/>
          <w:color w:val="000000" w:themeColor="text1"/>
          <w:kern w:val="2"/>
          <w:sz w:val="20"/>
          <w:lang w:val="en-US"/>
        </w:rPr>
        <w:t xml:space="preserve"> the same carrier in UL frequency band.</w:t>
      </w:r>
    </w:p>
    <w:p w14:paraId="048FF1C0" w14:textId="22836115" w:rsidR="00A15020" w:rsidRDefault="00CD736E" w:rsidP="002571DD">
      <w:pPr>
        <w:pStyle w:val="LGTdoc1"/>
        <w:numPr>
          <w:ilvl w:val="0"/>
          <w:numId w:val="17"/>
        </w:numPr>
        <w:spacing w:beforeLines="0" w:before="60" w:after="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Sharing the same carrier in DL frequency band, e.g., via LTE MBSFN configuration.</w:t>
      </w:r>
    </w:p>
    <w:p w14:paraId="1789F4DC" w14:textId="21F53D41" w:rsidR="00CD736E" w:rsidRDefault="00EA1AD0" w:rsidP="002571DD">
      <w:pPr>
        <w:pStyle w:val="LGTdoc1"/>
        <w:numPr>
          <w:ilvl w:val="0"/>
          <w:numId w:val="17"/>
        </w:numPr>
        <w:spacing w:beforeLines="0" w:before="60" w:after="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A</w:t>
      </w:r>
      <w:r w:rsidR="00CD736E">
        <w:rPr>
          <w:b w:val="0"/>
          <w:snapToGrid/>
          <w:color w:val="000000" w:themeColor="text1"/>
          <w:kern w:val="2"/>
          <w:sz w:val="20"/>
          <w:lang w:val="en-US"/>
        </w:rPr>
        <w:t>djacent channel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D328E2">
        <w:rPr>
          <w:b w:val="0"/>
          <w:snapToGrid/>
          <w:color w:val="000000" w:themeColor="text1"/>
          <w:kern w:val="2"/>
          <w:sz w:val="20"/>
          <w:lang w:val="en-US"/>
        </w:rPr>
        <w:t>coexistence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in unpaired spectrum.</w:t>
      </w:r>
      <w:r w:rsidR="00CD736E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</w:p>
    <w:p w14:paraId="58CC0EF3" w14:textId="66FA7785" w:rsidR="00BA5B0F" w:rsidRDefault="00D328E2" w:rsidP="00A9257C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I</w:t>
      </w:r>
      <w:r w:rsidR="008706C1">
        <w:rPr>
          <w:b w:val="0"/>
          <w:snapToGrid/>
          <w:kern w:val="2"/>
          <w:sz w:val="20"/>
          <w:lang w:val="en-US"/>
        </w:rPr>
        <w:t>f a certain shared LTE subframe is supposed to be used for a particular direct</w:t>
      </w:r>
      <w:r w:rsidR="009644D4">
        <w:rPr>
          <w:b w:val="0"/>
          <w:snapToGrid/>
          <w:kern w:val="2"/>
          <w:sz w:val="20"/>
          <w:lang w:val="en-US"/>
        </w:rPr>
        <w:t xml:space="preserve">ion, </w:t>
      </w:r>
      <w:r w:rsidR="008706C1">
        <w:rPr>
          <w:b w:val="0"/>
          <w:snapToGrid/>
          <w:kern w:val="2"/>
          <w:sz w:val="20"/>
          <w:lang w:val="en-US"/>
        </w:rPr>
        <w:t>NR should</w:t>
      </w:r>
      <w:r w:rsidR="00DB4FD0">
        <w:rPr>
          <w:b w:val="0"/>
          <w:snapToGrid/>
          <w:kern w:val="2"/>
          <w:sz w:val="20"/>
          <w:lang w:val="en-US"/>
        </w:rPr>
        <w:t xml:space="preserve"> operate accordingly</w:t>
      </w:r>
      <w:r w:rsidR="000875F3">
        <w:rPr>
          <w:b w:val="0"/>
          <w:snapToGrid/>
          <w:kern w:val="2"/>
          <w:sz w:val="20"/>
          <w:lang w:val="en-US"/>
        </w:rPr>
        <w:t xml:space="preserve">. This </w:t>
      </w:r>
      <w:r w:rsidR="00F83D3F">
        <w:rPr>
          <w:b w:val="0"/>
          <w:snapToGrid/>
          <w:kern w:val="2"/>
          <w:sz w:val="20"/>
          <w:lang w:val="en-US"/>
        </w:rPr>
        <w:t xml:space="preserve">requirement may be enforced due to the </w:t>
      </w:r>
      <w:r w:rsidR="000875F3">
        <w:rPr>
          <w:b w:val="0"/>
          <w:snapToGrid/>
          <w:kern w:val="2"/>
          <w:sz w:val="20"/>
          <w:lang w:val="en-US"/>
        </w:rPr>
        <w:t xml:space="preserve">cross-link interference issue </w:t>
      </w:r>
      <w:r w:rsidR="00F83D3F">
        <w:rPr>
          <w:b w:val="0"/>
          <w:snapToGrid/>
          <w:kern w:val="2"/>
          <w:sz w:val="20"/>
          <w:lang w:val="en-US"/>
        </w:rPr>
        <w:t xml:space="preserve">and/or the </w:t>
      </w:r>
      <w:r w:rsidR="00EB53BA">
        <w:rPr>
          <w:b w:val="0"/>
          <w:snapToGrid/>
          <w:kern w:val="2"/>
          <w:sz w:val="20"/>
          <w:lang w:val="en-US"/>
        </w:rPr>
        <w:t>regulations</w:t>
      </w:r>
      <w:r w:rsidR="00F83D3F">
        <w:rPr>
          <w:b w:val="0"/>
          <w:snapToGrid/>
          <w:kern w:val="2"/>
          <w:sz w:val="20"/>
          <w:lang w:val="en-US"/>
        </w:rPr>
        <w:t xml:space="preserve"> on use of FDD bands</w:t>
      </w:r>
      <w:r w:rsidR="00790072">
        <w:rPr>
          <w:b w:val="0"/>
          <w:snapToGrid/>
          <w:kern w:val="2"/>
          <w:sz w:val="20"/>
          <w:lang w:val="en-US"/>
        </w:rPr>
        <w:t>, e.g., DL band is not allowed to be used for UL transmission</w:t>
      </w:r>
      <w:r w:rsidR="00EB53BA">
        <w:rPr>
          <w:b w:val="0"/>
          <w:snapToGrid/>
          <w:kern w:val="2"/>
          <w:sz w:val="20"/>
          <w:lang w:val="en-US"/>
        </w:rPr>
        <w:t xml:space="preserve">. In this regard, NR design should provide DL-only and UL-only slots. </w:t>
      </w:r>
      <w:r w:rsidR="00A7596E">
        <w:rPr>
          <w:b w:val="0"/>
          <w:snapToGrid/>
          <w:kern w:val="2"/>
          <w:sz w:val="20"/>
          <w:lang w:val="en-US"/>
        </w:rPr>
        <w:t>I</w:t>
      </w:r>
      <w:r w:rsidR="00EB53BA">
        <w:rPr>
          <w:b w:val="0"/>
          <w:snapToGrid/>
          <w:kern w:val="2"/>
          <w:sz w:val="20"/>
          <w:lang w:val="en-US"/>
        </w:rPr>
        <w:t>n the case of UL</w:t>
      </w:r>
      <w:r w:rsidR="00A7596E">
        <w:rPr>
          <w:b w:val="0"/>
          <w:snapToGrid/>
          <w:kern w:val="2"/>
          <w:sz w:val="20"/>
          <w:lang w:val="en-US"/>
        </w:rPr>
        <w:t xml:space="preserve"> slots, in particular</w:t>
      </w:r>
      <w:r w:rsidR="00EB53BA">
        <w:rPr>
          <w:b w:val="0"/>
          <w:snapToGrid/>
          <w:kern w:val="2"/>
          <w:sz w:val="20"/>
          <w:lang w:val="en-US"/>
        </w:rPr>
        <w:t>,</w:t>
      </w:r>
      <w:r w:rsidR="00A7596E">
        <w:rPr>
          <w:b w:val="0"/>
          <w:snapToGrid/>
          <w:kern w:val="2"/>
          <w:sz w:val="20"/>
          <w:lang w:val="en-US"/>
        </w:rPr>
        <w:t xml:space="preserve"> </w:t>
      </w:r>
      <w:r w:rsidR="002571DD">
        <w:rPr>
          <w:b w:val="0"/>
          <w:snapToGrid/>
          <w:kern w:val="2"/>
          <w:sz w:val="20"/>
          <w:lang w:val="en-US"/>
        </w:rPr>
        <w:t xml:space="preserve">it should not be assumed that UL slots always start with DL control channel transmission. </w:t>
      </w:r>
      <w:r w:rsidR="00DB4FD0">
        <w:rPr>
          <w:b w:val="0"/>
          <w:snapToGrid/>
          <w:kern w:val="2"/>
          <w:sz w:val="20"/>
          <w:lang w:val="en-US"/>
        </w:rPr>
        <w:t>This requires that</w:t>
      </w:r>
      <w:r w:rsidR="002571DD">
        <w:rPr>
          <w:b w:val="0"/>
          <w:snapToGrid/>
          <w:kern w:val="2"/>
          <w:sz w:val="20"/>
          <w:lang w:val="en-US"/>
        </w:rPr>
        <w:t xml:space="preserve"> UL data needs to be scheduled</w:t>
      </w:r>
      <w:r w:rsidR="001C3605">
        <w:rPr>
          <w:b w:val="0"/>
          <w:snapToGrid/>
          <w:kern w:val="2"/>
          <w:sz w:val="20"/>
          <w:lang w:val="en-US"/>
        </w:rPr>
        <w:t xml:space="preserve"> in the earlier DL slots (in the case of unpaired spectrum</w:t>
      </w:r>
      <w:r w:rsidR="009644D4">
        <w:rPr>
          <w:b w:val="0"/>
          <w:snapToGrid/>
          <w:kern w:val="2"/>
          <w:sz w:val="20"/>
          <w:lang w:val="en-US"/>
        </w:rPr>
        <w:t xml:space="preserve"> without cross-carrier scheduling</w:t>
      </w:r>
      <w:r w:rsidR="001C3605">
        <w:rPr>
          <w:b w:val="0"/>
          <w:snapToGrid/>
          <w:kern w:val="2"/>
          <w:sz w:val="20"/>
          <w:lang w:val="en-US"/>
        </w:rPr>
        <w:t xml:space="preserve">) or by another DL carrier. </w:t>
      </w:r>
      <w:r w:rsidR="00EB53BA">
        <w:rPr>
          <w:b w:val="0"/>
          <w:snapToGrid/>
          <w:kern w:val="2"/>
          <w:sz w:val="20"/>
          <w:lang w:val="en-US"/>
        </w:rPr>
        <w:t xml:space="preserve"> </w:t>
      </w:r>
    </w:p>
    <w:p w14:paraId="4D9544F1" w14:textId="6494E004" w:rsidR="00036D9C" w:rsidRPr="009D7A12" w:rsidRDefault="009644D4" w:rsidP="009D7A12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 xml:space="preserve">Proposal </w:t>
      </w:r>
      <w:r w:rsidR="00790072">
        <w:rPr>
          <w:snapToGrid/>
          <w:kern w:val="2"/>
          <w:sz w:val="20"/>
          <w:lang w:val="en-US"/>
        </w:rPr>
        <w:t>5</w:t>
      </w:r>
      <w:r w:rsidRPr="00FC7BBB">
        <w:rPr>
          <w:snapToGrid/>
          <w:kern w:val="2"/>
          <w:sz w:val="20"/>
          <w:lang w:val="en-US"/>
        </w:rPr>
        <w:t xml:space="preserve">: </w:t>
      </w:r>
      <w:r w:rsidRPr="009644D4">
        <w:rPr>
          <w:snapToGrid/>
          <w:kern w:val="2"/>
          <w:sz w:val="20"/>
          <w:lang w:val="en-US"/>
        </w:rPr>
        <w:t>NR design should provide DL-only and UL-only slots</w:t>
      </w:r>
      <w:r>
        <w:rPr>
          <w:snapToGrid/>
          <w:kern w:val="2"/>
          <w:sz w:val="20"/>
          <w:lang w:val="en-US"/>
        </w:rPr>
        <w:t>.</w:t>
      </w:r>
      <w:r w:rsidRPr="009644D4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I</w:t>
      </w:r>
      <w:r w:rsidRPr="009644D4">
        <w:rPr>
          <w:snapToGrid/>
          <w:kern w:val="2"/>
          <w:sz w:val="20"/>
          <w:lang w:val="en-US"/>
        </w:rPr>
        <w:t>n particular, it should not be assumed that UL slots always start with DL control channel transmission.</w:t>
      </w:r>
      <w:r>
        <w:rPr>
          <w:snapToGrid/>
          <w:kern w:val="2"/>
          <w:sz w:val="20"/>
          <w:lang w:val="en-US"/>
        </w:rPr>
        <w:t xml:space="preserve"> 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4F42E329" w14:textId="49E0842E" w:rsidR="00790072" w:rsidRDefault="00790072" w:rsidP="00790072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various remaining LTE-NR coexistence issues were discussed and the following proposals and observations were derived. </w:t>
      </w:r>
    </w:p>
    <w:p w14:paraId="4C4D4E69" w14:textId="77777777" w:rsidR="00790072" w:rsidRDefault="00790072" w:rsidP="00790072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 1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</w:t>
      </w:r>
      <w:r w:rsidRPr="00BC0D30">
        <w:rPr>
          <w:snapToGrid/>
          <w:kern w:val="2"/>
          <w:sz w:val="20"/>
          <w:lang w:val="en-US"/>
        </w:rPr>
        <w:t xml:space="preserve">f </w:t>
      </w:r>
      <w:r>
        <w:rPr>
          <w:snapToGrid/>
          <w:kern w:val="2"/>
          <w:sz w:val="20"/>
          <w:lang w:val="en-US"/>
        </w:rPr>
        <w:t>‘flexible’</w:t>
      </w:r>
      <w:r w:rsidRPr="00BC0D30">
        <w:rPr>
          <w:snapToGrid/>
          <w:kern w:val="2"/>
          <w:sz w:val="20"/>
          <w:lang w:val="en-US"/>
        </w:rPr>
        <w:t xml:space="preserve"> LTE UL </w:t>
      </w:r>
      <w:proofErr w:type="spellStart"/>
      <w:r w:rsidRPr="00BC0D30">
        <w:rPr>
          <w:snapToGrid/>
          <w:kern w:val="2"/>
          <w:sz w:val="20"/>
          <w:lang w:val="en-US"/>
        </w:rPr>
        <w:t>subframes</w:t>
      </w:r>
      <w:proofErr w:type="spellEnd"/>
      <w:r w:rsidRPr="00BC0D30">
        <w:rPr>
          <w:snapToGrid/>
          <w:kern w:val="2"/>
          <w:sz w:val="20"/>
          <w:lang w:val="en-US"/>
        </w:rPr>
        <w:t xml:space="preserve"> on all the adjacent LTE carriers are unused, the </w:t>
      </w:r>
      <w:r>
        <w:rPr>
          <w:snapToGrid/>
          <w:kern w:val="2"/>
          <w:sz w:val="20"/>
          <w:lang w:val="en-US"/>
        </w:rPr>
        <w:t xml:space="preserve">collocated </w:t>
      </w:r>
      <w:proofErr w:type="spellStart"/>
      <w:r>
        <w:rPr>
          <w:snapToGrid/>
          <w:kern w:val="2"/>
          <w:sz w:val="20"/>
          <w:lang w:val="en-US"/>
        </w:rPr>
        <w:t>gNB</w:t>
      </w:r>
      <w:proofErr w:type="spellEnd"/>
      <w:r>
        <w:rPr>
          <w:snapToGrid/>
          <w:kern w:val="2"/>
          <w:sz w:val="20"/>
          <w:lang w:val="en-US"/>
        </w:rPr>
        <w:t xml:space="preserve"> can dynamically decide to use those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for either DL or UL. </w:t>
      </w:r>
    </w:p>
    <w:p w14:paraId="63760C20" w14:textId="77777777" w:rsidR="00790072" w:rsidRPr="00CD382A" w:rsidRDefault="00790072" w:rsidP="00790072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lastRenderedPageBreak/>
        <w:t>Proposal 2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In the case of non-collocated scenarios, the </w:t>
      </w:r>
      <w:r w:rsidRPr="00CD382A">
        <w:rPr>
          <w:snapToGrid/>
          <w:kern w:val="2"/>
          <w:sz w:val="20"/>
          <w:lang w:val="en-US"/>
        </w:rPr>
        <w:t xml:space="preserve">NR static DL/UL frame structure </w:t>
      </w:r>
      <w:r>
        <w:rPr>
          <w:snapToGrid/>
          <w:kern w:val="2"/>
          <w:sz w:val="20"/>
          <w:lang w:val="en-US"/>
        </w:rPr>
        <w:t>can</w:t>
      </w:r>
      <w:r w:rsidRPr="00CD382A">
        <w:rPr>
          <w:snapToGrid/>
          <w:kern w:val="2"/>
          <w:sz w:val="20"/>
          <w:lang w:val="en-US"/>
        </w:rPr>
        <w:t xml:space="preserve"> be constituted of DL, UL, S (special), and F (flexible) </w:t>
      </w:r>
      <w:proofErr w:type="spellStart"/>
      <w:r w:rsidRPr="00CD382A">
        <w:rPr>
          <w:snapToGrid/>
          <w:kern w:val="2"/>
          <w:sz w:val="20"/>
          <w:lang w:val="en-US"/>
        </w:rPr>
        <w:t>subframe</w:t>
      </w:r>
      <w:proofErr w:type="spellEnd"/>
      <w:r w:rsidRPr="00CD382A">
        <w:rPr>
          <w:snapToGrid/>
          <w:kern w:val="2"/>
          <w:sz w:val="20"/>
          <w:lang w:val="en-US"/>
        </w:rPr>
        <w:t xml:space="preserve"> types</w:t>
      </w:r>
      <w:r>
        <w:rPr>
          <w:snapToGrid/>
          <w:kern w:val="2"/>
          <w:sz w:val="20"/>
          <w:lang w:val="en-US"/>
        </w:rPr>
        <w:t xml:space="preserve">, where the </w:t>
      </w:r>
      <w:proofErr w:type="spellStart"/>
      <w:r w:rsidRPr="00CD382A">
        <w:rPr>
          <w:snapToGrid/>
          <w:kern w:val="2"/>
          <w:sz w:val="20"/>
          <w:lang w:val="en-US"/>
        </w:rPr>
        <w:t>subframe</w:t>
      </w:r>
      <w:proofErr w:type="spellEnd"/>
      <w:r w:rsidRPr="00CD382A">
        <w:rPr>
          <w:snapToGrid/>
          <w:kern w:val="2"/>
          <w:sz w:val="20"/>
          <w:lang w:val="en-US"/>
        </w:rPr>
        <w:t xml:space="preserve"> type F is intended to be flexibly used for either DL or UL</w:t>
      </w:r>
      <w:r>
        <w:rPr>
          <w:snapToGrid/>
          <w:kern w:val="2"/>
          <w:sz w:val="20"/>
          <w:lang w:val="en-US"/>
        </w:rPr>
        <w:t xml:space="preserve">. </w:t>
      </w:r>
    </w:p>
    <w:p w14:paraId="740546AF" w14:textId="77777777" w:rsidR="00A8419C" w:rsidRPr="00CD382A" w:rsidRDefault="00A8419C" w:rsidP="00A8419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 3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Pr="0060280E">
        <w:rPr>
          <w:snapToGrid/>
          <w:kern w:val="2"/>
          <w:sz w:val="20"/>
          <w:lang w:val="en-US"/>
        </w:rPr>
        <w:t xml:space="preserve">NR synchronization signals should be designed flexible enough such that it can be transmitted in any configured MBSFN </w:t>
      </w:r>
      <w:proofErr w:type="spellStart"/>
      <w:r w:rsidRPr="0060280E">
        <w:rPr>
          <w:snapToGrid/>
          <w:kern w:val="2"/>
          <w:sz w:val="20"/>
          <w:lang w:val="en-US"/>
        </w:rPr>
        <w:t>subframes</w:t>
      </w:r>
      <w:proofErr w:type="spellEnd"/>
      <w:r w:rsidRPr="0060280E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09758D1B" w14:textId="77777777" w:rsidR="00A8419C" w:rsidRDefault="00A8419C" w:rsidP="00A8419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 1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</w:t>
      </w:r>
      <w:r w:rsidRPr="0060280E">
        <w:rPr>
          <w:snapToGrid/>
          <w:kern w:val="2"/>
          <w:sz w:val="20"/>
          <w:lang w:val="en-US"/>
        </w:rPr>
        <w:t xml:space="preserve">the shared LTE carrier via MBSFN can only be used as an NR </w:t>
      </w:r>
      <w:proofErr w:type="spellStart"/>
      <w:r w:rsidRPr="0060280E">
        <w:rPr>
          <w:snapToGrid/>
          <w:kern w:val="2"/>
          <w:sz w:val="20"/>
          <w:lang w:val="en-US"/>
        </w:rPr>
        <w:t>SCell</w:t>
      </w:r>
      <w:proofErr w:type="spellEnd"/>
      <w:r>
        <w:rPr>
          <w:snapToGrid/>
          <w:kern w:val="2"/>
          <w:sz w:val="20"/>
          <w:lang w:val="en-US"/>
        </w:rPr>
        <w:t xml:space="preserve">, no considerations are needed for the paging occasions and system information transmissions on the shared carrier due to the coexistence. </w:t>
      </w:r>
    </w:p>
    <w:p w14:paraId="7DB2FD14" w14:textId="77777777" w:rsidR="00A8419C" w:rsidRDefault="00A8419C" w:rsidP="00A8419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 4</w:t>
      </w:r>
      <w:r w:rsidRPr="00FC7BBB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the shared LTE carrier via MBSFN can be configured as an NR </w:t>
      </w:r>
      <w:proofErr w:type="spellStart"/>
      <w:r>
        <w:rPr>
          <w:snapToGrid/>
          <w:kern w:val="2"/>
          <w:sz w:val="20"/>
          <w:lang w:val="en-US"/>
        </w:rPr>
        <w:t>PCell</w:t>
      </w:r>
      <w:proofErr w:type="spellEnd"/>
      <w:r>
        <w:rPr>
          <w:snapToGrid/>
          <w:kern w:val="2"/>
          <w:sz w:val="20"/>
          <w:lang w:val="en-US"/>
        </w:rPr>
        <w:t xml:space="preserve">, NR paging and system information transmissions should be </w:t>
      </w:r>
      <w:r w:rsidRPr="0060280E">
        <w:rPr>
          <w:snapToGrid/>
          <w:kern w:val="2"/>
          <w:sz w:val="20"/>
          <w:lang w:val="en-US"/>
        </w:rPr>
        <w:t xml:space="preserve">designed flexible enough </w:t>
      </w:r>
      <w:r>
        <w:rPr>
          <w:snapToGrid/>
          <w:kern w:val="2"/>
          <w:sz w:val="20"/>
          <w:lang w:val="en-US"/>
        </w:rPr>
        <w:t>to be configurable</w:t>
      </w:r>
      <w:r w:rsidRPr="0060280E">
        <w:rPr>
          <w:snapToGrid/>
          <w:kern w:val="2"/>
          <w:sz w:val="20"/>
          <w:lang w:val="en-US"/>
        </w:rPr>
        <w:t xml:space="preserve"> to whichever </w:t>
      </w:r>
      <w:proofErr w:type="spellStart"/>
      <w:r w:rsidRPr="0060280E">
        <w:rPr>
          <w:snapToGrid/>
          <w:kern w:val="2"/>
          <w:sz w:val="20"/>
          <w:lang w:val="en-US"/>
        </w:rPr>
        <w:t>subframes</w:t>
      </w:r>
      <w:proofErr w:type="spellEnd"/>
      <w:r w:rsidRPr="0060280E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set</w:t>
      </w:r>
      <w:r w:rsidRPr="0060280E">
        <w:rPr>
          <w:snapToGrid/>
          <w:kern w:val="2"/>
          <w:sz w:val="20"/>
          <w:lang w:val="en-US"/>
        </w:rPr>
        <w:t xml:space="preserve"> for MBSFN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</w:t>
      </w:r>
      <w:r w:rsidRPr="0060280E">
        <w:rPr>
          <w:snapToGrid/>
          <w:kern w:val="2"/>
          <w:sz w:val="20"/>
          <w:lang w:val="en-US"/>
        </w:rPr>
        <w:t>by LTE.</w:t>
      </w:r>
    </w:p>
    <w:p w14:paraId="453BB985" w14:textId="7FE9E9BE" w:rsidR="00790072" w:rsidRPr="00A8419C" w:rsidRDefault="00A8419C" w:rsidP="00A8419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Proposal 5</w:t>
      </w:r>
      <w:r w:rsidRPr="00FC7BBB">
        <w:rPr>
          <w:snapToGrid/>
          <w:kern w:val="2"/>
          <w:sz w:val="20"/>
          <w:lang w:val="en-US"/>
        </w:rPr>
        <w:t xml:space="preserve">: </w:t>
      </w:r>
      <w:r w:rsidRPr="009644D4">
        <w:rPr>
          <w:snapToGrid/>
          <w:kern w:val="2"/>
          <w:sz w:val="20"/>
          <w:lang w:val="en-US"/>
        </w:rPr>
        <w:t>NR design should provide DL-only and UL-only slots</w:t>
      </w:r>
      <w:r>
        <w:rPr>
          <w:snapToGrid/>
          <w:kern w:val="2"/>
          <w:sz w:val="20"/>
          <w:lang w:val="en-US"/>
        </w:rPr>
        <w:t>.</w:t>
      </w:r>
      <w:r w:rsidRPr="009644D4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I</w:t>
      </w:r>
      <w:r w:rsidRPr="009644D4">
        <w:rPr>
          <w:snapToGrid/>
          <w:kern w:val="2"/>
          <w:sz w:val="20"/>
          <w:lang w:val="en-US"/>
        </w:rPr>
        <w:t>n particular, it should not be assumed that UL slots always start with DL control channel transmission.</w:t>
      </w:r>
      <w:r>
        <w:rPr>
          <w:snapToGrid/>
          <w:kern w:val="2"/>
          <w:sz w:val="20"/>
          <w:lang w:val="en-US"/>
        </w:rPr>
        <w:t xml:space="preserve"> </w:t>
      </w:r>
    </w:p>
    <w:p w14:paraId="198B9A24" w14:textId="77777777" w:rsidR="00915C3F" w:rsidRDefault="00915C3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40596FDD" w14:textId="2AF42F19" w:rsidR="006266E5" w:rsidRPr="00915C3F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991F9D">
        <w:rPr>
          <w:sz w:val="20"/>
        </w:rPr>
        <w:t>RAN1 Chairman’s Note</w:t>
      </w:r>
      <w:r w:rsidR="00991F9D" w:rsidRPr="00EF467A">
        <w:rPr>
          <w:sz w:val="20"/>
        </w:rPr>
        <w:t>, 3GPP TSG RAN WG1 Meeting</w:t>
      </w:r>
      <w:r w:rsidR="00BF6FF4">
        <w:rPr>
          <w:sz w:val="20"/>
        </w:rPr>
        <w:t xml:space="preserve"> NR Ad-Hoc</w:t>
      </w:r>
      <w:r w:rsidR="00991F9D" w:rsidRPr="00EF467A">
        <w:rPr>
          <w:sz w:val="20"/>
        </w:rPr>
        <w:t xml:space="preserve">, </w:t>
      </w:r>
      <w:r w:rsidR="00BF6FF4">
        <w:rPr>
          <w:sz w:val="20"/>
        </w:rPr>
        <w:t>January</w:t>
      </w:r>
      <w:r w:rsidR="00991F9D" w:rsidRPr="00EF467A">
        <w:rPr>
          <w:sz w:val="20"/>
        </w:rPr>
        <w:t>, 201</w:t>
      </w:r>
      <w:r w:rsidR="00BF6FF4">
        <w:rPr>
          <w:sz w:val="20"/>
        </w:rPr>
        <w:t>7</w:t>
      </w:r>
    </w:p>
    <w:p w14:paraId="422559E3" w14:textId="0FDBCF09" w:rsidR="00385823" w:rsidRPr="00915C3F" w:rsidRDefault="00385823" w:rsidP="00915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385823" w:rsidRPr="00915C3F" w:rsidSect="00FC27AE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5CD7C" w14:textId="77777777" w:rsidR="00456188" w:rsidRDefault="00456188">
      <w:r>
        <w:separator/>
      </w:r>
    </w:p>
  </w:endnote>
  <w:endnote w:type="continuationSeparator" w:id="0">
    <w:p w14:paraId="215A3003" w14:textId="77777777" w:rsidR="00456188" w:rsidRDefault="0045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60280E" w:rsidRDefault="0060280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60280E" w:rsidRDefault="0060280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60280E" w:rsidRDefault="0060280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640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640E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55192" w14:textId="77777777" w:rsidR="00456188" w:rsidRDefault="00456188">
      <w:r>
        <w:separator/>
      </w:r>
    </w:p>
  </w:footnote>
  <w:footnote w:type="continuationSeparator" w:id="0">
    <w:p w14:paraId="160D7436" w14:textId="77777777" w:rsidR="00456188" w:rsidRDefault="00456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60280E" w:rsidRDefault="00602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17"/>
  </w:num>
  <w:num w:numId="5">
    <w:abstractNumId w:val="8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  <w:num w:numId="13">
    <w:abstractNumId w:val="5"/>
  </w:num>
  <w:num w:numId="14">
    <w:abstractNumId w:val="15"/>
  </w:num>
  <w:num w:numId="15">
    <w:abstractNumId w:val="18"/>
  </w:num>
  <w:num w:numId="16">
    <w:abstractNumId w:val="12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4FF804B-EEC2-4187-A807-ED635716EA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4C48F6-CB56-4E16-B162-4DDECED2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5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13140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6</cp:revision>
  <cp:lastPrinted>2016-05-14T03:13:00Z</cp:lastPrinted>
  <dcterms:created xsi:type="dcterms:W3CDTF">2017-02-03T08:24:00Z</dcterms:created>
  <dcterms:modified xsi:type="dcterms:W3CDTF">2017-02-07T07:49:00Z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