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0F9341E6" w:rsidR="00C07E87" w:rsidRPr="00D50E40" w:rsidRDefault="00812072" w:rsidP="00C07E8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50E40">
        <w:rPr>
          <w:lang w:val="en-US"/>
        </w:rPr>
        <w:t xml:space="preserve">3GPP TSG-RAN WG1 </w:t>
      </w:r>
      <w:r w:rsidR="001C2C68" w:rsidRPr="00D50E40">
        <w:rPr>
          <w:lang w:val="en-US"/>
        </w:rPr>
        <w:t>#88</w:t>
      </w:r>
      <w:r w:rsidR="00C07E87" w:rsidRPr="00D50E40">
        <w:rPr>
          <w:lang w:val="en-US"/>
        </w:rPr>
        <w:tab/>
      </w:r>
      <w:r w:rsidR="005F1E91" w:rsidRPr="00D50E40">
        <w:rPr>
          <w:sz w:val="32"/>
          <w:szCs w:val="32"/>
          <w:lang w:val="en-US"/>
        </w:rPr>
        <w:t>R1-1701870</w:t>
      </w:r>
    </w:p>
    <w:p w14:paraId="0AE713F2" w14:textId="77777777" w:rsidR="00CE227E" w:rsidRDefault="00CE227E" w:rsidP="00CE22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D67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- 17</w:t>
      </w:r>
      <w:r w:rsidRPr="00BD67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0EFCBA25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5F1E91">
        <w:rPr>
          <w:sz w:val="22"/>
          <w:szCs w:val="22"/>
          <w:lang w:val="en-US"/>
        </w:rPr>
        <w:t>Agenda Item:</w:t>
      </w:r>
      <w:r w:rsidRPr="005F1E91">
        <w:rPr>
          <w:sz w:val="22"/>
          <w:szCs w:val="22"/>
          <w:lang w:val="en-US"/>
        </w:rPr>
        <w:tab/>
      </w:r>
      <w:r w:rsidR="005F1E91" w:rsidRPr="005F1E91">
        <w:rPr>
          <w:sz w:val="22"/>
          <w:szCs w:val="22"/>
          <w:lang w:val="en-US"/>
        </w:rPr>
        <w:t>8.1.3.4.2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5D16208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1E91" w:rsidRPr="005F1E91">
        <w:rPr>
          <w:sz w:val="22"/>
          <w:szCs w:val="22"/>
        </w:rPr>
        <w:t>On eMBB/URLLC multiplexing for uplink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7ABD09B7" w14:textId="27CA61EC" w:rsidR="00557D7C" w:rsidRDefault="0043595A" w:rsidP="00E30225">
      <w:pPr>
        <w:pStyle w:val="BodyText"/>
      </w:pPr>
      <w:r>
        <w:t xml:space="preserve">In this paper we will discuss the possibilities and impact of URLLC </w:t>
      </w:r>
      <w:r w:rsidR="00D4644F">
        <w:t xml:space="preserve">puncturing of eMBB for UL data, similar to the discussion for DL </w:t>
      </w:r>
      <w:r w:rsidR="00D4644F">
        <w:fldChar w:fldCharType="begin"/>
      </w:r>
      <w:r w:rsidR="00D4644F">
        <w:instrText xml:space="preserve"> REF _Ref473636642 \r \h </w:instrText>
      </w:r>
      <w:r w:rsidR="00D4644F">
        <w:fldChar w:fldCharType="separate"/>
      </w:r>
      <w:r w:rsidR="00D4644F">
        <w:t>[2]</w:t>
      </w:r>
      <w:r w:rsidR="00D4644F">
        <w:fldChar w:fldCharType="end"/>
      </w:r>
      <w:r w:rsidR="00D4644F">
        <w:t>.</w:t>
      </w:r>
    </w:p>
    <w:p w14:paraId="412AA818" w14:textId="70B67BD9" w:rsidR="00E30225" w:rsidRDefault="00E30225" w:rsidP="00E30225">
      <w:pPr>
        <w:pStyle w:val="Heading1"/>
      </w:pPr>
      <w:bookmarkStart w:id="0" w:name="_Ref178064866"/>
      <w:r w:rsidRPr="00CE0424">
        <w:t>Discussion</w:t>
      </w:r>
      <w:bookmarkEnd w:id="0"/>
    </w:p>
    <w:p w14:paraId="7FA532EB" w14:textId="040D4FDB" w:rsidR="0070655A" w:rsidRDefault="005460DC" w:rsidP="00EC24C5">
      <w:bookmarkStart w:id="1" w:name="_Toc455649131"/>
      <w:bookmarkStart w:id="2" w:name="_Toc455649156"/>
      <w:bookmarkStart w:id="3" w:name="_Toc455649182"/>
      <w:bookmarkStart w:id="4" w:name="_Toc455649228"/>
      <w:bookmarkStart w:id="5" w:name="_Toc455649250"/>
      <w:bookmarkStart w:id="6" w:name="_Toc455649272"/>
      <w:bookmarkStart w:id="7" w:name="_Toc455649132"/>
      <w:bookmarkStart w:id="8" w:name="_Toc455649157"/>
      <w:bookmarkStart w:id="9" w:name="_Toc455649183"/>
      <w:bookmarkStart w:id="10" w:name="_Toc455649229"/>
      <w:bookmarkStart w:id="11" w:name="_Toc455649251"/>
      <w:bookmarkStart w:id="12" w:name="_Toc455649273"/>
      <w:bookmarkStart w:id="13" w:name="_Toc455649133"/>
      <w:bookmarkStart w:id="14" w:name="_Toc455649158"/>
      <w:bookmarkStart w:id="15" w:name="_Toc455649184"/>
      <w:bookmarkStart w:id="16" w:name="_Toc455649230"/>
      <w:bookmarkStart w:id="17" w:name="_Toc455649252"/>
      <w:bookmarkStart w:id="18" w:name="_Toc455649274"/>
      <w:bookmarkStart w:id="19" w:name="_Toc455649134"/>
      <w:bookmarkStart w:id="20" w:name="_Toc455649159"/>
      <w:bookmarkStart w:id="21" w:name="_Toc455649185"/>
      <w:bookmarkStart w:id="22" w:name="_Toc455649231"/>
      <w:bookmarkStart w:id="23" w:name="_Toc455649253"/>
      <w:bookmarkStart w:id="24" w:name="_Toc455649275"/>
      <w:bookmarkStart w:id="25" w:name="_Toc455649135"/>
      <w:bookmarkStart w:id="26" w:name="_Toc455649160"/>
      <w:bookmarkStart w:id="27" w:name="_Toc455649186"/>
      <w:bookmarkStart w:id="28" w:name="_Toc455649232"/>
      <w:bookmarkStart w:id="29" w:name="_Toc455649254"/>
      <w:bookmarkStart w:id="30" w:name="_Toc455649276"/>
      <w:bookmarkStart w:id="31" w:name="_Toc455649136"/>
      <w:bookmarkStart w:id="32" w:name="_Toc455649161"/>
      <w:bookmarkStart w:id="33" w:name="_Toc455649187"/>
      <w:bookmarkStart w:id="34" w:name="_Toc455649233"/>
      <w:bookmarkStart w:id="35" w:name="_Toc455649255"/>
      <w:bookmarkStart w:id="36" w:name="_Toc455649277"/>
      <w:bookmarkStart w:id="37" w:name="_Toc455649137"/>
      <w:bookmarkStart w:id="38" w:name="_Toc455649162"/>
      <w:bookmarkStart w:id="39" w:name="_Toc455649188"/>
      <w:bookmarkStart w:id="40" w:name="_Toc455649234"/>
      <w:bookmarkStart w:id="41" w:name="_Toc455649256"/>
      <w:bookmarkStart w:id="42" w:name="_Toc455649278"/>
      <w:bookmarkStart w:id="43" w:name="_Toc455649138"/>
      <w:bookmarkStart w:id="44" w:name="_Toc455649163"/>
      <w:bookmarkStart w:id="45" w:name="_Toc455649189"/>
      <w:bookmarkStart w:id="46" w:name="_Toc455649235"/>
      <w:bookmarkStart w:id="47" w:name="_Toc455649257"/>
      <w:bookmarkStart w:id="48" w:name="_Toc455649279"/>
      <w:bookmarkStart w:id="49" w:name="_Toc455649139"/>
      <w:bookmarkStart w:id="50" w:name="_Toc455649164"/>
      <w:bookmarkStart w:id="51" w:name="_Toc455649190"/>
      <w:bookmarkStart w:id="52" w:name="_Toc455649236"/>
      <w:bookmarkStart w:id="53" w:name="_Toc455649258"/>
      <w:bookmarkStart w:id="54" w:name="_Toc455649280"/>
      <w:bookmarkStart w:id="55" w:name="_Toc455649140"/>
      <w:bookmarkStart w:id="56" w:name="_Toc455649165"/>
      <w:bookmarkStart w:id="57" w:name="_Toc455649191"/>
      <w:bookmarkStart w:id="58" w:name="_Toc455649237"/>
      <w:bookmarkStart w:id="59" w:name="_Toc455649259"/>
      <w:bookmarkStart w:id="60" w:name="_Toc455649281"/>
      <w:bookmarkStart w:id="61" w:name="_Toc455649141"/>
      <w:bookmarkStart w:id="62" w:name="_Toc455649166"/>
      <w:bookmarkStart w:id="63" w:name="_Toc455649192"/>
      <w:bookmarkStart w:id="64" w:name="_Toc455649238"/>
      <w:bookmarkStart w:id="65" w:name="_Toc455649260"/>
      <w:bookmarkStart w:id="66" w:name="_Toc455649282"/>
      <w:bookmarkStart w:id="67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t>For the puncturing in UL w</w:t>
      </w:r>
      <w:r w:rsidR="0043595A">
        <w:t>e can separate between two clear cases: URLLC data from UE1 punctures eMBB data from UE1 (same-UE puncturing), or URLLC data from UE1 punctures eMBB data from UE2 (different-UE puncturing).</w:t>
      </w:r>
      <w:r w:rsidR="00D50E40">
        <w:t xml:space="preserve"> As the baseline, a URLLC UE with data should send </w:t>
      </w:r>
      <w:r w:rsidR="00432938">
        <w:t>SR, preferably on mini-slot level, for the gNB to act on as it sees fit.</w:t>
      </w:r>
      <w:r w:rsidR="00A470CF">
        <w:t xml:space="preserve"> In the contribution we further assume that </w:t>
      </w:r>
      <w:r w:rsidR="00B160F5">
        <w:t>URLLC traffic will be mainly scheduled with mini-slots. It is however worth to note that some traffic scenarios that correspond the URLLC traffic does not require that strict latency requirement</w:t>
      </w:r>
      <w:r w:rsidR="00722CB0">
        <w:t xml:space="preserve"> of mini-slots</w:t>
      </w:r>
      <w:r w:rsidR="00A3352C">
        <w:t xml:space="preserve"> and can instead use slots</w:t>
      </w:r>
      <w:r w:rsidR="00B160F5">
        <w:t xml:space="preserve">. </w:t>
      </w:r>
    </w:p>
    <w:p w14:paraId="48B47DB2" w14:textId="64B605A0" w:rsidR="0043595A" w:rsidRDefault="0043595A" w:rsidP="0043595A">
      <w:pPr>
        <w:pStyle w:val="Heading2"/>
      </w:pPr>
      <w:r>
        <w:t>Same-UE puncturing</w:t>
      </w:r>
    </w:p>
    <w:p w14:paraId="423CA31F" w14:textId="15BA27AA" w:rsidR="005460DC" w:rsidRDefault="005460DC" w:rsidP="0043595A">
      <w:r>
        <w:t xml:space="preserve">In this scenario the same UE has eMBB data and URLLC data. This may not be a very </w:t>
      </w:r>
      <w:r w:rsidR="009D3D14">
        <w:t>common</w:t>
      </w:r>
      <w:r>
        <w:t xml:space="preserve"> scenario since a UE will likely focus on one traffic type during a certain time, either eMBB or URLLC. Also it will in any case be less frequently occurring that the same UE has the two types of UL in a given slot. </w:t>
      </w:r>
      <w:r w:rsidR="009D3D14">
        <w:t>However, we can consider an industrial robot sending critical sensor data while also streaming video to a control room. Therefore, w</w:t>
      </w:r>
      <w:r>
        <w:t>e will anyway discuss the implications of this type of UL puncturing here.</w:t>
      </w:r>
    </w:p>
    <w:p w14:paraId="3602CA94" w14:textId="39552BDE" w:rsidR="0043595A" w:rsidRDefault="0043595A" w:rsidP="0043595A">
      <w:r>
        <w:t>For the case when a UE has both eMBB in an UL slot and URLLC data in an UL mini-slot we c</w:t>
      </w:r>
      <w:r w:rsidR="00BD53A6">
        <w:t>an also discriminate between some main</w:t>
      </w:r>
      <w:r>
        <w:t xml:space="preserve"> scenarios.</w:t>
      </w:r>
      <w:r w:rsidR="00E11A7C">
        <w:t xml:space="preserve"> </w:t>
      </w:r>
    </w:p>
    <w:p w14:paraId="374A5F58" w14:textId="709C73B7" w:rsidR="00782461" w:rsidRDefault="00782461" w:rsidP="00782461">
      <w:r>
        <w:t xml:space="preserve">In this case the UE has received a grant for a slot-length transmission, and it later receives a grant for a </w:t>
      </w:r>
      <w:r w:rsidR="00F82C86">
        <w:t xml:space="preserve">mini-slot </w:t>
      </w:r>
      <w:r>
        <w:t>transmission</w:t>
      </w:r>
      <w:r w:rsidR="002A1895">
        <w:t xml:space="preserve"> that are over</w:t>
      </w:r>
      <w:r w:rsidR="00D77211">
        <w:t xml:space="preserve">lapping in time and </w:t>
      </w:r>
      <w:r w:rsidR="00A3352C">
        <w:t>are both on</w:t>
      </w:r>
      <w:r w:rsidR="00D77211">
        <w:t xml:space="preserve"> the same carrier</w:t>
      </w:r>
      <w:r>
        <w:t xml:space="preserve">. This second grant can be sent on a mini-slot basis and therefore have a different timing. In this case the latest received grant should be used by the UE, and the planned </w:t>
      </w:r>
      <w:r w:rsidR="00D77211">
        <w:t>slot-length</w:t>
      </w:r>
      <w:r w:rsidR="00D77211">
        <w:t xml:space="preserve"> </w:t>
      </w:r>
      <w:r>
        <w:t>transmission should thus be cancelled.</w:t>
      </w:r>
    </w:p>
    <w:p w14:paraId="6165C647" w14:textId="2680EDB6" w:rsidR="00D77211" w:rsidRPr="002F3F68" w:rsidRDefault="00D77211" w:rsidP="002F3F68">
      <w:pPr>
        <w:pStyle w:val="TOC1"/>
        <w:rPr>
          <w:b w:val="0"/>
        </w:rPr>
      </w:pPr>
      <w:r>
        <w:t>Proposal</w:t>
      </w:r>
      <w:r w:rsidR="00B131CE">
        <w:t xml:space="preserve"> 1</w:t>
      </w:r>
      <w:r w:rsidRPr="002F3F68">
        <w:tab/>
      </w:r>
      <w:r>
        <w:t>An UL grant for a mini-slot has priority over an UL grant for a slot if the</w:t>
      </w:r>
      <w:r>
        <w:t xml:space="preserve"> granted resources is assoc</w:t>
      </w:r>
      <w:r w:rsidR="00742DA4">
        <w:t>iated</w:t>
      </w:r>
      <w:r>
        <w:t xml:space="preserve"> overlap in time within the same carrier</w:t>
      </w:r>
    </w:p>
    <w:p w14:paraId="68844B63" w14:textId="09CEF038" w:rsidR="00A551A4" w:rsidRDefault="00A551A4" w:rsidP="00A551A4">
      <w:pPr>
        <w:pStyle w:val="Heading2"/>
      </w:pPr>
      <w:r>
        <w:t>Different-UE puncturing</w:t>
      </w:r>
    </w:p>
    <w:p w14:paraId="36766E5D" w14:textId="532ACFC8" w:rsidR="00D7207E" w:rsidRDefault="00A551A4" w:rsidP="00A551A4">
      <w:r>
        <w:t xml:space="preserve">The more commonly occurring case would be a UE1 having </w:t>
      </w:r>
      <w:r w:rsidR="00F82C86">
        <w:t xml:space="preserve">min-slot </w:t>
      </w:r>
      <w:r>
        <w:t xml:space="preserve">data to transmit on a resource granted or used by another UE2. An obvious problem for this scenario is that UE1 does not know what UE2 is planning or doing. </w:t>
      </w:r>
      <w:r w:rsidR="00D7207E">
        <w:t xml:space="preserve">Another problem is that the </w:t>
      </w:r>
      <w:r w:rsidR="00F82C86">
        <w:t>slot</w:t>
      </w:r>
      <w:r w:rsidR="00D7207E">
        <w:t xml:space="preserve"> transmission can’t be stopped when started or scheduled, unless new fast indica</w:t>
      </w:r>
      <w:r w:rsidR="00D50E40">
        <w:t>tion is added. Such indication c</w:t>
      </w:r>
      <w:r w:rsidR="00D7207E">
        <w:t>ould lead to significant burden for the UE and have large specification impact.</w:t>
      </w:r>
    </w:p>
    <w:p w14:paraId="75CAAC7A" w14:textId="2F7A3197" w:rsidR="00D7207E" w:rsidRDefault="00D50E40" w:rsidP="00D7207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 xml:space="preserve">Proposal </w:t>
      </w:r>
      <w:r w:rsidR="00B131CE">
        <w:t>2</w:t>
      </w:r>
      <w:r w:rsidR="00D7207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64C44">
        <w:t xml:space="preserve">No </w:t>
      </w:r>
      <w:r w:rsidR="000A3FE8">
        <w:t xml:space="preserve">special </w:t>
      </w:r>
      <w:r w:rsidR="00264C44">
        <w:t>stop indication</w:t>
      </w:r>
      <w:r w:rsidR="00D7207E">
        <w:t xml:space="preserve"> is introduced for terminating an ongoing or scheduled </w:t>
      </w:r>
      <w:r w:rsidR="002F3F68">
        <w:t>slot/mini-slot</w:t>
      </w:r>
      <w:r w:rsidR="002F3F68">
        <w:t xml:space="preserve"> </w:t>
      </w:r>
      <w:r w:rsidR="00D7207E">
        <w:t>transmission.</w:t>
      </w:r>
    </w:p>
    <w:p w14:paraId="505E4DC9" w14:textId="77777777" w:rsidR="000A3FE8" w:rsidRDefault="000A3FE8" w:rsidP="00A551A4">
      <w:pPr>
        <w:rPr>
          <w:lang w:val="en-US"/>
        </w:rPr>
      </w:pPr>
    </w:p>
    <w:p w14:paraId="15C9508B" w14:textId="75B9DA07" w:rsidR="00D7207E" w:rsidRDefault="000A3FE8" w:rsidP="00A551A4">
      <w:pPr>
        <w:rPr>
          <w:lang w:val="en-US"/>
        </w:rPr>
      </w:pPr>
      <w:r>
        <w:rPr>
          <w:lang w:val="en-US"/>
        </w:rPr>
        <w:lastRenderedPageBreak/>
        <w:t>However, if a UE monitors a (mini-slot TTI) PDCCH, a UL DCI could be transmitted to the UE which would indicate</w:t>
      </w:r>
      <w:r w:rsidR="0031745B">
        <w:rPr>
          <w:lang w:val="en-US"/>
        </w:rPr>
        <w:t xml:space="preserve"> a stop of transmission</w:t>
      </w:r>
      <w:r w:rsidR="00D50E40">
        <w:rPr>
          <w:lang w:val="en-US"/>
        </w:rPr>
        <w:t xml:space="preserve"> for the HARQ process in question</w:t>
      </w:r>
      <w:r w:rsidR="0031745B">
        <w:rPr>
          <w:lang w:val="en-US"/>
        </w:rPr>
        <w:t>.</w:t>
      </w:r>
    </w:p>
    <w:p w14:paraId="7AB21FF3" w14:textId="77777777" w:rsidR="00784FC6" w:rsidRDefault="00784FC6" w:rsidP="00A551A4"/>
    <w:p w14:paraId="62E23D2E" w14:textId="57DAA9D4" w:rsidR="00A551A4" w:rsidRDefault="00A551A4" w:rsidP="00A551A4">
      <w:r>
        <w:t xml:space="preserve">Also </w:t>
      </w:r>
      <w:r w:rsidR="00264C44">
        <w:t xml:space="preserve">for the case of different-UE puncturing </w:t>
      </w:r>
      <w:r>
        <w:t xml:space="preserve">we can discriminate between a </w:t>
      </w:r>
      <w:r w:rsidR="00264C44">
        <w:t>few scenarios as outlined below.</w:t>
      </w:r>
    </w:p>
    <w:p w14:paraId="47CE7BBA" w14:textId="53209A08" w:rsidR="00A551A4" w:rsidRDefault="00A551A4" w:rsidP="00A551A4">
      <w:pPr>
        <w:pStyle w:val="Heading3"/>
      </w:pPr>
      <w:bookmarkStart w:id="68" w:name="_Ref473280803"/>
      <w:r>
        <w:t>Granted collision</w:t>
      </w:r>
      <w:bookmarkEnd w:id="68"/>
    </w:p>
    <w:p w14:paraId="24C20857" w14:textId="27B725CA" w:rsidR="00A551A4" w:rsidRDefault="00A551A4" w:rsidP="00A551A4">
      <w:r>
        <w:t>If UE1 send</w:t>
      </w:r>
      <w:r w:rsidR="00432938">
        <w:t>s</w:t>
      </w:r>
      <w:r>
        <w:t xml:space="preserve"> a mini-slot timed SR to </w:t>
      </w:r>
      <w:r w:rsidR="00F82AC9">
        <w:t>gNB</w:t>
      </w:r>
      <w:r>
        <w:t xml:space="preserve"> and is given a mini-slot grant, it may well be so that the </w:t>
      </w:r>
      <w:r w:rsidR="009579E2">
        <w:t xml:space="preserve">slot </w:t>
      </w:r>
      <w:r>
        <w:t xml:space="preserve">grant to UE2 was already sent. The </w:t>
      </w:r>
      <w:r w:rsidR="00F82AC9">
        <w:t>gNB</w:t>
      </w:r>
      <w:r>
        <w:t xml:space="preserve"> has thereby scheduled a collision on the resource during the puncturing. The two transmissions could be simultaneously decoded</w:t>
      </w:r>
      <w:r w:rsidR="00CD30D5">
        <w:t xml:space="preserve"> in the </w:t>
      </w:r>
      <w:r w:rsidR="00F82AC9">
        <w:t>gNB</w:t>
      </w:r>
      <w:r w:rsidR="00CD30D5">
        <w:t xml:space="preserve">, or one or both would fail, in which case </w:t>
      </w:r>
      <w:r w:rsidR="00F82AC9">
        <w:t>gNB</w:t>
      </w:r>
      <w:r w:rsidR="00CD30D5">
        <w:t xml:space="preserve"> would schedule retransmission.</w:t>
      </w:r>
      <w:r w:rsidR="00D50E40">
        <w:t xml:space="preserve"> The option to do so is</w:t>
      </w:r>
      <w:r w:rsidR="00CD30D5">
        <w:t xml:space="preserve"> allowed by the network.</w:t>
      </w:r>
    </w:p>
    <w:p w14:paraId="5B976C05" w14:textId="5D7FCE85" w:rsidR="00CD30D5" w:rsidRDefault="00D50E40" w:rsidP="002F3F68">
      <w:pPr>
        <w:pStyle w:val="TOC1"/>
        <w:rPr>
          <w:rFonts w:eastAsiaTheme="minorEastAsia"/>
          <w:lang w:eastAsia="en-US"/>
        </w:rPr>
      </w:pPr>
      <w:r>
        <w:rPr>
          <w:lang w:val="en-GB"/>
        </w:rPr>
        <w:t>Observation</w:t>
      </w:r>
      <w:r w:rsidR="00B36A91">
        <w:t xml:space="preserve"> </w:t>
      </w:r>
      <w:r w:rsidR="00B131CE">
        <w:t>1</w:t>
      </w:r>
      <w:r w:rsidR="00CD30D5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network is</w:t>
      </w:r>
      <w:r w:rsidR="00CD30D5">
        <w:t xml:space="preserve"> allowed to schedule colliding transmissions in UL.</w:t>
      </w:r>
    </w:p>
    <w:p w14:paraId="53084CBF" w14:textId="5A0F4509" w:rsidR="00CD30D5" w:rsidRPr="00CD30D5" w:rsidRDefault="00CD30D5" w:rsidP="00CD30D5">
      <w:pPr>
        <w:pStyle w:val="BodyText"/>
        <w:rPr>
          <w:rFonts w:eastAsiaTheme="minorEastAsia"/>
          <w:lang w:eastAsia="en-US"/>
        </w:rPr>
      </w:pPr>
    </w:p>
    <w:p w14:paraId="36097DB2" w14:textId="47F44715" w:rsidR="00972D12" w:rsidRDefault="00CD30D5" w:rsidP="00CD30D5">
      <w:pPr>
        <w:pStyle w:val="Heading3"/>
      </w:pPr>
      <w:r>
        <w:t>Grant-free collision</w:t>
      </w:r>
      <w:r w:rsidR="00A916A7">
        <w:t>: contention-based access</w:t>
      </w:r>
    </w:p>
    <w:p w14:paraId="7D213D71" w14:textId="5D4FEC41" w:rsidR="00CD30D5" w:rsidRDefault="00A916A7" w:rsidP="00CD30D5">
      <w:r>
        <w:t>In this case the UE1 is configured with an UL grant</w:t>
      </w:r>
      <w:r w:rsidR="009579E2">
        <w:t>-free</w:t>
      </w:r>
      <w:r w:rsidR="00B131CE">
        <w:t xml:space="preserve"> resource</w:t>
      </w:r>
      <w:r>
        <w:t xml:space="preserve"> for mini-slot URLLC transmissions on a resource that has been granted to another UE2 for either eMBB or URLLC traffic. In the case of UE2 having the same mini-slot resource as UE1 this is grant-free contention-based transmission, as further discussed in </w:t>
      </w:r>
      <w:r>
        <w:fldChar w:fldCharType="begin"/>
      </w:r>
      <w:r>
        <w:instrText xml:space="preserve"> REF _Ref473280559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D7207E">
        <w:t xml:space="preserve"> In the case UE2 is granted eMBB traffic the situation is similar to that of </w:t>
      </w:r>
      <w:r w:rsidR="00D7207E">
        <w:fldChar w:fldCharType="begin"/>
      </w:r>
      <w:r w:rsidR="00D7207E">
        <w:instrText xml:space="preserve"> REF _Ref473280631 \r \h </w:instrText>
      </w:r>
      <w:r w:rsidR="00D7207E">
        <w:fldChar w:fldCharType="separate"/>
      </w:r>
      <w:r w:rsidR="00D7207E">
        <w:t>2.1.3</w:t>
      </w:r>
      <w:r w:rsidR="00D7207E">
        <w:fldChar w:fldCharType="end"/>
      </w:r>
      <w:r w:rsidR="00D7207E">
        <w:t xml:space="preserve"> and </w:t>
      </w:r>
      <w:r w:rsidR="00D7207E">
        <w:fldChar w:fldCharType="begin"/>
      </w:r>
      <w:r w:rsidR="00D7207E">
        <w:instrText xml:space="preserve"> REF _Ref473280803 \r \h </w:instrText>
      </w:r>
      <w:r w:rsidR="00D7207E">
        <w:fldChar w:fldCharType="separate"/>
      </w:r>
      <w:r w:rsidR="00D7207E">
        <w:t>2.2.1</w:t>
      </w:r>
      <w:r w:rsidR="00D7207E">
        <w:fldChar w:fldCharType="end"/>
      </w:r>
      <w:r w:rsidR="00D7207E">
        <w:t xml:space="preserve"> with additional complexity.</w:t>
      </w:r>
    </w:p>
    <w:p w14:paraId="006F55AD" w14:textId="16D84563" w:rsidR="00D7207E" w:rsidRDefault="00D7207E" w:rsidP="00CD30D5">
      <w:r>
        <w:t xml:space="preserve">Here, the </w:t>
      </w:r>
      <w:r w:rsidR="00F82AC9">
        <w:t>gNB</w:t>
      </w:r>
      <w:r>
        <w:t xml:space="preserve"> not only needs to detect the start of a new URLLC transmission, it also needs to identify the UE1.</w:t>
      </w:r>
      <w:r w:rsidR="00264C44">
        <w:t xml:space="preserve"> This will be more challenging since the two transmissions will collide, and if the received power is very different, the decoder </w:t>
      </w:r>
      <w:r w:rsidR="003609A4">
        <w:t>may have difficulties with these</w:t>
      </w:r>
      <w:r w:rsidR="00264C44">
        <w:t xml:space="preserve"> task</w:t>
      </w:r>
      <w:r w:rsidR="003609A4">
        <w:t>s</w:t>
      </w:r>
      <w:r w:rsidR="00264C44">
        <w:t>.</w:t>
      </w:r>
      <w:r w:rsidR="00D030AB">
        <w:t xml:space="preserve"> Therefore, the value of such</w:t>
      </w:r>
      <w:r>
        <w:t xml:space="preserve"> </w:t>
      </w:r>
      <w:r w:rsidR="00D030AB">
        <w:t>a solution should be studied further to be allowed.</w:t>
      </w:r>
      <w:r w:rsidR="007679E2">
        <w:t xml:space="preserve"> We again note that collisions are especially problematic for URLLC traffic.</w:t>
      </w:r>
    </w:p>
    <w:p w14:paraId="6049CABE" w14:textId="01EA95A6" w:rsidR="00D030AB" w:rsidRDefault="00D50E40" w:rsidP="00D030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 xml:space="preserve">Proposal </w:t>
      </w:r>
      <w:r w:rsidR="00B131CE">
        <w:t>3</w:t>
      </w:r>
      <w:r w:rsidR="00D030A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D030AB">
        <w:t>The gain of allowing URLLC puncturing of other-UE eMBB tr</w:t>
      </w:r>
      <w:r w:rsidR="00DF5998">
        <w:t>ansmission in UL should be clarified</w:t>
      </w:r>
      <w:r w:rsidR="00D030AB">
        <w:t xml:space="preserve"> if allowed.</w:t>
      </w:r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303BD2" w14:textId="5A40B2CA" w:rsidR="00041CAB" w:rsidRDefault="00041CAB" w:rsidP="005460DC">
      <w:pPr>
        <w:pStyle w:val="TOC1"/>
        <w:rPr>
          <w:b w:val="0"/>
        </w:rPr>
      </w:pPr>
      <w:r>
        <w:rPr>
          <w:b w:val="0"/>
        </w:rPr>
        <w:t>In this paper we have observed the fol</w:t>
      </w:r>
      <w:r w:rsidR="005460DC">
        <w:rPr>
          <w:b w:val="0"/>
        </w:rPr>
        <w:t>lowing related to UL puncturing:</w:t>
      </w:r>
    </w:p>
    <w:p w14:paraId="7F17E89D" w14:textId="24BA46B8" w:rsidR="002F3F68" w:rsidRDefault="002F3F68" w:rsidP="005460DC">
      <w:pPr>
        <w:pStyle w:val="TOC1"/>
        <w:rPr>
          <w:b w:val="0"/>
        </w:rPr>
      </w:pPr>
      <w:r>
        <w:rPr>
          <w:lang w:val="en-GB"/>
        </w:rPr>
        <w:t>Observation</w:t>
      </w:r>
      <w:r>
        <w:t xml:space="preserve">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network is allowed to schedule colliding transmissions in UL.</w:t>
      </w:r>
    </w:p>
    <w:p w14:paraId="661C37B4" w14:textId="6E15BFE2" w:rsidR="00B47E43" w:rsidRPr="002F3F68" w:rsidRDefault="008E065E" w:rsidP="003E25DB">
      <w:pPr>
        <w:pStyle w:val="TOC1"/>
        <w:rPr>
          <w:b w:val="0"/>
        </w:rPr>
      </w:pPr>
      <w:bookmarkStart w:id="69" w:name="_GoBack"/>
      <w:bookmarkEnd w:id="69"/>
      <w:r w:rsidRPr="002F3F68">
        <w:rPr>
          <w:b w:val="0"/>
        </w:rPr>
        <w:t xml:space="preserve">Based on the discussion in section </w:t>
      </w:r>
      <w:r w:rsidRPr="002F3F68">
        <w:rPr>
          <w:b w:val="0"/>
        </w:rPr>
        <w:fldChar w:fldCharType="begin"/>
      </w:r>
      <w:r w:rsidRPr="002F3F68">
        <w:rPr>
          <w:b w:val="0"/>
        </w:rPr>
        <w:instrText xml:space="preserve"> REF _Ref178064866 \r \h </w:instrText>
      </w:r>
      <w:r w:rsidR="00A5758B" w:rsidRPr="002F3F68">
        <w:rPr>
          <w:b w:val="0"/>
        </w:rPr>
        <w:instrText xml:space="preserve"> \* MERGEFORMAT </w:instrText>
      </w:r>
      <w:r w:rsidRPr="002F3F68">
        <w:rPr>
          <w:b w:val="0"/>
        </w:rPr>
      </w:r>
      <w:r w:rsidRPr="002F3F68">
        <w:rPr>
          <w:b w:val="0"/>
        </w:rPr>
        <w:fldChar w:fldCharType="separate"/>
      </w:r>
      <w:r w:rsidR="002F3F68" w:rsidRPr="002F3F68">
        <w:rPr>
          <w:b w:val="0"/>
        </w:rPr>
        <w:t>2</w:t>
      </w:r>
      <w:r w:rsidRPr="002F3F68">
        <w:rPr>
          <w:b w:val="0"/>
        </w:rPr>
        <w:fldChar w:fldCharType="end"/>
      </w:r>
      <w:r w:rsidRPr="002F3F68">
        <w:rPr>
          <w:b w:val="0"/>
        </w:rPr>
        <w:t xml:space="preserve"> we propose the following:</w:t>
      </w:r>
    </w:p>
    <w:p w14:paraId="23354EF3" w14:textId="5155403F" w:rsidR="00B36A91" w:rsidRPr="002F3F68" w:rsidRDefault="002F3F68" w:rsidP="002F3F6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 w:rsidRPr="00DD745E">
        <w:tab/>
      </w:r>
      <w:r>
        <w:t>An UL grant for a mini-slot has priority over an UL grant for a slot if the granted resources is associated overlap in time within the same carrier</w:t>
      </w:r>
      <w:r w:rsidRPr="002F3F68">
        <w:rPr>
          <w:bCs/>
        </w:rPr>
        <w:t xml:space="preserve"> </w:t>
      </w:r>
      <w:r w:rsidR="008E065E" w:rsidRPr="002F3F68">
        <w:rPr>
          <w:bCs/>
        </w:rPr>
        <w:fldChar w:fldCharType="begin" w:fldLock="1"/>
      </w:r>
      <w:r w:rsidR="008E065E" w:rsidRPr="002F3F68">
        <w:rPr>
          <w:bCs/>
        </w:rPr>
        <w:instrText xml:space="preserve"> TOC \f \n \p " " \t "Proposal;1" </w:instrText>
      </w:r>
      <w:r w:rsidR="008E065E" w:rsidRPr="002F3F68">
        <w:rPr>
          <w:bCs/>
        </w:rPr>
        <w:fldChar w:fldCharType="separate"/>
      </w:r>
    </w:p>
    <w:p w14:paraId="58C8A72C" w14:textId="77777777" w:rsidR="002F3F68" w:rsidRDefault="002F3F68" w:rsidP="002F3F6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No special stop indication is introduced for terminating an ongoing or scheduled slot/mini-slot</w:t>
      </w:r>
      <w:r>
        <w:t xml:space="preserve"> </w:t>
      </w:r>
      <w:r>
        <w:t>transmission.</w:t>
      </w:r>
    </w:p>
    <w:p w14:paraId="1683A251" w14:textId="77777777" w:rsidR="002F3F68" w:rsidRDefault="002F3F68" w:rsidP="002F3F6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gain of allowing URLLC puncturing of other-UE eMBB transmission in UL should be clarified if allowed.</w:t>
      </w:r>
    </w:p>
    <w:p w14:paraId="3CA25FCB" w14:textId="67DD9784" w:rsidR="00F507D1" w:rsidRPr="00CE0424" w:rsidRDefault="008E065E" w:rsidP="0009033B">
      <w:pPr>
        <w:pStyle w:val="Heading1"/>
      </w:pPr>
      <w:r w:rsidRPr="002F3F68">
        <w:rPr>
          <w:b/>
          <w:bCs/>
        </w:rPr>
        <w:fldChar w:fldCharType="end"/>
      </w:r>
      <w:bookmarkStart w:id="70" w:name="_In-sequence_SDU_delivery"/>
      <w:bookmarkEnd w:id="70"/>
      <w:r w:rsidR="00F507D1" w:rsidRPr="00CE0424">
        <w:t>References</w:t>
      </w:r>
    </w:p>
    <w:p w14:paraId="4E72EB36" w14:textId="4FFD71D2" w:rsidR="00474CE8" w:rsidRPr="002F3F68" w:rsidRDefault="006A1C7C" w:rsidP="006A1C7C">
      <w:pPr>
        <w:pStyle w:val="Reference"/>
        <w:rPr>
          <w:lang w:val="en-US"/>
        </w:rPr>
      </w:pPr>
      <w:bookmarkStart w:id="71" w:name="_Ref465931227"/>
      <w:bookmarkStart w:id="72" w:name="_Ref458515583"/>
      <w:bookmarkStart w:id="73" w:name="_Ref174151459"/>
      <w:bookmarkStart w:id="74" w:name="_Ref189809556"/>
      <w:bookmarkStart w:id="75" w:name="_Ref458165837"/>
      <w:bookmarkStart w:id="76" w:name="_Ref473280559"/>
      <w:r w:rsidRPr="006A1C7C">
        <w:rPr>
          <w:lang w:val="en-US"/>
        </w:rPr>
        <w:t>R1-1701871</w:t>
      </w:r>
      <w:r w:rsidRPr="006A1C7C">
        <w:rPr>
          <w:lang w:val="en-US"/>
        </w:rPr>
        <w:tab/>
        <w:t>On UL grant-free transmission</w:t>
      </w:r>
      <w:bookmarkEnd w:id="71"/>
      <w:bookmarkEnd w:id="72"/>
      <w:bookmarkEnd w:id="73"/>
      <w:bookmarkEnd w:id="74"/>
      <w:bookmarkEnd w:id="75"/>
      <w:r w:rsidR="00A916A7" w:rsidRPr="002F3F68">
        <w:rPr>
          <w:lang w:val="en-US"/>
        </w:rPr>
        <w:t>, Ericsson, RAN1#88.</w:t>
      </w:r>
      <w:bookmarkEnd w:id="76"/>
    </w:p>
    <w:p w14:paraId="6FD54827" w14:textId="1FD2BAC5" w:rsidR="00A916A7" w:rsidRPr="002F3F68" w:rsidRDefault="006A1C7C" w:rsidP="006A1C7C">
      <w:pPr>
        <w:pStyle w:val="Reference"/>
        <w:rPr>
          <w:lang w:val="en-US"/>
        </w:rPr>
      </w:pPr>
      <w:bookmarkStart w:id="77" w:name="_Ref473636642"/>
      <w:r w:rsidRPr="006A1C7C">
        <w:rPr>
          <w:lang w:val="en-US"/>
        </w:rPr>
        <w:t>R1-1701869</w:t>
      </w:r>
      <w:r w:rsidRPr="006A1C7C">
        <w:rPr>
          <w:lang w:val="en-US"/>
        </w:rPr>
        <w:tab/>
        <w:t>On eMBB/URLLC multiplexing for downlink</w:t>
      </w:r>
      <w:r w:rsidR="00D4644F" w:rsidRPr="002F3F68">
        <w:rPr>
          <w:lang w:val="en-US"/>
        </w:rPr>
        <w:t>, Ericsson, RAN1#88.</w:t>
      </w:r>
      <w:bookmarkEnd w:id="77"/>
    </w:p>
    <w:sectPr w:rsidR="00A916A7" w:rsidRPr="002F3F6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7AE67" w14:textId="77777777" w:rsidR="00F77783" w:rsidRDefault="00F77783">
      <w:r>
        <w:separator/>
      </w:r>
    </w:p>
  </w:endnote>
  <w:endnote w:type="continuationSeparator" w:id="0">
    <w:p w14:paraId="1A0C11AB" w14:textId="77777777" w:rsidR="00F77783" w:rsidRDefault="00F77783">
      <w:r>
        <w:continuationSeparator/>
      </w:r>
    </w:p>
  </w:endnote>
  <w:endnote w:type="continuationNotice" w:id="1">
    <w:p w14:paraId="347C32D7" w14:textId="77777777" w:rsidR="00F77783" w:rsidRDefault="00F77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48D06D62" w:rsidR="00291E3A" w:rsidRDefault="00291E3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3F6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3F6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5854F" w14:textId="77777777" w:rsidR="00F77783" w:rsidRDefault="00F77783">
      <w:r>
        <w:separator/>
      </w:r>
    </w:p>
  </w:footnote>
  <w:footnote w:type="continuationSeparator" w:id="0">
    <w:p w14:paraId="3DAB36EE" w14:textId="77777777" w:rsidR="00F77783" w:rsidRDefault="00F77783">
      <w:r>
        <w:continuationSeparator/>
      </w:r>
    </w:p>
  </w:footnote>
  <w:footnote w:type="continuationNotice" w:id="1">
    <w:p w14:paraId="49CFCA56" w14:textId="77777777" w:rsidR="00F77783" w:rsidRDefault="00F777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291E3A" w:rsidRDefault="00291E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D657AB"/>
    <w:multiLevelType w:val="hybridMultilevel"/>
    <w:tmpl w:val="13089B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A22E5"/>
    <w:multiLevelType w:val="hybridMultilevel"/>
    <w:tmpl w:val="B1547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8"/>
  </w:num>
  <w:num w:numId="8">
    <w:abstractNumId w:val="16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12"/>
  </w:num>
  <w:num w:numId="16">
    <w:abstractNumId w:val="29"/>
  </w:num>
  <w:num w:numId="17">
    <w:abstractNumId w:val="20"/>
  </w:num>
  <w:num w:numId="18">
    <w:abstractNumId w:val="24"/>
  </w:num>
  <w:num w:numId="19">
    <w:abstractNumId w:val="6"/>
  </w:num>
  <w:num w:numId="20">
    <w:abstractNumId w:val="17"/>
  </w:num>
  <w:num w:numId="21">
    <w:abstractNumId w:val="9"/>
  </w:num>
  <w:num w:numId="22">
    <w:abstractNumId w:val="5"/>
  </w:num>
  <w:num w:numId="23">
    <w:abstractNumId w:val="23"/>
  </w:num>
  <w:num w:numId="24">
    <w:abstractNumId w:val="21"/>
  </w:num>
  <w:num w:numId="25">
    <w:abstractNumId w:val="13"/>
  </w:num>
  <w:num w:numId="26">
    <w:abstractNumId w:val="7"/>
  </w:num>
  <w:num w:numId="27">
    <w:abstractNumId w:val="1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14"/>
  </w:num>
  <w:num w:numId="31">
    <w:abstractNumId w:val="31"/>
  </w:num>
  <w:num w:numId="32">
    <w:abstractNumId w:val="18"/>
    <w:lvlOverride w:ilvl="0">
      <w:startOverride w:val="5"/>
    </w:lvlOverride>
  </w:num>
  <w:num w:numId="33">
    <w:abstractNumId w:val="26"/>
  </w:num>
  <w:num w:numId="34">
    <w:abstractNumId w:val="27"/>
    <w:lvlOverride w:ilvl="0">
      <w:startOverride w:val="1"/>
    </w:lvlOverride>
  </w:num>
  <w:num w:numId="35">
    <w:abstractNumId w:val="27"/>
    <w:lvlOverride w:ilvl="0">
      <w:startOverride w:val="1"/>
    </w:lvlOverride>
  </w:num>
  <w:num w:numId="36">
    <w:abstractNumId w:val="8"/>
  </w:num>
  <w:num w:numId="37">
    <w:abstractNumId w:val="27"/>
    <w:lvlOverride w:ilvl="0">
      <w:startOverride w:val="1"/>
    </w:lvlOverride>
  </w:num>
  <w:num w:numId="38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2A07"/>
    <w:rsid w:val="000534E3"/>
    <w:rsid w:val="0005606A"/>
    <w:rsid w:val="0005666E"/>
    <w:rsid w:val="00056D8D"/>
    <w:rsid w:val="00057117"/>
    <w:rsid w:val="000616E7"/>
    <w:rsid w:val="0006478A"/>
    <w:rsid w:val="0006487E"/>
    <w:rsid w:val="00065E1A"/>
    <w:rsid w:val="0007265B"/>
    <w:rsid w:val="00076C39"/>
    <w:rsid w:val="00077E5F"/>
    <w:rsid w:val="0008036A"/>
    <w:rsid w:val="00081AE6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4932"/>
    <w:rsid w:val="0009510F"/>
    <w:rsid w:val="000A006F"/>
    <w:rsid w:val="000A1B7B"/>
    <w:rsid w:val="000A27B7"/>
    <w:rsid w:val="000A3EEC"/>
    <w:rsid w:val="000A3FE8"/>
    <w:rsid w:val="000A56F2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D0D07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7795"/>
    <w:rsid w:val="0018129E"/>
    <w:rsid w:val="0018143F"/>
    <w:rsid w:val="00181E9F"/>
    <w:rsid w:val="00183D3A"/>
    <w:rsid w:val="0018412F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2C68"/>
    <w:rsid w:val="001C3D2A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9B2"/>
    <w:rsid w:val="00206B13"/>
    <w:rsid w:val="00207FA3"/>
    <w:rsid w:val="002123EE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8EB"/>
    <w:rsid w:val="002500C8"/>
    <w:rsid w:val="002512D7"/>
    <w:rsid w:val="00257543"/>
    <w:rsid w:val="002615AC"/>
    <w:rsid w:val="002617E7"/>
    <w:rsid w:val="00262C40"/>
    <w:rsid w:val="00264228"/>
    <w:rsid w:val="00264334"/>
    <w:rsid w:val="0026473E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1E3A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D4E"/>
    <w:rsid w:val="002A24B9"/>
    <w:rsid w:val="002A2869"/>
    <w:rsid w:val="002B0227"/>
    <w:rsid w:val="002B0907"/>
    <w:rsid w:val="002B24D6"/>
    <w:rsid w:val="002B4CE9"/>
    <w:rsid w:val="002B7B52"/>
    <w:rsid w:val="002C1B68"/>
    <w:rsid w:val="002C41E6"/>
    <w:rsid w:val="002C6788"/>
    <w:rsid w:val="002C6DA9"/>
    <w:rsid w:val="002D071A"/>
    <w:rsid w:val="002D1464"/>
    <w:rsid w:val="002D34B2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2771"/>
    <w:rsid w:val="002F37A9"/>
    <w:rsid w:val="002F3F68"/>
    <w:rsid w:val="002F5BBD"/>
    <w:rsid w:val="002F5D16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7380"/>
    <w:rsid w:val="003602D9"/>
    <w:rsid w:val="003604CE"/>
    <w:rsid w:val="003609A4"/>
    <w:rsid w:val="003639EA"/>
    <w:rsid w:val="00365F79"/>
    <w:rsid w:val="00370E47"/>
    <w:rsid w:val="003742AC"/>
    <w:rsid w:val="003766F3"/>
    <w:rsid w:val="00377CE1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CDA"/>
    <w:rsid w:val="004242F4"/>
    <w:rsid w:val="00427248"/>
    <w:rsid w:val="004314DE"/>
    <w:rsid w:val="00432938"/>
    <w:rsid w:val="0043595A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69E2"/>
    <w:rsid w:val="00470C31"/>
    <w:rsid w:val="004734D0"/>
    <w:rsid w:val="0047447B"/>
    <w:rsid w:val="00474CE8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B6991"/>
    <w:rsid w:val="004B7C0C"/>
    <w:rsid w:val="004C3898"/>
    <w:rsid w:val="004C4D69"/>
    <w:rsid w:val="004C6818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591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986"/>
    <w:rsid w:val="00544D5B"/>
    <w:rsid w:val="00545E72"/>
    <w:rsid w:val="005460DC"/>
    <w:rsid w:val="00546970"/>
    <w:rsid w:val="00546C74"/>
    <w:rsid w:val="00554E19"/>
    <w:rsid w:val="00555435"/>
    <w:rsid w:val="00557D7C"/>
    <w:rsid w:val="0056121F"/>
    <w:rsid w:val="00562566"/>
    <w:rsid w:val="00566E2B"/>
    <w:rsid w:val="0057036A"/>
    <w:rsid w:val="00572505"/>
    <w:rsid w:val="00582809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35D7"/>
    <w:rsid w:val="005B392A"/>
    <w:rsid w:val="005B3AA3"/>
    <w:rsid w:val="005B3F59"/>
    <w:rsid w:val="005B6F83"/>
    <w:rsid w:val="005C0B51"/>
    <w:rsid w:val="005C0C58"/>
    <w:rsid w:val="005C74FB"/>
    <w:rsid w:val="005D1602"/>
    <w:rsid w:val="005D22E6"/>
    <w:rsid w:val="005E0F14"/>
    <w:rsid w:val="005E1A85"/>
    <w:rsid w:val="005E3240"/>
    <w:rsid w:val="005E385F"/>
    <w:rsid w:val="005E5469"/>
    <w:rsid w:val="005E5B81"/>
    <w:rsid w:val="005F10E8"/>
    <w:rsid w:val="005F1E91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7C2C"/>
    <w:rsid w:val="00620A71"/>
    <w:rsid w:val="00620D80"/>
    <w:rsid w:val="00621B29"/>
    <w:rsid w:val="006234A6"/>
    <w:rsid w:val="0062431E"/>
    <w:rsid w:val="00624B66"/>
    <w:rsid w:val="00630001"/>
    <w:rsid w:val="00630264"/>
    <w:rsid w:val="006311B3"/>
    <w:rsid w:val="0063284C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6F08"/>
    <w:rsid w:val="006E062C"/>
    <w:rsid w:val="006E28B7"/>
    <w:rsid w:val="006E3310"/>
    <w:rsid w:val="006E3F07"/>
    <w:rsid w:val="006E4E39"/>
    <w:rsid w:val="006E4EF7"/>
    <w:rsid w:val="006E565E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F2B"/>
    <w:rsid w:val="00720D98"/>
    <w:rsid w:val="00722CB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D8B"/>
    <w:rsid w:val="00750E8F"/>
    <w:rsid w:val="00751228"/>
    <w:rsid w:val="00753C5D"/>
    <w:rsid w:val="007557B4"/>
    <w:rsid w:val="007571E1"/>
    <w:rsid w:val="007604B2"/>
    <w:rsid w:val="0076267E"/>
    <w:rsid w:val="00763252"/>
    <w:rsid w:val="00765281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304C"/>
    <w:rsid w:val="00783673"/>
    <w:rsid w:val="00784FC6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390D"/>
    <w:rsid w:val="008444E8"/>
    <w:rsid w:val="00844E80"/>
    <w:rsid w:val="008457DE"/>
    <w:rsid w:val="00846FE7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5110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31BD9"/>
    <w:rsid w:val="009368F3"/>
    <w:rsid w:val="009413F8"/>
    <w:rsid w:val="009414E8"/>
    <w:rsid w:val="0094163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579E2"/>
    <w:rsid w:val="00960017"/>
    <w:rsid w:val="00961921"/>
    <w:rsid w:val="0096430A"/>
    <w:rsid w:val="0096518D"/>
    <w:rsid w:val="0096554B"/>
    <w:rsid w:val="0096584A"/>
    <w:rsid w:val="009670B2"/>
    <w:rsid w:val="00971F08"/>
    <w:rsid w:val="00972D12"/>
    <w:rsid w:val="00974AB9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13E54"/>
    <w:rsid w:val="00A15A57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146F"/>
    <w:rsid w:val="00A3170D"/>
    <w:rsid w:val="00A3352C"/>
    <w:rsid w:val="00A3448A"/>
    <w:rsid w:val="00A36297"/>
    <w:rsid w:val="00A40019"/>
    <w:rsid w:val="00A40234"/>
    <w:rsid w:val="00A41B97"/>
    <w:rsid w:val="00A41E2B"/>
    <w:rsid w:val="00A45B74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16A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42D7"/>
    <w:rsid w:val="00B006FE"/>
    <w:rsid w:val="00B007CB"/>
    <w:rsid w:val="00B02AA9"/>
    <w:rsid w:val="00B02FA3"/>
    <w:rsid w:val="00B05084"/>
    <w:rsid w:val="00B05920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AC"/>
    <w:rsid w:val="00B30929"/>
    <w:rsid w:val="00B36A91"/>
    <w:rsid w:val="00B372AA"/>
    <w:rsid w:val="00B40445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E41"/>
    <w:rsid w:val="00B664C7"/>
    <w:rsid w:val="00B739F6"/>
    <w:rsid w:val="00B81A6C"/>
    <w:rsid w:val="00B81BE4"/>
    <w:rsid w:val="00B842A0"/>
    <w:rsid w:val="00B85DE5"/>
    <w:rsid w:val="00B90F73"/>
    <w:rsid w:val="00B9371D"/>
    <w:rsid w:val="00B93B59"/>
    <w:rsid w:val="00B9406A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C0FDC"/>
    <w:rsid w:val="00BC3053"/>
    <w:rsid w:val="00BC4D2E"/>
    <w:rsid w:val="00BC5E44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E87"/>
    <w:rsid w:val="00C10478"/>
    <w:rsid w:val="00C1093B"/>
    <w:rsid w:val="00C12107"/>
    <w:rsid w:val="00C14D4B"/>
    <w:rsid w:val="00C154BB"/>
    <w:rsid w:val="00C20166"/>
    <w:rsid w:val="00C231D0"/>
    <w:rsid w:val="00C25F2F"/>
    <w:rsid w:val="00C27624"/>
    <w:rsid w:val="00C279B5"/>
    <w:rsid w:val="00C27C45"/>
    <w:rsid w:val="00C3719D"/>
    <w:rsid w:val="00C5028B"/>
    <w:rsid w:val="00C52D9B"/>
    <w:rsid w:val="00C54995"/>
    <w:rsid w:val="00C54D41"/>
    <w:rsid w:val="00C57B03"/>
    <w:rsid w:val="00C60783"/>
    <w:rsid w:val="00C64672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0D5"/>
    <w:rsid w:val="00CD337B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10249"/>
    <w:rsid w:val="00D115C3"/>
    <w:rsid w:val="00D11897"/>
    <w:rsid w:val="00D13135"/>
    <w:rsid w:val="00D13E4E"/>
    <w:rsid w:val="00D17D6A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5EB"/>
    <w:rsid w:val="00DA56E8"/>
    <w:rsid w:val="00DB0A9F"/>
    <w:rsid w:val="00DB2E53"/>
    <w:rsid w:val="00DB377D"/>
    <w:rsid w:val="00DB39D9"/>
    <w:rsid w:val="00DB6E61"/>
    <w:rsid w:val="00DC2D36"/>
    <w:rsid w:val="00DC2D80"/>
    <w:rsid w:val="00DC3716"/>
    <w:rsid w:val="00DC53EF"/>
    <w:rsid w:val="00DD4E79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1714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5DFA"/>
    <w:rsid w:val="00E57565"/>
    <w:rsid w:val="00E62CF0"/>
    <w:rsid w:val="00E63838"/>
    <w:rsid w:val="00E64434"/>
    <w:rsid w:val="00E665C4"/>
    <w:rsid w:val="00E67C51"/>
    <w:rsid w:val="00E71CF8"/>
    <w:rsid w:val="00E71E34"/>
    <w:rsid w:val="00E72EFC"/>
    <w:rsid w:val="00E758EC"/>
    <w:rsid w:val="00E76E18"/>
    <w:rsid w:val="00E80385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722"/>
    <w:rsid w:val="00EC24C5"/>
    <w:rsid w:val="00EC27C6"/>
    <w:rsid w:val="00EC4207"/>
    <w:rsid w:val="00EC5653"/>
    <w:rsid w:val="00EC7041"/>
    <w:rsid w:val="00EC71CE"/>
    <w:rsid w:val="00EC78F2"/>
    <w:rsid w:val="00ED1006"/>
    <w:rsid w:val="00ED3BA3"/>
    <w:rsid w:val="00ED4531"/>
    <w:rsid w:val="00EE66C7"/>
    <w:rsid w:val="00EE7DBF"/>
    <w:rsid w:val="00EF18FE"/>
    <w:rsid w:val="00EF191A"/>
    <w:rsid w:val="00EF1EA9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5FA5"/>
    <w:rsid w:val="00F209B7"/>
    <w:rsid w:val="00F2376F"/>
    <w:rsid w:val="00F243D8"/>
    <w:rsid w:val="00F30828"/>
    <w:rsid w:val="00F313D6"/>
    <w:rsid w:val="00F32B3E"/>
    <w:rsid w:val="00F40F0C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398BCC6-C2BC-4F4C-B435-8F3F82E1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438</TotalTime>
  <Pages>2</Pages>
  <Words>889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Daniel Larsson</cp:lastModifiedBy>
  <cp:revision>105</cp:revision>
  <cp:lastPrinted>2008-01-31T07:09:00Z</cp:lastPrinted>
  <dcterms:created xsi:type="dcterms:W3CDTF">2016-08-12T19:22:00Z</dcterms:created>
  <dcterms:modified xsi:type="dcterms:W3CDTF">2017-02-06T18:16:00Z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