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2427D" w14:textId="571BB6A9" w:rsidR="00FE5799" w:rsidRPr="00446F9D" w:rsidRDefault="00FE5799" w:rsidP="00FE5799">
      <w:pPr>
        <w:pStyle w:val="Header"/>
        <w:tabs>
          <w:tab w:val="clear" w:pos="4536"/>
        </w:tabs>
        <w:rPr>
          <w:i/>
        </w:rPr>
      </w:pPr>
      <w:r w:rsidRPr="00446F9D">
        <w:t>TSG-RAN WG1 #</w:t>
      </w:r>
      <w:r w:rsidR="008F6929">
        <w:t>8</w:t>
      </w:r>
      <w:r w:rsidR="00AA141C">
        <w:t>7</w:t>
      </w:r>
      <w:r w:rsidRPr="00446F9D">
        <w:tab/>
        <w:t>R1-</w:t>
      </w:r>
      <w:r w:rsidR="0075109B" w:rsidRPr="0075109B">
        <w:t>1612955</w:t>
      </w:r>
    </w:p>
    <w:p w14:paraId="6842427E" w14:textId="167BB9B5" w:rsidR="00FE5799" w:rsidRPr="000833FA" w:rsidRDefault="00630F42" w:rsidP="00FE5799">
      <w:pPr>
        <w:pStyle w:val="Header"/>
        <w:rPr>
          <w:color w:val="000000"/>
        </w:rPr>
      </w:pPr>
      <w:r w:rsidRPr="00630F42">
        <w:t>Reno, Nevada</w:t>
      </w:r>
      <w:r>
        <w:t>,</w:t>
      </w:r>
      <w:r w:rsidRPr="00630F42">
        <w:t xml:space="preserve"> US</w:t>
      </w:r>
      <w:r w:rsidR="00FE5799" w:rsidRPr="000833FA">
        <w:t>,</w:t>
      </w:r>
      <w:r w:rsidR="008F6929">
        <w:t xml:space="preserve"> </w:t>
      </w:r>
      <w:r>
        <w:t>November</w:t>
      </w:r>
      <w:r w:rsidR="004356A4">
        <w:t xml:space="preserve"> 1</w:t>
      </w:r>
      <w:r>
        <w:t>4</w:t>
      </w:r>
      <w:r w:rsidR="004356A4">
        <w:t xml:space="preserve"> – 1</w:t>
      </w:r>
      <w:r>
        <w:t>8</w:t>
      </w:r>
      <w:r w:rsidR="00FE5799">
        <w:t>, 2016</w:t>
      </w:r>
    </w:p>
    <w:p w14:paraId="6842427F" w14:textId="77777777" w:rsidR="00FE5799" w:rsidRPr="000833FA" w:rsidRDefault="00FE5799" w:rsidP="00FE5799">
      <w:pPr>
        <w:pStyle w:val="Header"/>
      </w:pPr>
    </w:p>
    <w:p w14:paraId="6842428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68424281" w14:textId="5BE3BC0C" w:rsidR="00FE5799" w:rsidRPr="00F64D4A" w:rsidRDefault="00FE5799" w:rsidP="00FE5799">
      <w:pPr>
        <w:pStyle w:val="Header"/>
        <w:tabs>
          <w:tab w:val="clear" w:pos="4536"/>
          <w:tab w:val="left" w:pos="1800"/>
        </w:tabs>
      </w:pPr>
      <w:r w:rsidRPr="0003368D">
        <w:t>Title:</w:t>
      </w:r>
      <w:bookmarkStart w:id="0" w:name="Title"/>
      <w:bookmarkEnd w:id="0"/>
      <w:r w:rsidRPr="0003368D">
        <w:tab/>
      </w:r>
      <w:r w:rsidR="00777DDF">
        <w:t>7.1.7</w:t>
      </w:r>
    </w:p>
    <w:p w14:paraId="68424282" w14:textId="73491DA6" w:rsidR="00FE5799" w:rsidRPr="0003368D" w:rsidRDefault="00FE5799" w:rsidP="00FE5799">
      <w:pPr>
        <w:pStyle w:val="Header"/>
        <w:tabs>
          <w:tab w:val="left" w:pos="1800"/>
        </w:tabs>
      </w:pPr>
      <w:r w:rsidRPr="0003368D">
        <w:t>Agenda Item:</w:t>
      </w:r>
      <w:bookmarkStart w:id="1" w:name="Source"/>
      <w:bookmarkEnd w:id="1"/>
      <w:r w:rsidRPr="0003368D">
        <w:tab/>
      </w:r>
      <w:r w:rsidR="00A9611A">
        <w:t xml:space="preserve">Framework </w:t>
      </w:r>
      <w:proofErr w:type="gramStart"/>
      <w:r w:rsidR="00A9611A">
        <w:t>For</w:t>
      </w:r>
      <w:proofErr w:type="gramEnd"/>
      <w:r w:rsidR="00A9611A">
        <w:t xml:space="preserve"> Grant-free Access </w:t>
      </w:r>
    </w:p>
    <w:p w14:paraId="68424283" w14:textId="022EDA7B" w:rsidR="00FE5799" w:rsidRPr="0003368D" w:rsidRDefault="00FE5799" w:rsidP="00FE5799">
      <w:pPr>
        <w:pStyle w:val="Header"/>
        <w:tabs>
          <w:tab w:val="left" w:pos="1800"/>
        </w:tabs>
      </w:pPr>
      <w:r w:rsidRPr="0003368D">
        <w:t>Document for:</w:t>
      </w:r>
      <w:r w:rsidRPr="0003368D">
        <w:tab/>
      </w:r>
      <w:bookmarkStart w:id="2" w:name="DocumentFor"/>
      <w:bookmarkEnd w:id="2"/>
      <w:r w:rsidR="005702BF">
        <w:t>Discussion</w:t>
      </w:r>
      <w:r w:rsidR="00995034">
        <w:t xml:space="preserve"> and Decision</w:t>
      </w:r>
    </w:p>
    <w:p w14:paraId="68424284" w14:textId="77777777" w:rsidR="00FE5799" w:rsidRPr="002100D2" w:rsidRDefault="00FE5799" w:rsidP="00FE5799">
      <w:pPr>
        <w:pBdr>
          <w:bottom w:val="single" w:sz="4" w:space="1" w:color="auto"/>
        </w:pBdr>
        <w:tabs>
          <w:tab w:val="left" w:pos="2552"/>
        </w:tabs>
      </w:pPr>
    </w:p>
    <w:p w14:paraId="75C00239" w14:textId="68A4FEF7" w:rsidR="00A64EE4" w:rsidRDefault="00554879" w:rsidP="00A64EE4">
      <w:pPr>
        <w:pStyle w:val="Heading1"/>
      </w:pPr>
      <w:r>
        <w:t xml:space="preserve">Introduction </w:t>
      </w:r>
    </w:p>
    <w:p w14:paraId="730FEFE5" w14:textId="5DADED66" w:rsidR="00A64EE4" w:rsidRDefault="00A64EE4" w:rsidP="00A64EE4">
      <w:pPr>
        <w:jc w:val="both"/>
        <w:rPr>
          <w:rFonts w:eastAsia="MS Mincho"/>
        </w:rPr>
      </w:pPr>
      <w:r>
        <w:rPr>
          <w:rFonts w:eastAsia="MS Mincho"/>
        </w:rPr>
        <w:t>In RAN1 #86 the following agreements were reached</w:t>
      </w:r>
      <w:r w:rsidR="006608E2">
        <w:rPr>
          <w:rFonts w:eastAsia="MS Mincho"/>
        </w:rPr>
        <w:t xml:space="preserve"> </w:t>
      </w:r>
      <w:r w:rsidR="006608E2">
        <w:rPr>
          <w:rFonts w:eastAsia="MS Mincho"/>
        </w:rPr>
        <w:fldChar w:fldCharType="begin"/>
      </w:r>
      <w:r w:rsidR="006608E2">
        <w:rPr>
          <w:rFonts w:eastAsia="MS Mincho"/>
        </w:rPr>
        <w:instrText xml:space="preserve"> REF _Ref465265285 \n \h </w:instrText>
      </w:r>
      <w:r w:rsidR="006608E2">
        <w:rPr>
          <w:rFonts w:eastAsia="MS Mincho"/>
        </w:rPr>
      </w:r>
      <w:r w:rsidR="006608E2">
        <w:rPr>
          <w:rFonts w:eastAsia="MS Mincho"/>
        </w:rPr>
        <w:fldChar w:fldCharType="separate"/>
      </w:r>
      <w:r w:rsidR="006608E2">
        <w:rPr>
          <w:rFonts w:eastAsia="MS Mincho"/>
        </w:rPr>
        <w:t>[1]</w:t>
      </w:r>
      <w:r w:rsidR="006608E2">
        <w:rPr>
          <w:rFonts w:eastAsia="MS Mincho"/>
        </w:rPr>
        <w:fldChar w:fldCharType="end"/>
      </w:r>
      <w:r>
        <w:rPr>
          <w:rFonts w:eastAsia="MS Mincho"/>
        </w:rPr>
        <w:t>:</w:t>
      </w:r>
    </w:p>
    <w:p w14:paraId="62223433" w14:textId="77777777" w:rsidR="00A64EE4" w:rsidRPr="000A18E3" w:rsidRDefault="00A64EE4" w:rsidP="00A64EE4">
      <w:pPr>
        <w:pStyle w:val="ListParagraph"/>
        <w:numPr>
          <w:ilvl w:val="0"/>
          <w:numId w:val="28"/>
        </w:numPr>
        <w:rPr>
          <w:rFonts w:eastAsia="MS Mincho"/>
          <w:lang w:val="en-US"/>
        </w:rPr>
      </w:pPr>
      <w:r w:rsidRPr="000A18E3">
        <w:rPr>
          <w:rFonts w:eastAsia="MS Mincho"/>
          <w:lang w:val="en-US"/>
        </w:rPr>
        <w:t>At least the following options for “autonomous/grant-free/contention based” UL transmission should be studied</w:t>
      </w:r>
    </w:p>
    <w:p w14:paraId="55396D28" w14:textId="77777777" w:rsidR="00A64EE4" w:rsidRPr="000A18E3" w:rsidRDefault="00A64EE4" w:rsidP="00A64EE4">
      <w:pPr>
        <w:pStyle w:val="ListParagraph"/>
        <w:numPr>
          <w:ilvl w:val="1"/>
          <w:numId w:val="28"/>
        </w:numPr>
        <w:rPr>
          <w:rFonts w:eastAsia="MS Mincho"/>
          <w:lang w:val="en-US"/>
        </w:rPr>
      </w:pPr>
      <w:r w:rsidRPr="000A18E3">
        <w:rPr>
          <w:rFonts w:eastAsia="MS Mincho"/>
          <w:lang w:val="en-US"/>
        </w:rPr>
        <w:t>Opt. 1: a UE performs random resource selection</w:t>
      </w:r>
    </w:p>
    <w:p w14:paraId="171D6F33" w14:textId="77777777" w:rsidR="00A64EE4" w:rsidRPr="000A18E3" w:rsidRDefault="00A64EE4" w:rsidP="00A64EE4">
      <w:pPr>
        <w:pStyle w:val="ListParagraph"/>
        <w:numPr>
          <w:ilvl w:val="2"/>
          <w:numId w:val="28"/>
        </w:numPr>
        <w:rPr>
          <w:rFonts w:eastAsia="MS Mincho"/>
          <w:lang w:val="en-US"/>
        </w:rPr>
      </w:pPr>
      <w:r w:rsidRPr="000A18E3">
        <w:rPr>
          <w:rFonts w:eastAsia="MS Mincho"/>
          <w:lang w:val="en-US"/>
        </w:rPr>
        <w:t>Details FFS</w:t>
      </w:r>
    </w:p>
    <w:p w14:paraId="5F3FBEEF" w14:textId="77777777" w:rsidR="00A64EE4" w:rsidRPr="000A18E3" w:rsidRDefault="00A64EE4" w:rsidP="00A64EE4">
      <w:pPr>
        <w:pStyle w:val="ListParagraph"/>
        <w:numPr>
          <w:ilvl w:val="1"/>
          <w:numId w:val="28"/>
        </w:numPr>
        <w:rPr>
          <w:rFonts w:eastAsia="MS Mincho"/>
          <w:lang w:val="en-US"/>
        </w:rPr>
      </w:pPr>
      <w:r w:rsidRPr="000A18E3">
        <w:rPr>
          <w:rFonts w:eastAsia="MS Mincho"/>
          <w:lang w:val="en-US"/>
        </w:rPr>
        <w:t xml:space="preserve">Opt. 2: a UE’s resource is pre-configured by </w:t>
      </w:r>
      <w:proofErr w:type="spellStart"/>
      <w:r w:rsidRPr="000A18E3">
        <w:rPr>
          <w:rFonts w:eastAsia="MS Mincho"/>
          <w:lang w:val="en-US"/>
        </w:rPr>
        <w:t>eNB</w:t>
      </w:r>
      <w:proofErr w:type="spellEnd"/>
      <w:r w:rsidRPr="000A18E3">
        <w:rPr>
          <w:rFonts w:eastAsia="MS Mincho"/>
          <w:lang w:val="en-US"/>
        </w:rPr>
        <w:t xml:space="preserve"> or pre-determined</w:t>
      </w:r>
    </w:p>
    <w:p w14:paraId="2B8CB4A3" w14:textId="77777777" w:rsidR="00A64EE4" w:rsidRPr="000A18E3" w:rsidRDefault="00A64EE4" w:rsidP="00A64EE4">
      <w:pPr>
        <w:pStyle w:val="ListParagraph"/>
        <w:numPr>
          <w:ilvl w:val="2"/>
          <w:numId w:val="28"/>
        </w:numPr>
        <w:rPr>
          <w:rFonts w:eastAsia="MS Mincho"/>
          <w:lang w:val="en-US"/>
        </w:rPr>
      </w:pPr>
      <w:r w:rsidRPr="000A18E3">
        <w:rPr>
          <w:rFonts w:eastAsia="MS Mincho"/>
          <w:lang w:val="en-US"/>
        </w:rPr>
        <w:t>Details FFS</w:t>
      </w:r>
    </w:p>
    <w:p w14:paraId="5B22B08E" w14:textId="7022482E" w:rsidR="00A64EE4" w:rsidRPr="00A64EE4" w:rsidRDefault="00A64EE4" w:rsidP="00A64EE4">
      <w:pPr>
        <w:pStyle w:val="ListParagraph"/>
        <w:numPr>
          <w:ilvl w:val="1"/>
          <w:numId w:val="28"/>
        </w:numPr>
        <w:rPr>
          <w:rFonts w:eastAsia="MS Mincho"/>
          <w:lang w:val="en-US"/>
        </w:rPr>
      </w:pPr>
      <w:r w:rsidRPr="000A18E3">
        <w:rPr>
          <w:rFonts w:eastAsia="MS Mincho"/>
          <w:lang w:val="en-US"/>
        </w:rPr>
        <w:t>Other options are not precluded</w:t>
      </w:r>
    </w:p>
    <w:p w14:paraId="1675D964" w14:textId="77777777" w:rsidR="00A64EE4" w:rsidRPr="000A18E3" w:rsidRDefault="00A64EE4" w:rsidP="00A64EE4">
      <w:pPr>
        <w:pStyle w:val="ListParagraph"/>
        <w:numPr>
          <w:ilvl w:val="0"/>
          <w:numId w:val="28"/>
        </w:numPr>
        <w:rPr>
          <w:rFonts w:eastAsia="MS Mincho"/>
          <w:lang w:val="en-US"/>
        </w:rPr>
      </w:pPr>
      <w:r w:rsidRPr="000A18E3">
        <w:rPr>
          <w:rFonts w:eastAsia="MS Mincho"/>
          <w:lang w:val="en-US"/>
        </w:rPr>
        <w:t xml:space="preserve">Continue study at least the following: </w:t>
      </w:r>
    </w:p>
    <w:p w14:paraId="42219A02" w14:textId="77777777" w:rsidR="00A64EE4" w:rsidRPr="000A18E3" w:rsidRDefault="00A64EE4" w:rsidP="00A64EE4">
      <w:pPr>
        <w:pStyle w:val="ListParagraph"/>
        <w:numPr>
          <w:ilvl w:val="1"/>
          <w:numId w:val="28"/>
        </w:numPr>
        <w:rPr>
          <w:rFonts w:eastAsia="MS Mincho"/>
          <w:lang w:val="en-US"/>
        </w:rPr>
      </w:pPr>
      <w:r w:rsidRPr="000A18E3">
        <w:rPr>
          <w:rFonts w:eastAsia="MS Mincho"/>
          <w:lang w:val="en-US"/>
        </w:rPr>
        <w:t xml:space="preserve">Handling </w:t>
      </w:r>
      <w:proofErr w:type="gramStart"/>
      <w:r w:rsidRPr="000A18E3">
        <w:rPr>
          <w:rFonts w:eastAsia="MS Mincho"/>
          <w:lang w:val="en-US"/>
        </w:rPr>
        <w:t>of  potential</w:t>
      </w:r>
      <w:proofErr w:type="gramEnd"/>
      <w:r w:rsidRPr="000A18E3">
        <w:rPr>
          <w:rFonts w:eastAsia="MS Mincho"/>
          <w:lang w:val="en-US"/>
        </w:rPr>
        <w:t xml:space="preserve"> collisions of MA signatures</w:t>
      </w:r>
    </w:p>
    <w:p w14:paraId="1E1E1FE9" w14:textId="77777777" w:rsidR="00A64EE4" w:rsidRPr="000A18E3" w:rsidRDefault="00A64EE4" w:rsidP="00A64EE4">
      <w:pPr>
        <w:pStyle w:val="ListParagraph"/>
        <w:numPr>
          <w:ilvl w:val="1"/>
          <w:numId w:val="28"/>
        </w:numPr>
        <w:rPr>
          <w:rFonts w:eastAsia="MS Mincho"/>
          <w:lang w:val="en-US"/>
        </w:rPr>
      </w:pPr>
      <w:r w:rsidRPr="000A18E3">
        <w:rPr>
          <w:rFonts w:eastAsia="MS Mincho"/>
          <w:lang w:val="en-US"/>
        </w:rPr>
        <w:t>Retransmission/repetition and potential combining, e.g. HARQ</w:t>
      </w:r>
    </w:p>
    <w:p w14:paraId="04BAF7AD" w14:textId="77777777" w:rsidR="00A64EE4" w:rsidRPr="000A18E3" w:rsidRDefault="00A64EE4" w:rsidP="00A64EE4">
      <w:pPr>
        <w:pStyle w:val="ListParagraph"/>
        <w:numPr>
          <w:ilvl w:val="1"/>
          <w:numId w:val="28"/>
        </w:numPr>
        <w:rPr>
          <w:rFonts w:eastAsia="MS Mincho"/>
          <w:lang w:val="en-US"/>
        </w:rPr>
      </w:pPr>
      <w:r w:rsidRPr="000A18E3">
        <w:rPr>
          <w:rFonts w:eastAsia="MS Mincho"/>
          <w:lang w:val="en-US"/>
        </w:rPr>
        <w:t>Potential link adaptation, e.g. MCS/signature re-assigning</w:t>
      </w:r>
    </w:p>
    <w:p w14:paraId="13BC6D02" w14:textId="77777777" w:rsidR="00A64EE4" w:rsidRPr="000A18E3" w:rsidRDefault="00A64EE4" w:rsidP="00A64EE4">
      <w:pPr>
        <w:pStyle w:val="ListParagraph"/>
        <w:numPr>
          <w:ilvl w:val="1"/>
          <w:numId w:val="28"/>
        </w:numPr>
        <w:rPr>
          <w:rFonts w:eastAsia="MS Mincho"/>
          <w:lang w:val="en-US"/>
        </w:rPr>
      </w:pPr>
      <w:r w:rsidRPr="000A18E3">
        <w:rPr>
          <w:rFonts w:eastAsia="MS Mincho"/>
          <w:lang w:val="en-US"/>
        </w:rPr>
        <w:t>Relationship between grant-free and grant-based transmissions and associated UE behavior</w:t>
      </w:r>
    </w:p>
    <w:p w14:paraId="46E85A9F" w14:textId="30E51662" w:rsidR="00A64EE4" w:rsidRDefault="00A64EE4" w:rsidP="00341EAF">
      <w:pPr>
        <w:pStyle w:val="ListParagraph"/>
        <w:numPr>
          <w:ilvl w:val="1"/>
          <w:numId w:val="28"/>
        </w:numPr>
        <w:rPr>
          <w:rFonts w:eastAsia="MS Mincho"/>
          <w:lang w:val="en-US"/>
        </w:rPr>
      </w:pPr>
      <w:r w:rsidRPr="00A64EE4">
        <w:rPr>
          <w:rFonts w:eastAsia="MS Mincho"/>
          <w:lang w:val="en-US"/>
        </w:rPr>
        <w:t>Advanced receiver capabilities including complexity analysis</w:t>
      </w:r>
    </w:p>
    <w:p w14:paraId="5F98808C" w14:textId="3C51379D" w:rsidR="00A64EE4" w:rsidRPr="00A64EE4" w:rsidRDefault="00A64EE4" w:rsidP="00E10682">
      <w:pPr>
        <w:jc w:val="both"/>
        <w:rPr>
          <w:rFonts w:eastAsia="MS Mincho"/>
        </w:rPr>
      </w:pPr>
      <w:r>
        <w:rPr>
          <w:rFonts w:eastAsia="MS Mincho"/>
        </w:rPr>
        <w:t>Resource allocation and management</w:t>
      </w:r>
      <w:r w:rsidR="00E10682">
        <w:rPr>
          <w:rFonts w:eastAsia="MS Mincho"/>
        </w:rPr>
        <w:t>,</w:t>
      </w:r>
      <w:r>
        <w:rPr>
          <w:rFonts w:eastAsia="MS Mincho"/>
        </w:rPr>
        <w:t xml:space="preserve"> as well as retransmission mechanisms are important </w:t>
      </w:r>
      <w:r w:rsidR="00E10682">
        <w:rPr>
          <w:rFonts w:eastAsia="MS Mincho"/>
        </w:rPr>
        <w:t>aspects</w:t>
      </w:r>
      <w:r>
        <w:rPr>
          <w:rFonts w:eastAsia="MS Mincho"/>
        </w:rPr>
        <w:t xml:space="preserve"> of grant-free transmission. In this </w:t>
      </w:r>
      <w:r w:rsidR="00E10682">
        <w:rPr>
          <w:rFonts w:eastAsia="MS Mincho"/>
        </w:rPr>
        <w:t>contribution we elaborate on some of these components and discuss some principles that are relevant to the grant-free access paradigm.</w:t>
      </w:r>
    </w:p>
    <w:p w14:paraId="7EEE678C" w14:textId="4EFB263D" w:rsidR="00554879" w:rsidRDefault="00A64EE4" w:rsidP="00A64EE4">
      <w:pPr>
        <w:pStyle w:val="Heading1"/>
      </w:pPr>
      <w:r>
        <w:t xml:space="preserve"> </w:t>
      </w:r>
      <w:r w:rsidR="00554879">
        <w:t>Background</w:t>
      </w:r>
    </w:p>
    <w:p w14:paraId="6614C025" w14:textId="77777777" w:rsidR="00A34CE5" w:rsidRDefault="00777DDF" w:rsidP="00554879">
      <w:pPr>
        <w:pStyle w:val="NormalWeb"/>
        <w:spacing w:before="0" w:beforeAutospacing="0" w:after="120" w:afterAutospacing="0"/>
        <w:jc w:val="both"/>
        <w:rPr>
          <w:sz w:val="20"/>
        </w:rPr>
      </w:pPr>
      <w:bookmarkStart w:id="3" w:name="_GoBack"/>
      <w:r w:rsidRPr="00777DDF">
        <w:rPr>
          <w:sz w:val="20"/>
        </w:rPr>
        <w:t>Grant-free multiple access is considered as a candidate solution for use-cases with low-latency</w:t>
      </w:r>
      <w:r>
        <w:rPr>
          <w:sz w:val="20"/>
        </w:rPr>
        <w:t xml:space="preserve"> for some use cases.</w:t>
      </w:r>
      <w:r w:rsidR="00554879">
        <w:rPr>
          <w:sz w:val="20"/>
        </w:rPr>
        <w:t xml:space="preserve"> </w:t>
      </w:r>
      <w:r>
        <w:rPr>
          <w:sz w:val="20"/>
        </w:rPr>
        <w:t xml:space="preserve">The use cases that it is targeting has been shifted during the discussion </w:t>
      </w:r>
      <w:proofErr w:type="spellStart"/>
      <w:r>
        <w:rPr>
          <w:sz w:val="20"/>
        </w:rPr>
        <w:t>some what</w:t>
      </w:r>
      <w:proofErr w:type="spellEnd"/>
      <w:r>
        <w:rPr>
          <w:sz w:val="20"/>
        </w:rPr>
        <w:t xml:space="preserve"> </w:t>
      </w:r>
      <w:r w:rsidR="00A34CE5">
        <w:rPr>
          <w:sz w:val="20"/>
        </w:rPr>
        <w:t xml:space="preserve">but the basis have been in </w:t>
      </w:r>
      <w:proofErr w:type="spellStart"/>
      <w:r w:rsidR="00A34CE5">
        <w:rPr>
          <w:sz w:val="20"/>
        </w:rPr>
        <w:t>mMTC</w:t>
      </w:r>
      <w:proofErr w:type="spellEnd"/>
      <w:r w:rsidR="00A34CE5">
        <w:rPr>
          <w:sz w:val="20"/>
        </w:rPr>
        <w:t xml:space="preserve">. </w:t>
      </w:r>
    </w:p>
    <w:bookmarkEnd w:id="3"/>
    <w:p w14:paraId="12BBF8EF" w14:textId="55EC520E" w:rsidR="00554879" w:rsidRDefault="00A34CE5" w:rsidP="00554879">
      <w:pPr>
        <w:pStyle w:val="NormalWeb"/>
        <w:spacing w:before="0" w:beforeAutospacing="0" w:after="120" w:afterAutospacing="0"/>
        <w:jc w:val="both"/>
        <w:rPr>
          <w:sz w:val="20"/>
        </w:rPr>
      </w:pPr>
      <w:r>
        <w:rPr>
          <w:sz w:val="20"/>
        </w:rPr>
        <w:t xml:space="preserve">Grant-free multiple access </w:t>
      </w:r>
      <w:r w:rsidR="00703574">
        <w:rPr>
          <w:sz w:val="20"/>
        </w:rPr>
        <w:t xml:space="preserve">is to release </w:t>
      </w:r>
      <w:r w:rsidR="00D06595">
        <w:rPr>
          <w:sz w:val="20"/>
        </w:rPr>
        <w:t>resources for grant-free access</w:t>
      </w:r>
      <w:r w:rsidR="00AB7E53">
        <w:rPr>
          <w:sz w:val="20"/>
        </w:rPr>
        <w:t>,</w:t>
      </w:r>
      <w:r w:rsidR="001F1B8F">
        <w:rPr>
          <w:sz w:val="20"/>
        </w:rPr>
        <w:t xml:space="preserve"> where</w:t>
      </w:r>
      <w:r w:rsidR="00AB7E53">
        <w:rPr>
          <w:sz w:val="20"/>
        </w:rPr>
        <w:t>in</w:t>
      </w:r>
      <w:r w:rsidR="001F1B8F">
        <w:rPr>
          <w:sz w:val="20"/>
        </w:rPr>
        <w:t xml:space="preserve"> </w:t>
      </w:r>
      <w:r w:rsidR="00554879">
        <w:rPr>
          <w:sz w:val="20"/>
        </w:rPr>
        <w:t xml:space="preserve">the assigned UEs </w:t>
      </w:r>
      <w:r w:rsidR="001F1B8F">
        <w:rPr>
          <w:sz w:val="20"/>
        </w:rPr>
        <w:t xml:space="preserve">are allowed to </w:t>
      </w:r>
      <w:r w:rsidR="00554879">
        <w:rPr>
          <w:sz w:val="20"/>
        </w:rPr>
        <w:t xml:space="preserve">transmit </w:t>
      </w:r>
      <w:r w:rsidR="001F1B8F">
        <w:rPr>
          <w:sz w:val="20"/>
        </w:rPr>
        <w:t>whenever data packets arrive at their buffer</w:t>
      </w:r>
      <w:r w:rsidR="00554879">
        <w:rPr>
          <w:sz w:val="20"/>
        </w:rPr>
        <w:t>.</w:t>
      </w:r>
      <w:r w:rsidR="001D0225">
        <w:rPr>
          <w:sz w:val="20"/>
        </w:rPr>
        <w:t xml:space="preserve"> </w:t>
      </w:r>
      <w:r w:rsidR="00554879">
        <w:rPr>
          <w:sz w:val="20"/>
        </w:rPr>
        <w:t xml:space="preserve">One challenge is that traffic </w:t>
      </w:r>
      <w:r w:rsidR="00520FD5">
        <w:rPr>
          <w:sz w:val="20"/>
        </w:rPr>
        <w:t>is</w:t>
      </w:r>
      <w:r w:rsidR="00554879">
        <w:rPr>
          <w:sz w:val="20"/>
        </w:rPr>
        <w:t>, in some use-cases, irregular</w:t>
      </w:r>
      <w:r w:rsidR="001F1B8F">
        <w:rPr>
          <w:sz w:val="20"/>
        </w:rPr>
        <w:t xml:space="preserve"> and unpredictable</w:t>
      </w:r>
      <w:r w:rsidR="00554879">
        <w:rPr>
          <w:sz w:val="20"/>
        </w:rPr>
        <w:t xml:space="preserve">. Aperiodic packet arrival in the buffer means that </w:t>
      </w:r>
      <w:r w:rsidR="00554879" w:rsidRPr="004C0619">
        <w:rPr>
          <w:sz w:val="20"/>
        </w:rPr>
        <w:t xml:space="preserve">periodic pre-scheduling </w:t>
      </w:r>
      <w:r w:rsidR="00554879">
        <w:rPr>
          <w:sz w:val="20"/>
        </w:rPr>
        <w:t xml:space="preserve">of </w:t>
      </w:r>
      <w:r w:rsidR="001F1B8F">
        <w:rPr>
          <w:sz w:val="20"/>
        </w:rPr>
        <w:t xml:space="preserve">dedicated </w:t>
      </w:r>
      <w:r w:rsidR="00554879">
        <w:rPr>
          <w:sz w:val="20"/>
        </w:rPr>
        <w:t xml:space="preserve">resources is </w:t>
      </w:r>
      <w:r w:rsidR="001F1B8F">
        <w:rPr>
          <w:sz w:val="20"/>
        </w:rPr>
        <w:t>in</w:t>
      </w:r>
      <w:r w:rsidR="00554879">
        <w:rPr>
          <w:sz w:val="20"/>
        </w:rPr>
        <w:t xml:space="preserve">efficient since it will lead to a capacity loss in the system, the latter being proportional to the degree of packet arrival infrequency. However, the resources need to be made available anyway to ensure that the low-latency target is feasible for the services and use-cases of interest. Therefore, a solution should target the efficient resource utilization; one way to achieve this is to allow the resources, released for low-latency applications, to be shared with equal access opportunities among the UEs. Such equal-opportunity access may result in overlapping (non-orthogonal) transmissions; therefore, it can be beneficial to include </w:t>
      </w:r>
      <w:r w:rsidR="0077275C">
        <w:rPr>
          <w:sz w:val="20"/>
        </w:rPr>
        <w:t xml:space="preserve">future </w:t>
      </w:r>
      <w:r w:rsidR="00554879">
        <w:rPr>
          <w:sz w:val="20"/>
        </w:rPr>
        <w:t xml:space="preserve">provision in the design for the joint treatment of overlapping signals in order to harvest further gains from grant-free access. </w:t>
      </w:r>
    </w:p>
    <w:p w14:paraId="504991F6" w14:textId="3925076C" w:rsidR="00554879" w:rsidRDefault="00554879" w:rsidP="00554879">
      <w:pPr>
        <w:pStyle w:val="Heading1"/>
      </w:pPr>
      <w:r>
        <w:t>Framework</w:t>
      </w:r>
    </w:p>
    <w:p w14:paraId="3171597E" w14:textId="57FE858D" w:rsidR="00554879" w:rsidRDefault="00554879" w:rsidP="00554879">
      <w:pPr>
        <w:pStyle w:val="NormalWeb"/>
        <w:spacing w:before="0" w:beforeAutospacing="0" w:after="120" w:afterAutospacing="0"/>
        <w:jc w:val="both"/>
        <w:rPr>
          <w:sz w:val="20"/>
        </w:rPr>
      </w:pPr>
      <w:r w:rsidRPr="00AB204E">
        <w:rPr>
          <w:sz w:val="20"/>
        </w:rPr>
        <w:t>In order to establish a framework for grant-free transmission, it is important to identify the aspect</w:t>
      </w:r>
      <w:r>
        <w:rPr>
          <w:sz w:val="20"/>
        </w:rPr>
        <w:t>s</w:t>
      </w:r>
      <w:r w:rsidRPr="00AB204E">
        <w:rPr>
          <w:sz w:val="20"/>
        </w:rPr>
        <w:t xml:space="preserve"> that need to be addressed. This includes, among other things, to specify the </w:t>
      </w:r>
      <w:r>
        <w:rPr>
          <w:sz w:val="20"/>
        </w:rPr>
        <w:t xml:space="preserve">resource allocation strategy for grant-free access </w:t>
      </w:r>
      <w:r w:rsidRPr="00AB204E">
        <w:rPr>
          <w:sz w:val="20"/>
        </w:rPr>
        <w:t xml:space="preserve">as well as </w:t>
      </w:r>
      <w:r>
        <w:rPr>
          <w:sz w:val="20"/>
        </w:rPr>
        <w:t xml:space="preserve">to discuss mechanisms for </w:t>
      </w:r>
      <w:r w:rsidRPr="00AB204E">
        <w:rPr>
          <w:sz w:val="20"/>
        </w:rPr>
        <w:t xml:space="preserve">successful packet delivery </w:t>
      </w:r>
      <w:r>
        <w:rPr>
          <w:sz w:val="20"/>
        </w:rPr>
        <w:t>acknowledgement and</w:t>
      </w:r>
      <w:r w:rsidRPr="00AB204E">
        <w:rPr>
          <w:sz w:val="20"/>
        </w:rPr>
        <w:t xml:space="preserve"> retr</w:t>
      </w:r>
      <w:r>
        <w:rPr>
          <w:sz w:val="20"/>
        </w:rPr>
        <w:t>ansmission.</w:t>
      </w:r>
    </w:p>
    <w:p w14:paraId="6483096B" w14:textId="77777777" w:rsidR="00554879" w:rsidRDefault="00554879" w:rsidP="00554879">
      <w:pPr>
        <w:pStyle w:val="Heading2"/>
      </w:pPr>
      <w:r>
        <w:t>Grant-free Transmission</w:t>
      </w:r>
    </w:p>
    <w:p w14:paraId="1337C025" w14:textId="77BA7120" w:rsidR="001F1B8F" w:rsidRDefault="001F1B8F" w:rsidP="00554879">
      <w:pPr>
        <w:pStyle w:val="BodyText"/>
      </w:pPr>
      <w:r>
        <w:t xml:space="preserve">For </w:t>
      </w:r>
      <w:r w:rsidR="00554879">
        <w:t xml:space="preserve">grant-free transmission, a number of resources </w:t>
      </w:r>
      <w:r w:rsidR="004B2ACC">
        <w:t>will be</w:t>
      </w:r>
      <w:r w:rsidR="00554879">
        <w:t xml:space="preserve"> released, as illustrated in </w:t>
      </w:r>
      <w:r w:rsidR="00554879" w:rsidRPr="00720606">
        <w:fldChar w:fldCharType="begin"/>
      </w:r>
      <w:r w:rsidR="00554879" w:rsidRPr="00720606">
        <w:instrText xml:space="preserve"> REF _Ref461795856 \h  \* MERGEFORMAT </w:instrText>
      </w:r>
      <w:r w:rsidR="00554879" w:rsidRPr="00720606">
        <w:fldChar w:fldCharType="separate"/>
      </w:r>
      <w:r w:rsidR="006608E2" w:rsidRPr="006608E2">
        <w:rPr>
          <w:sz w:val="18"/>
        </w:rPr>
        <w:t xml:space="preserve">Figure </w:t>
      </w:r>
      <w:r w:rsidR="006608E2" w:rsidRPr="006608E2">
        <w:rPr>
          <w:noProof/>
          <w:sz w:val="18"/>
        </w:rPr>
        <w:t>1</w:t>
      </w:r>
      <w:r w:rsidR="00554879" w:rsidRPr="00720606">
        <w:fldChar w:fldCharType="end"/>
      </w:r>
      <w:r w:rsidR="00554879">
        <w:t xml:space="preserve">a (left). Similar to the release of RA-slots in LTE, the </w:t>
      </w:r>
      <w:r w:rsidR="004B2ACC">
        <w:t>size</w:t>
      </w:r>
      <w:r w:rsidR="00554879">
        <w:t xml:space="preserve"> and the density of resources, which are intended for grant-free access, can be variable depending on the network traffic conditions and </w:t>
      </w:r>
      <w:r w:rsidR="00AB7E53">
        <w:t>shall</w:t>
      </w:r>
      <w:r w:rsidR="00554879">
        <w:t xml:space="preserve"> be configured </w:t>
      </w:r>
      <w:r>
        <w:t xml:space="preserve">by the </w:t>
      </w:r>
      <w:proofErr w:type="spellStart"/>
      <w:r>
        <w:t>gNB</w:t>
      </w:r>
      <w:proofErr w:type="spellEnd"/>
      <w:r w:rsidR="00554879">
        <w:t xml:space="preserve">. </w:t>
      </w:r>
      <w:r>
        <w:t>T</w:t>
      </w:r>
      <w:r w:rsidR="00554879">
        <w:t xml:space="preserve">he availability of grant-free access units </w:t>
      </w:r>
      <w:r>
        <w:t xml:space="preserve">will be </w:t>
      </w:r>
      <w:r w:rsidR="004B2ACC">
        <w:t>tuned</w:t>
      </w:r>
      <w:r w:rsidR="00554879">
        <w:t xml:space="preserve"> by the scheduler to serve the system’s capacity and latency requirements. To accomplish this goal, the </w:t>
      </w:r>
      <w:r>
        <w:t xml:space="preserve">scheduler at the </w:t>
      </w:r>
      <w:proofErr w:type="spellStart"/>
      <w:r>
        <w:t>g</w:t>
      </w:r>
      <w:r w:rsidR="00554879">
        <w:t>NB</w:t>
      </w:r>
      <w:proofErr w:type="spellEnd"/>
      <w:r w:rsidR="00554879">
        <w:t xml:space="preserve"> </w:t>
      </w:r>
      <w:r>
        <w:t xml:space="preserve">shall </w:t>
      </w:r>
      <w:r w:rsidR="00554879">
        <w:t>map single or multiple UEs to elements/units of the grant-free resource grid. In other words, the units for grant-free access are partitioned into groups</w:t>
      </w:r>
      <w:r w:rsidR="00AB7E53">
        <w:t xml:space="preserve"> (whose size is also </w:t>
      </w:r>
      <w:r w:rsidR="006A191E">
        <w:lastRenderedPageBreak/>
        <w:t xml:space="preserve">determined by the </w:t>
      </w:r>
      <w:proofErr w:type="spellStart"/>
      <w:r w:rsidR="006A191E">
        <w:t>gNB</w:t>
      </w:r>
      <w:proofErr w:type="spellEnd"/>
      <w:r w:rsidR="006A191E">
        <w:t xml:space="preserve">) and each UE is configured to </w:t>
      </w:r>
      <w:r w:rsidR="00956235">
        <w:t xml:space="preserve">access and transmit over one of these resource </w:t>
      </w:r>
      <w:r w:rsidR="0056764A">
        <w:t xml:space="preserve">group </w:t>
      </w:r>
      <w:r w:rsidR="00956235">
        <w:t>when it has a packet in the buffer</w:t>
      </w:r>
      <w:r w:rsidR="00E962A5">
        <w:t xml:space="preserve">. </w:t>
      </w:r>
      <w:r>
        <w:t xml:space="preserve">Depending on the instantaneous traffic conditions </w:t>
      </w:r>
      <w:r w:rsidR="00554879">
        <w:t xml:space="preserve">the scheduling can be </w:t>
      </w:r>
      <w:r>
        <w:t>as follows</w:t>
      </w:r>
      <w:r w:rsidR="00E962A5">
        <w:t>:</w:t>
      </w:r>
    </w:p>
    <w:p w14:paraId="630D0B46" w14:textId="5F28BB4F" w:rsidR="001F1B8F" w:rsidRDefault="001F1B8F" w:rsidP="008E0AF7">
      <w:pPr>
        <w:pStyle w:val="BodyText"/>
        <w:numPr>
          <w:ilvl w:val="0"/>
          <w:numId w:val="27"/>
        </w:numPr>
        <w:ind w:left="426" w:hanging="437"/>
      </w:pPr>
      <w:r>
        <w:t>For low network load,</w:t>
      </w:r>
      <w:r w:rsidR="004B2ACC">
        <w:t xml:space="preserve"> </w:t>
      </w:r>
      <w:r w:rsidR="00AB7E53">
        <w:t>with few UEs</w:t>
      </w:r>
      <w:r w:rsidR="004B2ACC">
        <w:t>,</w:t>
      </w:r>
      <w:r>
        <w:t xml:space="preserve"> </w:t>
      </w:r>
      <w:r w:rsidR="00554879">
        <w:t xml:space="preserve">a one-to-one dedicated </w:t>
      </w:r>
      <w:r>
        <w:t>assignme</w:t>
      </w:r>
      <w:r w:rsidR="004B2ACC">
        <w:t>nt could be employed</w:t>
      </w:r>
      <w:r w:rsidR="00554879">
        <w:t xml:space="preserve">, see </w:t>
      </w:r>
      <w:r w:rsidR="00554879" w:rsidRPr="00720606">
        <w:fldChar w:fldCharType="begin"/>
      </w:r>
      <w:r w:rsidR="00554879" w:rsidRPr="00720606">
        <w:instrText xml:space="preserve"> REF _Ref461795856 \h  \* MERGEFORMAT </w:instrText>
      </w:r>
      <w:r w:rsidR="00554879" w:rsidRPr="00720606">
        <w:fldChar w:fldCharType="separate"/>
      </w:r>
      <w:r w:rsidR="006608E2" w:rsidRPr="006608E2">
        <w:rPr>
          <w:sz w:val="18"/>
        </w:rPr>
        <w:t xml:space="preserve">Figure </w:t>
      </w:r>
      <w:r w:rsidR="006608E2" w:rsidRPr="006608E2">
        <w:rPr>
          <w:noProof/>
          <w:sz w:val="18"/>
        </w:rPr>
        <w:t>1</w:t>
      </w:r>
      <w:r w:rsidR="00554879" w:rsidRPr="00720606">
        <w:fldChar w:fldCharType="end"/>
      </w:r>
      <w:r w:rsidR="004B2ACC">
        <w:t>b (top right).</w:t>
      </w:r>
      <w:r w:rsidR="00554879">
        <w:t xml:space="preserve"> </w:t>
      </w:r>
      <w:r w:rsidR="00E962A5">
        <w:t xml:space="preserve">Therefore, </w:t>
      </w:r>
      <w:r w:rsidR="00E962A5" w:rsidRPr="00E962A5">
        <w:t>NR should support UL grant-free transmission on dedicated resources.</w:t>
      </w:r>
    </w:p>
    <w:p w14:paraId="6CB11CC3" w14:textId="1388FB7B" w:rsidR="001F1B8F" w:rsidRDefault="001F1B8F" w:rsidP="008E0AF7">
      <w:pPr>
        <w:pStyle w:val="BodyText"/>
        <w:numPr>
          <w:ilvl w:val="0"/>
          <w:numId w:val="27"/>
        </w:numPr>
        <w:ind w:left="426" w:hanging="437"/>
      </w:pPr>
      <w:r>
        <w:t>For higher network</w:t>
      </w:r>
      <w:r w:rsidR="003B3B80">
        <w:t xml:space="preserve"> load</w:t>
      </w:r>
      <w:r>
        <w:t xml:space="preserve">, </w:t>
      </w:r>
      <w:r w:rsidR="004B2ACC">
        <w:t>i.e., when</w:t>
      </w:r>
      <w:r w:rsidR="00554879">
        <w:t xml:space="preserve"> the number of UEs exceeds the </w:t>
      </w:r>
      <w:r w:rsidR="004B2ACC">
        <w:t>maximum amount of</w:t>
      </w:r>
      <w:r w:rsidR="00554879">
        <w:t xml:space="preserve"> grant-free resources</w:t>
      </w:r>
      <w:r w:rsidR="004B2ACC">
        <w:t xml:space="preserve"> that can be released,</w:t>
      </w:r>
      <w:r w:rsidR="00554879">
        <w:t xml:space="preserve"> multiple UEs can </w:t>
      </w:r>
      <w:r w:rsidR="001D0225">
        <w:t xml:space="preserve">be allowed to transmit over </w:t>
      </w:r>
      <w:r w:rsidR="00554879">
        <w:t xml:space="preserve">the same units, as shown in </w:t>
      </w:r>
      <w:r w:rsidR="00554879" w:rsidRPr="00720606">
        <w:fldChar w:fldCharType="begin"/>
      </w:r>
      <w:r w:rsidR="00554879" w:rsidRPr="00720606">
        <w:instrText xml:space="preserve"> REF _Ref461795856 \h  \* MERGEFORMAT </w:instrText>
      </w:r>
      <w:r w:rsidR="00554879" w:rsidRPr="00720606">
        <w:fldChar w:fldCharType="separate"/>
      </w:r>
      <w:r w:rsidR="006608E2" w:rsidRPr="006608E2">
        <w:rPr>
          <w:sz w:val="18"/>
        </w:rPr>
        <w:t xml:space="preserve">Figure </w:t>
      </w:r>
      <w:r w:rsidR="006608E2" w:rsidRPr="006608E2">
        <w:rPr>
          <w:noProof/>
          <w:sz w:val="18"/>
        </w:rPr>
        <w:t>1</w:t>
      </w:r>
      <w:r w:rsidR="00554879" w:rsidRPr="00720606">
        <w:fldChar w:fldCharType="end"/>
      </w:r>
      <w:r w:rsidR="00554879">
        <w:t>b (bottom right)</w:t>
      </w:r>
      <w:r w:rsidR="00E962A5">
        <w:t xml:space="preserve">, without </w:t>
      </w:r>
      <w:r w:rsidR="002C35BB">
        <w:t xml:space="preserve">employing </w:t>
      </w:r>
      <w:r w:rsidR="001D0225">
        <w:t xml:space="preserve">(any advanced) </w:t>
      </w:r>
      <w:r w:rsidR="002C35BB">
        <w:t>interference-aware transmission schemes</w:t>
      </w:r>
      <w:r w:rsidR="00554879">
        <w:t xml:space="preserve">. </w:t>
      </w:r>
      <w:r w:rsidR="00E962A5">
        <w:t xml:space="preserve">Therefore, </w:t>
      </w:r>
      <w:r w:rsidR="00E962A5" w:rsidRPr="00E962A5">
        <w:t xml:space="preserve">NR should support UL </w:t>
      </w:r>
      <w:r w:rsidR="00956235" w:rsidRPr="00E962A5">
        <w:t xml:space="preserve">shared </w:t>
      </w:r>
      <w:r w:rsidR="00E962A5" w:rsidRPr="00E962A5">
        <w:t xml:space="preserve">grant-free </w:t>
      </w:r>
      <w:r w:rsidR="00956235">
        <w:t xml:space="preserve">access </w:t>
      </w:r>
      <w:r w:rsidR="00E962A5" w:rsidRPr="00AB7E53">
        <w:rPr>
          <w:i/>
        </w:rPr>
        <w:t>without interference awareness</w:t>
      </w:r>
      <w:r w:rsidR="00E962A5" w:rsidRPr="00E962A5">
        <w:t>.</w:t>
      </w:r>
    </w:p>
    <w:p w14:paraId="1FBBCBA4" w14:textId="77D2618F" w:rsidR="00554879" w:rsidRDefault="00554879" w:rsidP="00554879">
      <w:pPr>
        <w:pStyle w:val="BodyText"/>
        <w:rPr>
          <w:b/>
          <w:bCs/>
        </w:rPr>
      </w:pPr>
      <w:r w:rsidRPr="00AF4B66">
        <w:rPr>
          <w:b/>
          <w:bCs/>
        </w:rPr>
        <w:t xml:space="preserve">Proposal </w:t>
      </w:r>
      <w:r w:rsidR="001D0225">
        <w:rPr>
          <w:b/>
          <w:bCs/>
        </w:rPr>
        <w:t>1</w:t>
      </w:r>
      <w:r w:rsidRPr="00AF4B66">
        <w:rPr>
          <w:b/>
          <w:bCs/>
        </w:rPr>
        <w:t>: NR should suppo</w:t>
      </w:r>
      <w:r w:rsidR="00031846">
        <w:rPr>
          <w:b/>
          <w:bCs/>
        </w:rPr>
        <w:t xml:space="preserve">rt UL grant-free </w:t>
      </w:r>
      <w:r w:rsidR="00956235">
        <w:rPr>
          <w:b/>
          <w:bCs/>
        </w:rPr>
        <w:t>access</w:t>
      </w:r>
      <w:r w:rsidR="00031846">
        <w:rPr>
          <w:b/>
          <w:bCs/>
        </w:rPr>
        <w:t xml:space="preserve"> </w:t>
      </w:r>
      <w:r w:rsidR="00956235">
        <w:rPr>
          <w:b/>
          <w:bCs/>
        </w:rPr>
        <w:t>with</w:t>
      </w:r>
      <w:r w:rsidR="00031846">
        <w:rPr>
          <w:b/>
          <w:bCs/>
        </w:rPr>
        <w:t xml:space="preserve"> one-to-one UE-to-resource mapping</w:t>
      </w:r>
      <w:r w:rsidRPr="00AF4B66">
        <w:rPr>
          <w:b/>
          <w:bCs/>
        </w:rPr>
        <w:t>.</w:t>
      </w:r>
    </w:p>
    <w:p w14:paraId="02802334" w14:textId="598E27CC" w:rsidR="00554879" w:rsidRPr="0068133F" w:rsidRDefault="00554879" w:rsidP="00554879">
      <w:pPr>
        <w:pStyle w:val="BodyText"/>
        <w:rPr>
          <w:b/>
          <w:bCs/>
        </w:rPr>
      </w:pPr>
      <w:r w:rsidRPr="0068133F">
        <w:rPr>
          <w:b/>
        </w:rPr>
        <w:t xml:space="preserve">Proposal </w:t>
      </w:r>
      <w:r w:rsidR="001D0225">
        <w:rPr>
          <w:b/>
        </w:rPr>
        <w:t>2</w:t>
      </w:r>
      <w:r w:rsidRPr="0068133F">
        <w:rPr>
          <w:b/>
        </w:rPr>
        <w:t xml:space="preserve">: NR should support UL grant-free </w:t>
      </w:r>
      <w:r w:rsidR="00956235">
        <w:rPr>
          <w:b/>
        </w:rPr>
        <w:t>acces</w:t>
      </w:r>
      <w:r w:rsidR="00574E69">
        <w:rPr>
          <w:b/>
        </w:rPr>
        <w:t>s</w:t>
      </w:r>
      <w:r w:rsidRPr="0068133F">
        <w:rPr>
          <w:b/>
        </w:rPr>
        <w:t xml:space="preserve"> </w:t>
      </w:r>
      <w:r w:rsidR="00031846">
        <w:rPr>
          <w:b/>
        </w:rPr>
        <w:t>with</w:t>
      </w:r>
      <w:r w:rsidRPr="0068133F">
        <w:rPr>
          <w:b/>
        </w:rPr>
        <w:t xml:space="preserve"> </w:t>
      </w:r>
      <w:r w:rsidR="00031846">
        <w:rPr>
          <w:b/>
          <w:bCs/>
        </w:rPr>
        <w:t>many-to-one UE-to-resource mapping</w:t>
      </w:r>
      <w:r w:rsidR="00031846" w:rsidRPr="0068133F">
        <w:rPr>
          <w:b/>
        </w:rPr>
        <w:t xml:space="preserve"> </w:t>
      </w:r>
      <w:r w:rsidR="00956235">
        <w:rPr>
          <w:b/>
        </w:rPr>
        <w:t>and interference unaware transmission schemes</w:t>
      </w:r>
      <w:r w:rsidRPr="0068133F">
        <w:rPr>
          <w:b/>
        </w:rPr>
        <w:t>.</w:t>
      </w:r>
    </w:p>
    <w:p w14:paraId="4B003146" w14:textId="77777777" w:rsidR="00E10682" w:rsidRDefault="00E10682" w:rsidP="00E10682">
      <w:pPr>
        <w:pStyle w:val="BodyText"/>
        <w:keepNext/>
      </w:pPr>
      <w:r w:rsidRPr="005F7D28">
        <w:rPr>
          <w:noProof/>
          <w:lang w:val="sv-SE" w:eastAsia="sv-SE"/>
        </w:rPr>
        <w:drawing>
          <wp:inline distT="0" distB="0" distL="0" distR="0" wp14:anchorId="7F174503" wp14:editId="3ABF7F0C">
            <wp:extent cx="5676900" cy="344717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3959" t="11667" r="9584" b="18332"/>
                    <a:stretch/>
                  </pic:blipFill>
                  <pic:spPr bwMode="auto">
                    <a:xfrm>
                      <a:off x="0" y="0"/>
                      <a:ext cx="5676900" cy="3447178"/>
                    </a:xfrm>
                    <a:prstGeom prst="rect">
                      <a:avLst/>
                    </a:prstGeom>
                    <a:ln>
                      <a:noFill/>
                    </a:ln>
                    <a:extLst>
                      <a:ext uri="{53640926-AAD7-44D8-BBD7-CCE9431645EC}">
                        <a14:shadowObscured xmlns:a14="http://schemas.microsoft.com/office/drawing/2010/main"/>
                      </a:ext>
                    </a:extLst>
                  </pic:spPr>
                </pic:pic>
              </a:graphicData>
            </a:graphic>
          </wp:inline>
        </w:drawing>
      </w:r>
    </w:p>
    <w:p w14:paraId="410A5866" w14:textId="32A3D673" w:rsidR="00E10682" w:rsidRPr="00E10682" w:rsidRDefault="00E10682" w:rsidP="00E10682">
      <w:pPr>
        <w:pStyle w:val="Caption"/>
        <w:jc w:val="both"/>
        <w:rPr>
          <w:b/>
          <w:i w:val="0"/>
          <w:color w:val="auto"/>
        </w:rPr>
      </w:pPr>
      <w:bookmarkStart w:id="4" w:name="_Ref461795856"/>
      <w:r w:rsidRPr="00E907CE">
        <w:rPr>
          <w:b/>
          <w:i w:val="0"/>
          <w:color w:val="auto"/>
        </w:rPr>
        <w:t xml:space="preserve">Figure </w:t>
      </w:r>
      <w:r w:rsidRPr="00E907CE">
        <w:rPr>
          <w:b/>
          <w:i w:val="0"/>
          <w:color w:val="auto"/>
        </w:rPr>
        <w:fldChar w:fldCharType="begin"/>
      </w:r>
      <w:r w:rsidRPr="00E907CE">
        <w:rPr>
          <w:b/>
          <w:i w:val="0"/>
          <w:color w:val="auto"/>
        </w:rPr>
        <w:instrText xml:space="preserve"> SEQ Figure \* ARABIC </w:instrText>
      </w:r>
      <w:r w:rsidRPr="00E907CE">
        <w:rPr>
          <w:b/>
          <w:i w:val="0"/>
          <w:color w:val="auto"/>
        </w:rPr>
        <w:fldChar w:fldCharType="separate"/>
      </w:r>
      <w:r w:rsidR="006608E2">
        <w:rPr>
          <w:b/>
          <w:i w:val="0"/>
          <w:noProof/>
          <w:color w:val="auto"/>
        </w:rPr>
        <w:t>1</w:t>
      </w:r>
      <w:r w:rsidRPr="00E907CE">
        <w:rPr>
          <w:b/>
          <w:i w:val="0"/>
          <w:color w:val="auto"/>
        </w:rPr>
        <w:fldChar w:fldCharType="end"/>
      </w:r>
      <w:bookmarkEnd w:id="4"/>
      <w:r w:rsidRPr="00E907CE">
        <w:rPr>
          <w:b/>
          <w:i w:val="0"/>
          <w:color w:val="auto"/>
        </w:rPr>
        <w:t>:</w:t>
      </w:r>
      <w:r>
        <w:rPr>
          <w:b/>
          <w:i w:val="0"/>
          <w:color w:val="auto"/>
        </w:rPr>
        <w:t xml:space="preserve"> </w:t>
      </w:r>
      <w:r w:rsidRPr="00E907CE">
        <w:rPr>
          <w:b/>
          <w:i w:val="0"/>
          <w:color w:val="auto"/>
        </w:rPr>
        <w:t xml:space="preserve">a) </w:t>
      </w:r>
      <w:r>
        <w:rPr>
          <w:b/>
          <w:i w:val="0"/>
          <w:color w:val="auto"/>
        </w:rPr>
        <w:t>An example of g</w:t>
      </w:r>
      <w:r w:rsidRPr="00E907CE">
        <w:rPr>
          <w:b/>
          <w:i w:val="0"/>
          <w:color w:val="auto"/>
        </w:rPr>
        <w:t xml:space="preserve">rant-free </w:t>
      </w:r>
      <w:r>
        <w:rPr>
          <w:b/>
          <w:i w:val="0"/>
          <w:color w:val="auto"/>
        </w:rPr>
        <w:t>a</w:t>
      </w:r>
      <w:r w:rsidRPr="00E907CE">
        <w:rPr>
          <w:b/>
          <w:i w:val="0"/>
          <w:color w:val="auto"/>
        </w:rPr>
        <w:t xml:space="preserve">ccess </w:t>
      </w:r>
      <w:r>
        <w:rPr>
          <w:b/>
          <w:i w:val="0"/>
          <w:color w:val="auto"/>
        </w:rPr>
        <w:t>resource release within the time/frequency grid</w:t>
      </w:r>
      <w:r w:rsidRPr="00E907CE">
        <w:rPr>
          <w:b/>
          <w:i w:val="0"/>
          <w:color w:val="auto"/>
        </w:rPr>
        <w:t xml:space="preserve"> (left)</w:t>
      </w:r>
      <w:r w:rsidRPr="00E907CE">
        <w:rPr>
          <w:b/>
          <w:i w:val="0"/>
          <w:noProof/>
          <w:color w:val="auto"/>
        </w:rPr>
        <w:t xml:space="preserve"> and</w:t>
      </w:r>
      <w:r>
        <w:rPr>
          <w:b/>
          <w:i w:val="0"/>
          <w:noProof/>
          <w:color w:val="auto"/>
        </w:rPr>
        <w:t xml:space="preserve"> </w:t>
      </w:r>
      <w:r w:rsidRPr="00E907CE">
        <w:rPr>
          <w:b/>
          <w:i w:val="0"/>
          <w:noProof/>
          <w:color w:val="auto"/>
        </w:rPr>
        <w:t>b)</w:t>
      </w:r>
      <w:r>
        <w:rPr>
          <w:b/>
          <w:i w:val="0"/>
          <w:noProof/>
          <w:color w:val="auto"/>
        </w:rPr>
        <w:t xml:space="preserve"> two alternatives for assigning the resources </w:t>
      </w:r>
      <w:r w:rsidRPr="00E907CE">
        <w:rPr>
          <w:b/>
          <w:i w:val="0"/>
          <w:noProof/>
          <w:color w:val="auto"/>
        </w:rPr>
        <w:t>(right)</w:t>
      </w:r>
      <w:r>
        <w:rPr>
          <w:b/>
          <w:i w:val="0"/>
          <w:noProof/>
          <w:color w:val="auto"/>
        </w:rPr>
        <w:t xml:space="preserve">, namely one-to-one </w:t>
      </w:r>
      <w:r w:rsidRPr="00E907CE">
        <w:rPr>
          <w:b/>
          <w:i w:val="0"/>
          <w:noProof/>
          <w:color w:val="auto"/>
        </w:rPr>
        <w:t>UE-to-</w:t>
      </w:r>
      <w:r>
        <w:rPr>
          <w:b/>
          <w:i w:val="0"/>
          <w:noProof/>
          <w:color w:val="auto"/>
        </w:rPr>
        <w:t>slot</w:t>
      </w:r>
      <w:r w:rsidRPr="00E907CE">
        <w:rPr>
          <w:b/>
          <w:i w:val="0"/>
          <w:noProof/>
          <w:color w:val="auto"/>
        </w:rPr>
        <w:t xml:space="preserve"> mapping</w:t>
      </w:r>
      <w:r>
        <w:rPr>
          <w:b/>
          <w:i w:val="0"/>
          <w:noProof/>
          <w:color w:val="auto"/>
        </w:rPr>
        <w:t xml:space="preserve"> (top) and many-to-one </w:t>
      </w:r>
      <w:r w:rsidRPr="00E907CE">
        <w:rPr>
          <w:b/>
          <w:i w:val="0"/>
          <w:noProof/>
          <w:color w:val="auto"/>
        </w:rPr>
        <w:t>UE-to-</w:t>
      </w:r>
      <w:r>
        <w:rPr>
          <w:b/>
          <w:i w:val="0"/>
          <w:noProof/>
          <w:color w:val="auto"/>
        </w:rPr>
        <w:t>slot</w:t>
      </w:r>
      <w:r w:rsidRPr="00E907CE">
        <w:rPr>
          <w:b/>
          <w:i w:val="0"/>
          <w:noProof/>
          <w:color w:val="auto"/>
        </w:rPr>
        <w:t xml:space="preserve"> mapping</w:t>
      </w:r>
      <w:r>
        <w:rPr>
          <w:b/>
          <w:i w:val="0"/>
          <w:noProof/>
          <w:color w:val="auto"/>
        </w:rPr>
        <w:t xml:space="preserve"> (bottom).</w:t>
      </w:r>
    </w:p>
    <w:p w14:paraId="08D34674" w14:textId="193AB7EC" w:rsidR="00554879" w:rsidRDefault="00554879" w:rsidP="00554879">
      <w:pPr>
        <w:pStyle w:val="BodyText"/>
      </w:pPr>
      <w:r>
        <w:t xml:space="preserve">It has to be noted that resource allocation for grant-free access will have implications on the </w:t>
      </w:r>
      <w:proofErr w:type="spellStart"/>
      <w:r w:rsidR="00C8485D">
        <w:t>gNB</w:t>
      </w:r>
      <w:proofErr w:type="spellEnd"/>
      <w:r>
        <w:t xml:space="preserve"> complexity. A reason for this is that the </w:t>
      </w:r>
      <w:proofErr w:type="spellStart"/>
      <w:r w:rsidR="00C8485D">
        <w:t>gNB</w:t>
      </w:r>
      <w:proofErr w:type="spellEnd"/>
      <w:r>
        <w:t xml:space="preserve"> has limited information about the UE id</w:t>
      </w:r>
      <w:r w:rsidR="00AB7E53">
        <w:t>entity</w:t>
      </w:r>
      <w:r>
        <w:t xml:space="preserve"> of a received signal, since a UE </w:t>
      </w:r>
      <w:r w:rsidRPr="007D3DAC">
        <w:rPr>
          <w:i/>
        </w:rPr>
        <w:t xml:space="preserve">may or may not </w:t>
      </w:r>
      <w:r w:rsidRPr="00C8485D">
        <w:rPr>
          <w:i/>
        </w:rPr>
        <w:t>occupy a grant-free resource</w:t>
      </w:r>
      <w:r>
        <w:t>.</w:t>
      </w:r>
      <w:r w:rsidR="00C8485D">
        <w:t xml:space="preserve"> I</w:t>
      </w:r>
      <w:r>
        <w:t xml:space="preserve">n the simple case of one-to-one UE-to-slot correspondence, once the </w:t>
      </w:r>
      <w:proofErr w:type="spellStart"/>
      <w:r w:rsidR="00C8485D">
        <w:t>gNB</w:t>
      </w:r>
      <w:proofErr w:type="spellEnd"/>
      <w:r>
        <w:t xml:space="preserve"> detects a transmission, it can infer the </w:t>
      </w:r>
      <w:r w:rsidR="0077275C">
        <w:t xml:space="preserve">identity </w:t>
      </w:r>
      <w:r>
        <w:t xml:space="preserve">of the UE that is tied to the particular chunk of the grid where the signal was detected. This is no more the case, when multiple UEs can transmit on the same resource; here the </w:t>
      </w:r>
      <w:proofErr w:type="spellStart"/>
      <w:r w:rsidR="00C8485D">
        <w:t>gNB</w:t>
      </w:r>
      <w:proofErr w:type="spellEnd"/>
      <w:r>
        <w:t xml:space="preserve"> has to perform blind </w:t>
      </w:r>
      <w:r w:rsidR="008E0AF7">
        <w:t>activity detection and decoding</w:t>
      </w:r>
      <w:r w:rsidR="00520FD5">
        <w:t xml:space="preserve"> </w:t>
      </w:r>
      <w:r>
        <w:t xml:space="preserve">in order to identify the active UEs. This task becomes more complex as the number of UEs, mapped </w:t>
      </w:r>
      <w:r w:rsidR="0077275C">
        <w:t>on</w:t>
      </w:r>
      <w:r>
        <w:t xml:space="preserve">to the </w:t>
      </w:r>
      <w:r w:rsidR="0077275C">
        <w:t xml:space="preserve">same </w:t>
      </w:r>
      <w:r>
        <w:t>group of grant-free resources, increases</w:t>
      </w:r>
      <w:r w:rsidRPr="007D3DAC">
        <w:t xml:space="preserve"> </w:t>
      </w:r>
      <w:r>
        <w:t xml:space="preserve">because the </w:t>
      </w:r>
      <w:proofErr w:type="spellStart"/>
      <w:r w:rsidR="00C8485D">
        <w:t>gNB</w:t>
      </w:r>
      <w:proofErr w:type="spellEnd"/>
      <w:r>
        <w:t xml:space="preserve"> has to investigate an increasing number of patterns. Therefore, the size of the UE group has to be constrained according to the complexity that can be handled by the receiver. </w:t>
      </w:r>
    </w:p>
    <w:p w14:paraId="2C428B56" w14:textId="6EE16F0F" w:rsidR="00554879" w:rsidRDefault="00554879" w:rsidP="00554879">
      <w:pPr>
        <w:pStyle w:val="BodyText"/>
        <w:tabs>
          <w:tab w:val="center" w:pos="4536"/>
        </w:tabs>
      </w:pPr>
      <w:r>
        <w:t>Apart from its impact on receiver complexity, the UE-to-slot mapping functionality will also impact</w:t>
      </w:r>
      <w:r w:rsidR="00AB7E53">
        <w:t xml:space="preserve"> the collision probability and</w:t>
      </w:r>
      <w:r>
        <w:t xml:space="preserve"> the efficiency, i.e., how well the resources are utilized. If we consider again the case of one-to-one UE-to-slot mapping, i.e., of exclusive unit allocation to a single UE, then there is no risk of collision. However, the resource may remain unoccupied if the UE buffer is empty which, in turn, would result in underutilization of the resources. If multiple UEs are grouped together, over the same set of grant-free resources then utilization can be improved. In this case, we have lower probability of no activity on some resources but </w:t>
      </w:r>
      <w:r w:rsidR="00596134">
        <w:t xml:space="preserve">at the same time </w:t>
      </w:r>
      <w:r>
        <w:t>higher probability that at least two packet transmissions collide.</w:t>
      </w:r>
    </w:p>
    <w:p w14:paraId="0FE83FBF" w14:textId="77777777" w:rsidR="00554879" w:rsidRDefault="00554879" w:rsidP="00554879">
      <w:pPr>
        <w:pStyle w:val="BodyText"/>
        <w:rPr>
          <w:b/>
        </w:rPr>
      </w:pPr>
      <w:r>
        <w:rPr>
          <w:b/>
        </w:rPr>
        <w:t>Observation</w:t>
      </w:r>
      <w:r w:rsidRPr="002F1A61">
        <w:rPr>
          <w:b/>
        </w:rPr>
        <w:t xml:space="preserve"> 1: The </w:t>
      </w:r>
      <w:r>
        <w:rPr>
          <w:b/>
        </w:rPr>
        <w:t>assignment of</w:t>
      </w:r>
      <w:r w:rsidRPr="002F1A61">
        <w:rPr>
          <w:b/>
        </w:rPr>
        <w:t xml:space="preserve"> </w:t>
      </w:r>
      <w:r>
        <w:rPr>
          <w:b/>
        </w:rPr>
        <w:t>grant-free access units to the UEs has an impact on</w:t>
      </w:r>
      <w:r w:rsidRPr="00E425FC">
        <w:rPr>
          <w:b/>
        </w:rPr>
        <w:t xml:space="preserve"> </w:t>
      </w:r>
      <w:r w:rsidRPr="002F1A61">
        <w:rPr>
          <w:b/>
        </w:rPr>
        <w:t>receiver complexity</w:t>
      </w:r>
      <w:r>
        <w:rPr>
          <w:b/>
        </w:rPr>
        <w:t>, resource utilization and collision probability.</w:t>
      </w:r>
    </w:p>
    <w:p w14:paraId="74F06D31" w14:textId="77777777" w:rsidR="00554879" w:rsidRDefault="00554879" w:rsidP="00554879">
      <w:pPr>
        <w:pStyle w:val="Heading2"/>
      </w:pPr>
      <w:r>
        <w:lastRenderedPageBreak/>
        <w:t>Collision and multi-user detection</w:t>
      </w:r>
    </w:p>
    <w:p w14:paraId="4699E6F6" w14:textId="67804B0D" w:rsidR="00554879" w:rsidRDefault="00554879" w:rsidP="00554879">
      <w:pPr>
        <w:pStyle w:val="BodyText"/>
      </w:pPr>
      <w:r>
        <w:t xml:space="preserve">Irrespectively of how the assignment procedure is conducted and communicated to the UEs, they eventually </w:t>
      </w:r>
      <w:r w:rsidR="001D0225">
        <w:t>occupy or not</w:t>
      </w:r>
      <w:r>
        <w:t xml:space="preserve"> their assigned resources</w:t>
      </w:r>
      <w:r w:rsidR="001D0225">
        <w:t>, depending on whether they have a packet in the buffer or not</w:t>
      </w:r>
      <w:r>
        <w:t>. As mentioned previously, in the case of many-to-</w:t>
      </w:r>
      <w:r w:rsidR="008E0AF7">
        <w:t xml:space="preserve">one UE-to-slot mapping, it can occur that two </w:t>
      </w:r>
      <w:r>
        <w:t>or more UE transmissions overlap. The probability of this event depends on the amount of available released resources, the network load and the assignment</w:t>
      </w:r>
      <w:r w:rsidR="008E0AF7">
        <w:t xml:space="preserve"> decisions</w:t>
      </w:r>
      <w:r>
        <w:t xml:space="preserve">. </w:t>
      </w:r>
    </w:p>
    <w:p w14:paraId="24B97BE7" w14:textId="0D345EFF" w:rsidR="002C35BB" w:rsidRDefault="00554879" w:rsidP="00554879">
      <w:pPr>
        <w:pStyle w:val="BodyText"/>
      </w:pPr>
      <w:r w:rsidRPr="000428BB">
        <w:t xml:space="preserve">In the LTE RACH, selecting the same preamble will result in data transmission overlap, which is treated as a collision and results in lost packets, if not resolved. </w:t>
      </w:r>
      <w:r>
        <w:t xml:space="preserve">If we adopt this approach for handling contention-based grant-free overlapping </w:t>
      </w:r>
      <w:proofErr w:type="gramStart"/>
      <w:r>
        <w:t>transmissions</w:t>
      </w:r>
      <w:proofErr w:type="gramEnd"/>
      <w:r>
        <w:t xml:space="preserve"> then </w:t>
      </w:r>
      <w:r w:rsidR="008E0AF7">
        <w:t xml:space="preserve">some </w:t>
      </w:r>
      <w:r>
        <w:t xml:space="preserve">packets </w:t>
      </w:r>
      <w:r w:rsidR="008E0AF7">
        <w:t xml:space="preserve">may be lost </w:t>
      </w:r>
      <w:r>
        <w:t>in the many-to-one UE-to-slot mapping.</w:t>
      </w:r>
      <w:r w:rsidR="002C35BB">
        <w:t xml:space="preserve"> The situation can be improved when at least the user identity can be detected, as discussed below.</w:t>
      </w:r>
    </w:p>
    <w:p w14:paraId="193E5671" w14:textId="0DD32E87" w:rsidR="00554879" w:rsidRDefault="00554879" w:rsidP="00554879">
      <w:pPr>
        <w:pStyle w:val="BodyText"/>
      </w:pPr>
      <w:r>
        <w:t xml:space="preserve">To </w:t>
      </w:r>
      <w:r w:rsidR="001D0225">
        <w:t xml:space="preserve">further enhance </w:t>
      </w:r>
      <w:r w:rsidR="002C35BB">
        <w:t xml:space="preserve">data detection </w:t>
      </w:r>
      <w:r w:rsidR="001D0225">
        <w:t xml:space="preserve">performance </w:t>
      </w:r>
      <w:r>
        <w:t xml:space="preserve">we can employ multi-user detection at the </w:t>
      </w:r>
      <w:proofErr w:type="spellStart"/>
      <w:r w:rsidR="00C8485D">
        <w:t>gNB</w:t>
      </w:r>
      <w:proofErr w:type="spellEnd"/>
      <w:r>
        <w:t xml:space="preserve">. Therein, we </w:t>
      </w:r>
      <w:r w:rsidR="00454627">
        <w:t xml:space="preserve">can implement </w:t>
      </w:r>
      <w:r w:rsidR="008E0AF7">
        <w:t>advanced multiuser detector</w:t>
      </w:r>
      <w:r w:rsidR="00454627">
        <w:t>s</w:t>
      </w:r>
      <w:r w:rsidR="008E0AF7">
        <w:t xml:space="preserve"> in order to jointly decode the overlapping signals. At the same time, </w:t>
      </w:r>
      <w:r w:rsidR="00454627">
        <w:t>with well-designed</w:t>
      </w:r>
      <w:r w:rsidR="008E0AF7">
        <w:t xml:space="preserve"> </w:t>
      </w:r>
      <w:r w:rsidR="00454627">
        <w:t xml:space="preserve">transmit signature vectors we can maximize the benefits of </w:t>
      </w:r>
      <w:r w:rsidR="008E0AF7">
        <w:t>non-orthogonal multiple access</w:t>
      </w:r>
      <w:r w:rsidR="005F5C70">
        <w:t xml:space="preserve"> (NOMA)</w:t>
      </w:r>
      <w:r w:rsidR="008E0AF7">
        <w:t xml:space="preserve"> schemes</w:t>
      </w:r>
      <w:r w:rsidR="00454627">
        <w:t xml:space="preserve">. Such paradigm, studied at a later stage for </w:t>
      </w:r>
      <w:r>
        <w:t>grant-free access</w:t>
      </w:r>
      <w:r w:rsidR="00596134">
        <w:t xml:space="preserve"> in NR</w:t>
      </w:r>
      <w:r>
        <w:t>, can result in throughput enh</w:t>
      </w:r>
      <w:r w:rsidR="005F5C70">
        <w:t xml:space="preserve">ancement and </w:t>
      </w:r>
      <w:r w:rsidR="00596134">
        <w:t xml:space="preserve">further </w:t>
      </w:r>
      <w:r w:rsidR="005F5C70">
        <w:t>latency reduction.</w:t>
      </w:r>
    </w:p>
    <w:p w14:paraId="0786F62F" w14:textId="77777777" w:rsidR="00554879" w:rsidRPr="002B48F4" w:rsidRDefault="00554879" w:rsidP="00554879">
      <w:pPr>
        <w:pStyle w:val="Heading1"/>
        <w:numPr>
          <w:ilvl w:val="0"/>
          <w:numId w:val="0"/>
        </w:numPr>
        <w:spacing w:before="0" w:after="120"/>
        <w:jc w:val="both"/>
        <w:rPr>
          <w:rFonts w:ascii="Times New Roman" w:hAnsi="Times New Roman" w:cs="Times New Roman"/>
          <w:sz w:val="20"/>
        </w:rPr>
      </w:pPr>
      <w:r w:rsidRPr="006E7458">
        <w:rPr>
          <w:rFonts w:ascii="Times New Roman" w:hAnsi="Times New Roman" w:cs="Times New Roman"/>
          <w:sz w:val="20"/>
        </w:rPr>
        <w:t xml:space="preserve">Observation </w:t>
      </w:r>
      <w:r>
        <w:rPr>
          <w:rFonts w:ascii="Times New Roman" w:hAnsi="Times New Roman" w:cs="Times New Roman"/>
          <w:sz w:val="20"/>
        </w:rPr>
        <w:t>2</w:t>
      </w:r>
      <w:r w:rsidRPr="00AF4B66">
        <w:rPr>
          <w:rFonts w:ascii="Times New Roman" w:hAnsi="Times New Roman" w:cs="Times New Roman"/>
          <w:sz w:val="20"/>
        </w:rPr>
        <w:t xml:space="preserve">: </w:t>
      </w:r>
      <w:r>
        <w:rPr>
          <w:rFonts w:ascii="Times New Roman" w:hAnsi="Times New Roman" w:cs="Times New Roman"/>
          <w:sz w:val="20"/>
        </w:rPr>
        <w:t>I</w:t>
      </w:r>
      <w:r w:rsidRPr="00AF4B66">
        <w:rPr>
          <w:rFonts w:ascii="Times New Roman" w:hAnsi="Times New Roman" w:cs="Times New Roman"/>
          <w:sz w:val="20"/>
        </w:rPr>
        <w:t xml:space="preserve">nterference-aware schemes </w:t>
      </w:r>
      <w:r>
        <w:rPr>
          <w:rFonts w:ascii="Times New Roman" w:hAnsi="Times New Roman" w:cs="Times New Roman"/>
          <w:sz w:val="20"/>
        </w:rPr>
        <w:t>could be beneficial for</w:t>
      </w:r>
      <w:r w:rsidRPr="00AF4B66">
        <w:rPr>
          <w:rFonts w:ascii="Times New Roman" w:hAnsi="Times New Roman" w:cs="Times New Roman"/>
          <w:sz w:val="20"/>
        </w:rPr>
        <w:t xml:space="preserve"> </w:t>
      </w:r>
      <w:r>
        <w:rPr>
          <w:rFonts w:ascii="Times New Roman" w:hAnsi="Times New Roman" w:cs="Times New Roman"/>
          <w:sz w:val="20"/>
        </w:rPr>
        <w:t xml:space="preserve">achieving latency reduction with </w:t>
      </w:r>
      <w:r w:rsidRPr="00AF4B66">
        <w:rPr>
          <w:rFonts w:ascii="Times New Roman" w:hAnsi="Times New Roman" w:cs="Times New Roman"/>
          <w:sz w:val="20"/>
        </w:rPr>
        <w:t xml:space="preserve">NR UL grant-free transmission on shared resources. </w:t>
      </w:r>
    </w:p>
    <w:p w14:paraId="5F9F2757" w14:textId="18A8311F" w:rsidR="00554879" w:rsidRDefault="00554879" w:rsidP="00554879">
      <w:pPr>
        <w:pStyle w:val="BodyText"/>
      </w:pPr>
      <w:r>
        <w:t xml:space="preserve">It has to be noted here that </w:t>
      </w:r>
      <w:r w:rsidR="005F5C70">
        <w:t>multiuser</w:t>
      </w:r>
      <w:r>
        <w:t xml:space="preserve"> detection </w:t>
      </w:r>
      <w:r w:rsidR="005F5C70">
        <w:t xml:space="preserve">performance for NOMA </w:t>
      </w:r>
      <w:r>
        <w:t>critically depends on the MUD implementation; an advanced multi-user receiver</w:t>
      </w:r>
      <w:r w:rsidR="00596134" w:rsidRPr="00596134">
        <w:t xml:space="preserve"> </w:t>
      </w:r>
      <w:r w:rsidR="00596134">
        <w:t>has to be employed</w:t>
      </w:r>
      <w:r>
        <w:t xml:space="preserve">, which is typically very complex, and the overlapping signals need to obey certain synchronization requirements </w:t>
      </w:r>
      <w:r>
        <w:fldChar w:fldCharType="begin"/>
      </w:r>
      <w:r>
        <w:instrText xml:space="preserve"> REF _Ref462386170 \n \h </w:instrText>
      </w:r>
      <w:r>
        <w:fldChar w:fldCharType="separate"/>
      </w:r>
      <w:r w:rsidR="006608E2">
        <w:t>[3]</w:t>
      </w:r>
      <w:r>
        <w:fldChar w:fldCharType="end"/>
      </w:r>
      <w:r>
        <w:t xml:space="preserve"> in order to yield reasonable detection performance. Thus, for ultra-reliable communications, it is preferable to employ orthogonal (dedicated) resource allocation. </w:t>
      </w:r>
    </w:p>
    <w:p w14:paraId="77B50C45" w14:textId="23C11063" w:rsidR="00554879" w:rsidRDefault="00B32B68" w:rsidP="00554879">
      <w:pPr>
        <w:pStyle w:val="Heading2"/>
      </w:pPr>
      <w:r>
        <w:t>A</w:t>
      </w:r>
      <w:r w:rsidR="00A032FD">
        <w:t>CK/NACK</w:t>
      </w:r>
    </w:p>
    <w:p w14:paraId="77A4A0D5" w14:textId="4CEEE2F1" w:rsidR="00554879" w:rsidRDefault="00554879" w:rsidP="00554879">
      <w:pPr>
        <w:pStyle w:val="BodyText"/>
      </w:pPr>
      <w:r>
        <w:t xml:space="preserve">Within grant-free resources, the </w:t>
      </w:r>
      <w:proofErr w:type="spellStart"/>
      <w:r w:rsidR="005F5C70">
        <w:t>gNB</w:t>
      </w:r>
      <w:proofErr w:type="spellEnd"/>
      <w:r>
        <w:t xml:space="preserve"> does not know whether a UE transmitted during its assigned resource or if it remained idle. </w:t>
      </w:r>
      <w:proofErr w:type="gramStart"/>
      <w:r>
        <w:t>Therefore</w:t>
      </w:r>
      <w:proofErr w:type="gramEnd"/>
      <w:r w:rsidR="005F5C70">
        <w:t xml:space="preserve"> a</w:t>
      </w:r>
      <w:r>
        <w:t xml:space="preserve"> </w:t>
      </w:r>
      <w:r w:rsidRPr="005E7CE4">
        <w:t>silent</w:t>
      </w:r>
      <w:r>
        <w:t xml:space="preserve"> acknowledgement</w:t>
      </w:r>
      <w:r w:rsidR="005F5C70">
        <w:t xml:space="preserve"> mechanism</w:t>
      </w:r>
      <w:r>
        <w:t xml:space="preserve">, </w:t>
      </w:r>
      <w:r w:rsidR="005F5C70">
        <w:t xml:space="preserve">where </w:t>
      </w:r>
      <w:r>
        <w:t xml:space="preserve">the </w:t>
      </w:r>
      <w:proofErr w:type="spellStart"/>
      <w:r w:rsidR="00C8485D">
        <w:t>gNB</w:t>
      </w:r>
      <w:proofErr w:type="spellEnd"/>
      <w:r>
        <w:t xml:space="preserve"> </w:t>
      </w:r>
      <w:r w:rsidR="005F5C70">
        <w:t>does not notify</w:t>
      </w:r>
      <w:r>
        <w:t xml:space="preserve"> the UE </w:t>
      </w:r>
      <w:r w:rsidR="005F5C70">
        <w:t xml:space="preserve">for </w:t>
      </w:r>
      <w:r>
        <w:t xml:space="preserve">a </w:t>
      </w:r>
      <w:r w:rsidRPr="00596134">
        <w:rPr>
          <w:i/>
        </w:rPr>
        <w:t>successful delivery</w:t>
      </w:r>
      <w:r w:rsidR="005F5C70">
        <w:t>,</w:t>
      </w:r>
      <w:r>
        <w:t xml:space="preserve"> is not suitable in this scenario. To understand how the </w:t>
      </w:r>
      <w:proofErr w:type="spellStart"/>
      <w:r>
        <w:t>Ack</w:t>
      </w:r>
      <w:proofErr w:type="spellEnd"/>
      <w:r>
        <w:t>/</w:t>
      </w:r>
      <w:proofErr w:type="spellStart"/>
      <w:r>
        <w:t>Nack</w:t>
      </w:r>
      <w:proofErr w:type="spellEnd"/>
      <w:r>
        <w:t xml:space="preserve"> mechanism should be designed, it is important to see the different levels of decoding “success”. This is due to the fact that the UE id</w:t>
      </w:r>
      <w:r w:rsidR="00596134">
        <w:t xml:space="preserve">entity is not available prior to </w:t>
      </w:r>
      <w:r>
        <w:t>packet reception and decoding;</w:t>
      </w:r>
      <w:r w:rsidR="000459C4">
        <w:t xml:space="preserve"> one solution is to</w:t>
      </w:r>
      <w:r>
        <w:t xml:space="preserve"> </w:t>
      </w:r>
      <w:r w:rsidR="000459C4">
        <w:t>overlay</w:t>
      </w:r>
      <w:r>
        <w:t xml:space="preserve"> </w:t>
      </w:r>
      <w:r w:rsidR="000459C4">
        <w:t xml:space="preserve">the UE identity on </w:t>
      </w:r>
      <w:r w:rsidR="00031846">
        <w:t xml:space="preserve">orthogonal </w:t>
      </w:r>
      <w:r w:rsidR="000459C4">
        <w:t>DMRS</w:t>
      </w:r>
      <w:r w:rsidR="00031846">
        <w:t xml:space="preserve"> patterns</w:t>
      </w:r>
      <w:r>
        <w:t xml:space="preserve">. Therefore, one can see that the </w:t>
      </w:r>
      <w:proofErr w:type="spellStart"/>
      <w:r w:rsidR="005F5C70">
        <w:t>gNB</w:t>
      </w:r>
      <w:proofErr w:type="spellEnd"/>
      <w:r w:rsidR="0017439B">
        <w:t xml:space="preserve"> can succeed to decode: a) both the UE </w:t>
      </w:r>
      <w:r w:rsidR="0077275C">
        <w:t>identity and data</w:t>
      </w:r>
      <w:r w:rsidR="0017439B">
        <w:t>; b</w:t>
      </w:r>
      <w:r>
        <w:t xml:space="preserve">) only the UE </w:t>
      </w:r>
      <w:r w:rsidR="0017439B">
        <w:t>identity</w:t>
      </w:r>
      <w:r>
        <w:t xml:space="preserve">; </w:t>
      </w:r>
      <w:r w:rsidR="0017439B">
        <w:t>and c</w:t>
      </w:r>
      <w:r>
        <w:t>) neither the UE id</w:t>
      </w:r>
      <w:r w:rsidR="0017439B">
        <w:t>entity</w:t>
      </w:r>
      <w:r w:rsidR="0077275C">
        <w:t xml:space="preserve"> nor the payload</w:t>
      </w:r>
      <w:r>
        <w:t>. Herein, there is an implicit premise that</w:t>
      </w:r>
      <w:r w:rsidR="000459C4">
        <w:t xml:space="preserve"> if the </w:t>
      </w:r>
      <w:r>
        <w:t>id</w:t>
      </w:r>
      <w:r w:rsidR="000459C4">
        <w:t>entity</w:t>
      </w:r>
      <w:r>
        <w:t xml:space="preserve"> is </w:t>
      </w:r>
      <w:r w:rsidR="000459C4">
        <w:t xml:space="preserve">not successfully recovered then </w:t>
      </w:r>
      <w:r>
        <w:t xml:space="preserve">the payload </w:t>
      </w:r>
      <w:r w:rsidR="000459C4">
        <w:t>is</w:t>
      </w:r>
      <w:r>
        <w:t xml:space="preserve"> assumed lost.</w:t>
      </w:r>
    </w:p>
    <w:p w14:paraId="01BB0FA2" w14:textId="7FDBD658" w:rsidR="00554879" w:rsidRPr="004C0619" w:rsidRDefault="00554879" w:rsidP="00554879">
      <w:pPr>
        <w:pStyle w:val="BodyText"/>
        <w:rPr>
          <w:b/>
        </w:rPr>
      </w:pPr>
      <w:r w:rsidRPr="0047658D">
        <w:rPr>
          <w:b/>
          <w:bCs/>
        </w:rPr>
        <w:t xml:space="preserve">Observation </w:t>
      </w:r>
      <w:r>
        <w:rPr>
          <w:b/>
          <w:bCs/>
        </w:rPr>
        <w:t>3</w:t>
      </w:r>
      <w:r w:rsidRPr="0047658D">
        <w:rPr>
          <w:b/>
          <w:bCs/>
        </w:rPr>
        <w:t xml:space="preserve">: The </w:t>
      </w:r>
      <w:r w:rsidR="00031846">
        <w:rPr>
          <w:b/>
          <w:bCs/>
        </w:rPr>
        <w:t>retransmission</w:t>
      </w:r>
      <w:r w:rsidRPr="0047658D">
        <w:rPr>
          <w:b/>
          <w:bCs/>
        </w:rPr>
        <w:t xml:space="preserve"> mechanism must han</w:t>
      </w:r>
      <w:r>
        <w:rPr>
          <w:b/>
          <w:bCs/>
        </w:rPr>
        <w:t>dle the case when the UE id can</w:t>
      </w:r>
      <w:r w:rsidRPr="0047658D">
        <w:rPr>
          <w:b/>
          <w:bCs/>
        </w:rPr>
        <w:t>not be decoded.</w:t>
      </w:r>
      <w:r>
        <w:rPr>
          <w:b/>
        </w:rPr>
        <w:t xml:space="preserve"> </w:t>
      </w:r>
    </w:p>
    <w:p w14:paraId="5D3801E9" w14:textId="76A0F80D" w:rsidR="005F5C70" w:rsidRDefault="00D00732" w:rsidP="005F5C70">
      <w:pPr>
        <w:pStyle w:val="BodyText"/>
        <w:jc w:val="center"/>
      </w:pPr>
      <w:r w:rsidRPr="00D00732">
        <w:rPr>
          <w:noProof/>
          <w:lang w:val="sv-SE" w:eastAsia="sv-SE"/>
        </w:rPr>
        <w:drawing>
          <wp:inline distT="0" distB="0" distL="0" distR="0" wp14:anchorId="18590BC0" wp14:editId="6F9CCFE0">
            <wp:extent cx="4539048" cy="11512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2974" t="36036" r="24504" b="42820"/>
                    <a:stretch/>
                  </pic:blipFill>
                  <pic:spPr bwMode="auto">
                    <a:xfrm>
                      <a:off x="0" y="0"/>
                      <a:ext cx="4600775" cy="1166943"/>
                    </a:xfrm>
                    <a:prstGeom prst="rect">
                      <a:avLst/>
                    </a:prstGeom>
                    <a:ln>
                      <a:noFill/>
                    </a:ln>
                    <a:extLst>
                      <a:ext uri="{53640926-AAD7-44D8-BBD7-CCE9431645EC}">
                        <a14:shadowObscured xmlns:a14="http://schemas.microsoft.com/office/drawing/2010/main"/>
                      </a:ext>
                    </a:extLst>
                  </pic:spPr>
                </pic:pic>
              </a:graphicData>
            </a:graphic>
          </wp:inline>
        </w:drawing>
      </w:r>
    </w:p>
    <w:p w14:paraId="6E6BA702" w14:textId="01697CE1" w:rsidR="005F5C70" w:rsidRPr="00E631A9" w:rsidRDefault="005F5C70" w:rsidP="005F5C70">
      <w:pPr>
        <w:pStyle w:val="Caption"/>
        <w:jc w:val="both"/>
        <w:rPr>
          <w:b/>
          <w:i w:val="0"/>
          <w:color w:val="auto"/>
        </w:rPr>
      </w:pPr>
      <w:bookmarkStart w:id="5" w:name="_Ref461801277"/>
      <w:r w:rsidRPr="00C01536">
        <w:rPr>
          <w:b/>
          <w:i w:val="0"/>
          <w:color w:val="auto"/>
        </w:rPr>
        <w:t xml:space="preserve">Figure </w:t>
      </w:r>
      <w:r w:rsidRPr="00C01536">
        <w:rPr>
          <w:b/>
          <w:i w:val="0"/>
          <w:color w:val="auto"/>
        </w:rPr>
        <w:fldChar w:fldCharType="begin"/>
      </w:r>
      <w:r w:rsidRPr="00C01536">
        <w:rPr>
          <w:b/>
          <w:i w:val="0"/>
          <w:color w:val="auto"/>
        </w:rPr>
        <w:instrText xml:space="preserve"> SEQ Figure \* ARABIC </w:instrText>
      </w:r>
      <w:r w:rsidRPr="00C01536">
        <w:rPr>
          <w:b/>
          <w:i w:val="0"/>
          <w:color w:val="auto"/>
        </w:rPr>
        <w:fldChar w:fldCharType="separate"/>
      </w:r>
      <w:r w:rsidR="006608E2">
        <w:rPr>
          <w:b/>
          <w:i w:val="0"/>
          <w:noProof/>
          <w:color w:val="auto"/>
        </w:rPr>
        <w:t>2</w:t>
      </w:r>
      <w:r w:rsidRPr="00C01536">
        <w:rPr>
          <w:b/>
          <w:i w:val="0"/>
          <w:color w:val="auto"/>
        </w:rPr>
        <w:fldChar w:fldCharType="end"/>
      </w:r>
      <w:bookmarkEnd w:id="5"/>
      <w:r w:rsidRPr="00C01536">
        <w:rPr>
          <w:b/>
          <w:i w:val="0"/>
          <w:color w:val="auto"/>
        </w:rPr>
        <w:t xml:space="preserve">: </w:t>
      </w:r>
      <w:r w:rsidR="0077275C" w:rsidRPr="00C01536">
        <w:rPr>
          <w:b/>
          <w:i w:val="0"/>
          <w:color w:val="auto"/>
        </w:rPr>
        <w:t>Packet retra</w:t>
      </w:r>
      <w:r w:rsidR="0077275C">
        <w:rPr>
          <w:b/>
          <w:i w:val="0"/>
          <w:color w:val="auto"/>
        </w:rPr>
        <w:t>nsmission framework when</w:t>
      </w:r>
      <w:r w:rsidR="0077275C" w:rsidRPr="00C01536">
        <w:rPr>
          <w:b/>
          <w:i w:val="0"/>
          <w:color w:val="auto"/>
        </w:rPr>
        <w:t xml:space="preserve"> </w:t>
      </w:r>
      <w:r w:rsidR="0077275C">
        <w:rPr>
          <w:b/>
          <w:i w:val="0"/>
          <w:color w:val="auto"/>
        </w:rPr>
        <w:t>a collision has taken place.</w:t>
      </w:r>
    </w:p>
    <w:p w14:paraId="14883FBB" w14:textId="1F02481C" w:rsidR="00BC19B3" w:rsidRDefault="00554879" w:rsidP="00554879">
      <w:pPr>
        <w:pStyle w:val="BodyText"/>
      </w:pPr>
      <w:r>
        <w:t>Since UE activity over a resource is not mandatory, silent ACK for case (</w:t>
      </w:r>
      <w:r w:rsidR="0017439B">
        <w:t>a</w:t>
      </w:r>
      <w:r>
        <w:t>) does not work but instead on</w:t>
      </w:r>
      <w:r w:rsidR="00BC19B3">
        <w:t>e needs active acknowledgement. The same holds for case (</w:t>
      </w:r>
      <w:r w:rsidR="00A032FD">
        <w:t>b</w:t>
      </w:r>
      <w:r w:rsidR="00BC19B3">
        <w:t>), i.e., if the UE identity has been decoded then the UE needs to be informed</w:t>
      </w:r>
      <w:r w:rsidR="0017439B">
        <w:t xml:space="preserve"> from the </w:t>
      </w:r>
      <w:proofErr w:type="spellStart"/>
      <w:r w:rsidR="0017439B">
        <w:t>gNB</w:t>
      </w:r>
      <w:proofErr w:type="spellEnd"/>
      <w:r w:rsidR="00BC19B3">
        <w:t xml:space="preserve">. </w:t>
      </w:r>
      <w:r>
        <w:t xml:space="preserve">To work out the </w:t>
      </w:r>
      <w:r w:rsidR="00BC19B3">
        <w:t>rem</w:t>
      </w:r>
      <w:r w:rsidR="0017439B">
        <w:t>a</w:t>
      </w:r>
      <w:r w:rsidR="00BC19B3">
        <w:t>ining case (</w:t>
      </w:r>
      <w:r w:rsidR="0017439B">
        <w:t>c</w:t>
      </w:r>
      <w:r w:rsidR="00BC19B3">
        <w:t xml:space="preserve">), where </w:t>
      </w:r>
      <w:r w:rsidR="00A032FD">
        <w:t xml:space="preserve">both </w:t>
      </w:r>
      <w:r w:rsidR="00BC19B3">
        <w:t xml:space="preserve">the packet and the identity are lost, a </w:t>
      </w:r>
      <w:r w:rsidR="00BC19B3" w:rsidRPr="00A51651">
        <w:rPr>
          <w:i/>
        </w:rPr>
        <w:t>silent NACK</w:t>
      </w:r>
      <w:r w:rsidR="00BC19B3">
        <w:t xml:space="preserve"> could be employed to indicate a decoding failure.</w:t>
      </w:r>
      <w:r w:rsidR="0017439B">
        <w:t xml:space="preserve"> In </w:t>
      </w:r>
      <w:proofErr w:type="gramStart"/>
      <w:r w:rsidR="0017439B">
        <w:t>general</w:t>
      </w:r>
      <w:proofErr w:type="gramEnd"/>
      <w:r w:rsidR="0017439B">
        <w:t xml:space="preserve"> though the ACK/NACK mechanism needs to be efficiently designed so that </w:t>
      </w:r>
      <w:r w:rsidR="00B32B68">
        <w:t xml:space="preserve">all </w:t>
      </w:r>
      <w:r w:rsidR="0017439B">
        <w:t xml:space="preserve">overlapping UEs </w:t>
      </w:r>
      <w:r w:rsidR="00B32B68">
        <w:t xml:space="preserve">are aware of the decoding result. </w:t>
      </w:r>
      <w:r w:rsidR="00BC19B3">
        <w:t>I</w:t>
      </w:r>
      <w:r w:rsidR="00B32B68">
        <w:t>rrespectively of how the ACK/NACK message is formed</w:t>
      </w:r>
      <w:r w:rsidR="00BC19B3">
        <w:t>, the UE</w:t>
      </w:r>
      <w:r w:rsidR="00B32B68">
        <w:t xml:space="preserve"> has to</w:t>
      </w:r>
      <w:r w:rsidR="00BC19B3">
        <w:t xml:space="preserve"> monitor a sear</w:t>
      </w:r>
      <w:r w:rsidR="00B32B68">
        <w:t>ch space for a certain period of time, after having sent its packet, in order to locate the relevant information. T</w:t>
      </w:r>
      <w:r w:rsidR="00031846">
        <w:t xml:space="preserve">he </w:t>
      </w:r>
      <w:r w:rsidR="00B32B68">
        <w:t>ACK/NACK could be communicated with DCI</w:t>
      </w:r>
      <w:r w:rsidR="00A032FD">
        <w:t xml:space="preserve">. This process is illustrated above in </w:t>
      </w:r>
      <w:r w:rsidR="00A032FD" w:rsidRPr="00A032FD">
        <w:fldChar w:fldCharType="begin"/>
      </w:r>
      <w:r w:rsidR="00A032FD" w:rsidRPr="00A032FD">
        <w:instrText xml:space="preserve"> REF _Ref461801277 \h  \* MERGEFORMAT </w:instrText>
      </w:r>
      <w:r w:rsidR="00A032FD" w:rsidRPr="00A032FD">
        <w:fldChar w:fldCharType="separate"/>
      </w:r>
      <w:r w:rsidR="006608E2" w:rsidRPr="006608E2">
        <w:t xml:space="preserve">Figure </w:t>
      </w:r>
      <w:r w:rsidR="006608E2" w:rsidRPr="006608E2">
        <w:rPr>
          <w:noProof/>
        </w:rPr>
        <w:t>2</w:t>
      </w:r>
      <w:r w:rsidR="00A032FD" w:rsidRPr="00A032FD">
        <w:fldChar w:fldCharType="end"/>
      </w:r>
      <w:r w:rsidR="00A032FD">
        <w:t>.</w:t>
      </w:r>
    </w:p>
    <w:p w14:paraId="4CB6386C" w14:textId="5B187187" w:rsidR="00B32B68" w:rsidRDefault="00B32B68" w:rsidP="00B32B68">
      <w:pPr>
        <w:pStyle w:val="BodyText"/>
        <w:rPr>
          <w:b/>
        </w:rPr>
      </w:pPr>
      <w:r>
        <w:rPr>
          <w:b/>
        </w:rPr>
        <w:t xml:space="preserve">Proposal </w:t>
      </w:r>
      <w:r w:rsidR="001D0225">
        <w:rPr>
          <w:b/>
        </w:rPr>
        <w:t>3</w:t>
      </w:r>
      <w:r>
        <w:rPr>
          <w:b/>
        </w:rPr>
        <w:t xml:space="preserve">: </w:t>
      </w:r>
      <w:r w:rsidR="00031846">
        <w:rPr>
          <w:b/>
        </w:rPr>
        <w:t xml:space="preserve">In the case of </w:t>
      </w:r>
      <w:r w:rsidR="008E026E">
        <w:rPr>
          <w:b/>
        </w:rPr>
        <w:t xml:space="preserve">successful </w:t>
      </w:r>
      <w:r w:rsidR="00031846">
        <w:rPr>
          <w:b/>
        </w:rPr>
        <w:t xml:space="preserve">UE identification the </w:t>
      </w:r>
      <w:r>
        <w:rPr>
          <w:b/>
        </w:rPr>
        <w:t xml:space="preserve">ACK/NACK should be </w:t>
      </w:r>
      <w:r w:rsidR="00031846">
        <w:rPr>
          <w:b/>
        </w:rPr>
        <w:t xml:space="preserve">communicated using </w:t>
      </w:r>
      <w:r>
        <w:rPr>
          <w:b/>
        </w:rPr>
        <w:t>DCI.</w:t>
      </w:r>
    </w:p>
    <w:p w14:paraId="51ED1F07" w14:textId="5B5CEC9F" w:rsidR="00B32B68" w:rsidRDefault="00B32B68" w:rsidP="00B32B68">
      <w:pPr>
        <w:pStyle w:val="Heading2"/>
      </w:pPr>
      <w:r>
        <w:t>Retransmission</w:t>
      </w:r>
    </w:p>
    <w:p w14:paraId="00535DE5" w14:textId="06EDF28E" w:rsidR="00554879" w:rsidRDefault="00B43E10" w:rsidP="00B32B68">
      <w:pPr>
        <w:pStyle w:val="BodyText"/>
      </w:pPr>
      <w:r>
        <w:t>Once the UE is informed</w:t>
      </w:r>
      <w:r w:rsidR="00D76AF8">
        <w:t>/aware</w:t>
      </w:r>
      <w:r>
        <w:t xml:space="preserve"> about a failed </w:t>
      </w:r>
      <w:r w:rsidR="00D76AF8">
        <w:t xml:space="preserve">packet delivery </w:t>
      </w:r>
      <w:r>
        <w:t>then it retransmit</w:t>
      </w:r>
      <w:r w:rsidR="00D76AF8">
        <w:t>s</w:t>
      </w:r>
      <w:r>
        <w:t xml:space="preserve"> </w:t>
      </w:r>
      <w:r w:rsidR="00D76AF8">
        <w:t xml:space="preserve">its </w:t>
      </w:r>
      <w:r>
        <w:t xml:space="preserve">packet. How the retransmission </w:t>
      </w:r>
      <w:r w:rsidR="00D76AF8">
        <w:t>is</w:t>
      </w:r>
      <w:r>
        <w:t xml:space="preserve"> realized depends on the success level of the initial transmission, namel</w:t>
      </w:r>
      <w:r w:rsidR="00D76AF8">
        <w:t>y on the abovementioned cases (b), (c</w:t>
      </w:r>
      <w:r>
        <w:t>).</w:t>
      </w:r>
      <w:r w:rsidR="00D76AF8">
        <w:t xml:space="preserve"> </w:t>
      </w:r>
      <w:r w:rsidR="00D76AF8">
        <w:lastRenderedPageBreak/>
        <w:t xml:space="preserve">If the decoding failure is due </w:t>
      </w:r>
      <w:r w:rsidR="002A157C">
        <w:t>to</w:t>
      </w:r>
      <w:r w:rsidR="00D76AF8">
        <w:t xml:space="preserve"> </w:t>
      </w:r>
      <w:proofErr w:type="gramStart"/>
      <w:r w:rsidR="00D76AF8">
        <w:t>collision</w:t>
      </w:r>
      <w:proofErr w:type="gramEnd"/>
      <w:r w:rsidR="00D76AF8">
        <w:t xml:space="preserve"> then synchronous retransmission will </w:t>
      </w:r>
      <w:r w:rsidR="002A157C">
        <w:t xml:space="preserve">most likely </w:t>
      </w:r>
      <w:r w:rsidR="00D76AF8">
        <w:t xml:space="preserve">result in a new collision. </w:t>
      </w:r>
      <w:proofErr w:type="gramStart"/>
      <w:r w:rsidR="00D76AF8">
        <w:t>Therefore</w:t>
      </w:r>
      <w:proofErr w:type="gramEnd"/>
      <w:r w:rsidR="00D76AF8">
        <w:t xml:space="preserve"> retransmission</w:t>
      </w:r>
      <w:r w:rsidR="00EE3DDC">
        <w:t xml:space="preserve"> mechanism</w:t>
      </w:r>
      <w:r w:rsidR="00D76AF8">
        <w:t xml:space="preserve"> should b</w:t>
      </w:r>
      <w:r w:rsidR="00EE3DDC">
        <w:t xml:space="preserve">e designed </w:t>
      </w:r>
      <w:r w:rsidR="00D76AF8">
        <w:t xml:space="preserve">such that the probability of suffering a collision over the grant-free resources is minimized. At the same time, the added waiting time should not contribute considerably to latency. </w:t>
      </w:r>
      <w:r w:rsidR="00554879">
        <w:t xml:space="preserve">Therefore, the retransmission mechanism should </w:t>
      </w:r>
      <w:r w:rsidR="00554879" w:rsidRPr="00061977">
        <w:rPr>
          <w:bCs/>
        </w:rPr>
        <w:t>include methods for reducing the amount of collision o</w:t>
      </w:r>
      <w:r w:rsidR="00554879">
        <w:rPr>
          <w:bCs/>
        </w:rPr>
        <w:t>n</w:t>
      </w:r>
      <w:r w:rsidR="00554879" w:rsidRPr="00061977">
        <w:rPr>
          <w:bCs/>
        </w:rPr>
        <w:t xml:space="preserve"> retransmissions with limited impact on latency</w:t>
      </w:r>
      <w:r w:rsidR="00554879">
        <w:rPr>
          <w:bCs/>
        </w:rPr>
        <w:t>.</w:t>
      </w:r>
    </w:p>
    <w:p w14:paraId="1945DBD5" w14:textId="4A454CA8" w:rsidR="00554879" w:rsidRDefault="00554879" w:rsidP="00554879">
      <w:pPr>
        <w:pStyle w:val="Heading1"/>
        <w:numPr>
          <w:ilvl w:val="0"/>
          <w:numId w:val="0"/>
        </w:numPr>
        <w:spacing w:before="0" w:after="120"/>
        <w:jc w:val="both"/>
        <w:rPr>
          <w:rFonts w:ascii="Times New Roman" w:hAnsi="Times New Roman" w:cs="Times New Roman"/>
          <w:sz w:val="20"/>
        </w:rPr>
      </w:pPr>
      <w:r>
        <w:rPr>
          <w:rFonts w:ascii="Times New Roman" w:hAnsi="Times New Roman" w:cs="Times New Roman"/>
          <w:sz w:val="20"/>
        </w:rPr>
        <w:t xml:space="preserve">Proposal </w:t>
      </w:r>
      <w:r w:rsidR="001D0225">
        <w:rPr>
          <w:rFonts w:ascii="Times New Roman" w:hAnsi="Times New Roman" w:cs="Times New Roman"/>
          <w:sz w:val="20"/>
        </w:rPr>
        <w:t>4</w:t>
      </w:r>
      <w:r w:rsidRPr="00AF4B66">
        <w:rPr>
          <w:rFonts w:ascii="Times New Roman" w:hAnsi="Times New Roman" w:cs="Times New Roman"/>
          <w:sz w:val="20"/>
        </w:rPr>
        <w:t>: The retransmission mechanism should include methods for reducing the amount of retransmission</w:t>
      </w:r>
      <w:r>
        <w:rPr>
          <w:rFonts w:ascii="Times New Roman" w:hAnsi="Times New Roman" w:cs="Times New Roman"/>
          <w:sz w:val="20"/>
        </w:rPr>
        <w:t xml:space="preserve"> </w:t>
      </w:r>
      <w:r w:rsidRPr="00AF4B66">
        <w:rPr>
          <w:rFonts w:ascii="Times New Roman" w:hAnsi="Times New Roman" w:cs="Times New Roman"/>
          <w:sz w:val="20"/>
        </w:rPr>
        <w:t>collision</w:t>
      </w:r>
      <w:r>
        <w:rPr>
          <w:rFonts w:ascii="Times New Roman" w:hAnsi="Times New Roman" w:cs="Times New Roman"/>
          <w:sz w:val="20"/>
        </w:rPr>
        <w:t>s,</w:t>
      </w:r>
      <w:r w:rsidRPr="00AF4B66">
        <w:rPr>
          <w:rFonts w:ascii="Times New Roman" w:hAnsi="Times New Roman" w:cs="Times New Roman"/>
          <w:sz w:val="20"/>
        </w:rPr>
        <w:t xml:space="preserve"> with limited impact on latency. </w:t>
      </w:r>
    </w:p>
    <w:p w14:paraId="1DA7581B" w14:textId="1722D114" w:rsidR="00B43E10" w:rsidRDefault="00B43E10" w:rsidP="00554879">
      <w:pPr>
        <w:pStyle w:val="BodyText"/>
      </w:pPr>
      <w:r>
        <w:t>An action that should be considered in case (b), where only the identity is recovered,</w:t>
      </w:r>
      <w:r w:rsidR="00D76AF8">
        <w:t xml:space="preserve"> is to provide</w:t>
      </w:r>
      <w:r>
        <w:t xml:space="preserve"> the UE with </w:t>
      </w:r>
      <w:r w:rsidRPr="00D76AF8">
        <w:rPr>
          <w:i/>
        </w:rPr>
        <w:t>an exclusive data-slot grant</w:t>
      </w:r>
      <w:r w:rsidR="00D76AF8">
        <w:rPr>
          <w:i/>
        </w:rPr>
        <w:t>.</w:t>
      </w:r>
      <w:r w:rsidR="00D76AF8">
        <w:t xml:space="preserve"> There</w:t>
      </w:r>
      <w:r w:rsidR="002A157C">
        <w:t>in</w:t>
      </w:r>
      <w:r w:rsidR="00D76AF8">
        <w:t xml:space="preserve">, the UE can </w:t>
      </w:r>
      <w:r>
        <w:t>retransmit its packet</w:t>
      </w:r>
      <w:r w:rsidR="00D76AF8">
        <w:t xml:space="preserve"> with higher reliability,</w:t>
      </w:r>
      <w:r>
        <w:t xml:space="preserve"> </w:t>
      </w:r>
      <w:r w:rsidR="00D76AF8">
        <w:t xml:space="preserve">orthogonally </w:t>
      </w:r>
      <w:proofErr w:type="gramStart"/>
      <w:r w:rsidR="00D76AF8">
        <w:t>to</w:t>
      </w:r>
      <w:proofErr w:type="gramEnd"/>
      <w:r w:rsidR="00D76AF8">
        <w:t xml:space="preserve"> other UEs thereby eliminating the event of collision</w:t>
      </w:r>
      <w:r>
        <w:t xml:space="preserve">. This can be very </w:t>
      </w:r>
      <w:r w:rsidR="00520FD5">
        <w:t>useful</w:t>
      </w:r>
      <w:r>
        <w:t xml:space="preserve"> when multiple UEs are using the same grant-free resource. In such scenarios, both </w:t>
      </w:r>
      <w:r w:rsidR="00D76AF8">
        <w:t>the main transmission</w:t>
      </w:r>
      <w:r>
        <w:t xml:space="preserve"> and </w:t>
      </w:r>
      <w:r w:rsidR="00D76AF8">
        <w:t xml:space="preserve">the </w:t>
      </w:r>
      <w:r>
        <w:t xml:space="preserve">retransmission may be plagued by </w:t>
      </w:r>
      <w:r w:rsidR="002A157C">
        <w:t xml:space="preserve">recurring </w:t>
      </w:r>
      <w:r>
        <w:t>collisions</w:t>
      </w:r>
      <w:r w:rsidR="00D76AF8">
        <w:t xml:space="preserve"> which eventually become the bottleneck</w:t>
      </w:r>
      <w:r>
        <w:t>.</w:t>
      </w:r>
    </w:p>
    <w:p w14:paraId="75D03F26" w14:textId="6CB2DBDF" w:rsidR="00D76AF8" w:rsidRDefault="00D76AF8" w:rsidP="00D76AF8">
      <w:pPr>
        <w:pStyle w:val="BodyText"/>
        <w:rPr>
          <w:b/>
        </w:rPr>
      </w:pPr>
      <w:r>
        <w:rPr>
          <w:b/>
        </w:rPr>
        <w:t xml:space="preserve">Proposal </w:t>
      </w:r>
      <w:r w:rsidR="001D0225">
        <w:rPr>
          <w:b/>
        </w:rPr>
        <w:t>5</w:t>
      </w:r>
      <w:r w:rsidRPr="00CE51EE">
        <w:rPr>
          <w:b/>
        </w:rPr>
        <w:t>: The framework for grant-free access should allow for switching to scheduled transmission on dedicated resource</w:t>
      </w:r>
      <w:r>
        <w:rPr>
          <w:b/>
        </w:rPr>
        <w:t>s</w:t>
      </w:r>
      <w:r w:rsidRPr="00CE51EE">
        <w:rPr>
          <w:b/>
        </w:rPr>
        <w:t xml:space="preserve"> for retransmission.</w:t>
      </w:r>
    </w:p>
    <w:p w14:paraId="0AC188FB" w14:textId="69308866" w:rsidR="00554879" w:rsidRDefault="00D76AF8" w:rsidP="00554879">
      <w:pPr>
        <w:pStyle w:val="BodyText"/>
      </w:pPr>
      <w:r>
        <w:t xml:space="preserve">If the </w:t>
      </w:r>
      <w:proofErr w:type="spellStart"/>
      <w:r>
        <w:t>gNB</w:t>
      </w:r>
      <w:proofErr w:type="spellEnd"/>
      <w:r>
        <w:t xml:space="preserve"> </w:t>
      </w:r>
      <w:r w:rsidR="003246F9">
        <w:t xml:space="preserve">observes that the amount of unresolved collisions significantly degrades the </w:t>
      </w:r>
      <w:r w:rsidR="002A157C">
        <w:t xml:space="preserve">system </w:t>
      </w:r>
      <w:proofErr w:type="gramStart"/>
      <w:r w:rsidR="003246F9">
        <w:t>performance</w:t>
      </w:r>
      <w:proofErr w:type="gramEnd"/>
      <w:r w:rsidR="003246F9">
        <w:t xml:space="preserve"> then it should be able to move some UEs directly to dedicated resources.</w:t>
      </w:r>
    </w:p>
    <w:p w14:paraId="3DB0A913" w14:textId="26A0875A" w:rsidR="00554879" w:rsidRPr="00D00732" w:rsidRDefault="00B32B68" w:rsidP="00554879">
      <w:pPr>
        <w:pStyle w:val="BodyText"/>
      </w:pPr>
      <w:r>
        <w:rPr>
          <w:b/>
        </w:rPr>
        <w:t xml:space="preserve">Proposal </w:t>
      </w:r>
      <w:r w:rsidR="001D0225">
        <w:rPr>
          <w:b/>
        </w:rPr>
        <w:t>6</w:t>
      </w:r>
      <w:r>
        <w:rPr>
          <w:b/>
        </w:rPr>
        <w:t>: Moving users to dedicated resources should be supported</w:t>
      </w:r>
      <w:r w:rsidR="003246F9">
        <w:rPr>
          <w:b/>
        </w:rPr>
        <w:t>.</w:t>
      </w:r>
    </w:p>
    <w:p w14:paraId="3D5317F7" w14:textId="77777777" w:rsidR="00554879" w:rsidRDefault="00554879" w:rsidP="00554879">
      <w:pPr>
        <w:pStyle w:val="Heading1"/>
      </w:pPr>
      <w:r>
        <w:t>Proposals</w:t>
      </w:r>
    </w:p>
    <w:p w14:paraId="2F088ECB" w14:textId="77777777" w:rsidR="00574E69" w:rsidRDefault="00574E69" w:rsidP="00574E69">
      <w:pPr>
        <w:pStyle w:val="BodyText"/>
        <w:rPr>
          <w:b/>
        </w:rPr>
      </w:pPr>
      <w:r>
        <w:rPr>
          <w:b/>
        </w:rPr>
        <w:t>Observation</w:t>
      </w:r>
      <w:r w:rsidRPr="002F1A61">
        <w:rPr>
          <w:b/>
        </w:rPr>
        <w:t xml:space="preserve"> 1: The </w:t>
      </w:r>
      <w:r>
        <w:rPr>
          <w:b/>
        </w:rPr>
        <w:t>assignment of</w:t>
      </w:r>
      <w:r w:rsidRPr="002F1A61">
        <w:rPr>
          <w:b/>
        </w:rPr>
        <w:t xml:space="preserve"> </w:t>
      </w:r>
      <w:r>
        <w:rPr>
          <w:b/>
        </w:rPr>
        <w:t>grant-free access units to the UEs has an impact on</w:t>
      </w:r>
      <w:r w:rsidRPr="00E425FC">
        <w:rPr>
          <w:b/>
        </w:rPr>
        <w:t xml:space="preserve"> </w:t>
      </w:r>
      <w:r w:rsidRPr="002F1A61">
        <w:rPr>
          <w:b/>
        </w:rPr>
        <w:t>receiver complexity</w:t>
      </w:r>
      <w:r>
        <w:rPr>
          <w:b/>
        </w:rPr>
        <w:t>, resource utilization and collision probability.</w:t>
      </w:r>
    </w:p>
    <w:p w14:paraId="75F001A5" w14:textId="77777777" w:rsidR="00574E69" w:rsidRPr="002B48F4" w:rsidRDefault="00574E69" w:rsidP="00574E69">
      <w:pPr>
        <w:pStyle w:val="Heading1"/>
        <w:numPr>
          <w:ilvl w:val="0"/>
          <w:numId w:val="0"/>
        </w:numPr>
        <w:spacing w:before="0" w:after="120"/>
        <w:jc w:val="both"/>
        <w:rPr>
          <w:rFonts w:ascii="Times New Roman" w:hAnsi="Times New Roman" w:cs="Times New Roman"/>
          <w:sz w:val="20"/>
        </w:rPr>
      </w:pPr>
      <w:r w:rsidRPr="006E7458">
        <w:rPr>
          <w:rFonts w:ascii="Times New Roman" w:hAnsi="Times New Roman" w:cs="Times New Roman"/>
          <w:sz w:val="20"/>
        </w:rPr>
        <w:t xml:space="preserve">Observation </w:t>
      </w:r>
      <w:r>
        <w:rPr>
          <w:rFonts w:ascii="Times New Roman" w:hAnsi="Times New Roman" w:cs="Times New Roman"/>
          <w:sz w:val="20"/>
        </w:rPr>
        <w:t>2</w:t>
      </w:r>
      <w:r w:rsidRPr="00AF4B66">
        <w:rPr>
          <w:rFonts w:ascii="Times New Roman" w:hAnsi="Times New Roman" w:cs="Times New Roman"/>
          <w:sz w:val="20"/>
        </w:rPr>
        <w:t xml:space="preserve">: </w:t>
      </w:r>
      <w:r>
        <w:rPr>
          <w:rFonts w:ascii="Times New Roman" w:hAnsi="Times New Roman" w:cs="Times New Roman"/>
          <w:sz w:val="20"/>
        </w:rPr>
        <w:t>I</w:t>
      </w:r>
      <w:r w:rsidRPr="00AF4B66">
        <w:rPr>
          <w:rFonts w:ascii="Times New Roman" w:hAnsi="Times New Roman" w:cs="Times New Roman"/>
          <w:sz w:val="20"/>
        </w:rPr>
        <w:t xml:space="preserve">nterference-aware schemes </w:t>
      </w:r>
      <w:r>
        <w:rPr>
          <w:rFonts w:ascii="Times New Roman" w:hAnsi="Times New Roman" w:cs="Times New Roman"/>
          <w:sz w:val="20"/>
        </w:rPr>
        <w:t>could be beneficial for</w:t>
      </w:r>
      <w:r w:rsidRPr="00AF4B66">
        <w:rPr>
          <w:rFonts w:ascii="Times New Roman" w:hAnsi="Times New Roman" w:cs="Times New Roman"/>
          <w:sz w:val="20"/>
        </w:rPr>
        <w:t xml:space="preserve"> </w:t>
      </w:r>
      <w:r>
        <w:rPr>
          <w:rFonts w:ascii="Times New Roman" w:hAnsi="Times New Roman" w:cs="Times New Roman"/>
          <w:sz w:val="20"/>
        </w:rPr>
        <w:t xml:space="preserve">achieving latency reduction with </w:t>
      </w:r>
      <w:r w:rsidRPr="00AF4B66">
        <w:rPr>
          <w:rFonts w:ascii="Times New Roman" w:hAnsi="Times New Roman" w:cs="Times New Roman"/>
          <w:sz w:val="20"/>
        </w:rPr>
        <w:t xml:space="preserve">NR UL grant-free transmission on shared resources. </w:t>
      </w:r>
    </w:p>
    <w:p w14:paraId="182E760E" w14:textId="77777777" w:rsidR="00574E69" w:rsidRPr="004C0619" w:rsidRDefault="00574E69" w:rsidP="00574E69">
      <w:pPr>
        <w:pStyle w:val="BodyText"/>
        <w:rPr>
          <w:b/>
        </w:rPr>
      </w:pPr>
      <w:r w:rsidRPr="0047658D">
        <w:rPr>
          <w:b/>
          <w:bCs/>
        </w:rPr>
        <w:t xml:space="preserve">Observation </w:t>
      </w:r>
      <w:r>
        <w:rPr>
          <w:b/>
          <w:bCs/>
        </w:rPr>
        <w:t>3</w:t>
      </w:r>
      <w:r w:rsidRPr="0047658D">
        <w:rPr>
          <w:b/>
          <w:bCs/>
        </w:rPr>
        <w:t xml:space="preserve">: The </w:t>
      </w:r>
      <w:r>
        <w:rPr>
          <w:b/>
          <w:bCs/>
        </w:rPr>
        <w:t>retransmission</w:t>
      </w:r>
      <w:r w:rsidRPr="0047658D">
        <w:rPr>
          <w:b/>
          <w:bCs/>
        </w:rPr>
        <w:t xml:space="preserve"> mechanism must han</w:t>
      </w:r>
      <w:r>
        <w:rPr>
          <w:b/>
          <w:bCs/>
        </w:rPr>
        <w:t>dle the case when the UE id can</w:t>
      </w:r>
      <w:r w:rsidRPr="0047658D">
        <w:rPr>
          <w:b/>
          <w:bCs/>
        </w:rPr>
        <w:t>not be decoded.</w:t>
      </w:r>
      <w:r>
        <w:rPr>
          <w:b/>
        </w:rPr>
        <w:t xml:space="preserve"> </w:t>
      </w:r>
    </w:p>
    <w:p w14:paraId="313334A6" w14:textId="77777777" w:rsidR="00574E69" w:rsidRDefault="00574E69" w:rsidP="00574E69">
      <w:pPr>
        <w:pStyle w:val="BodyText"/>
        <w:rPr>
          <w:b/>
          <w:bCs/>
        </w:rPr>
      </w:pPr>
      <w:r w:rsidRPr="00AF4B66">
        <w:rPr>
          <w:b/>
          <w:bCs/>
        </w:rPr>
        <w:t xml:space="preserve">Proposal </w:t>
      </w:r>
      <w:r>
        <w:rPr>
          <w:b/>
          <w:bCs/>
        </w:rPr>
        <w:t>1</w:t>
      </w:r>
      <w:r w:rsidRPr="00AF4B66">
        <w:rPr>
          <w:b/>
          <w:bCs/>
        </w:rPr>
        <w:t>: NR should suppo</w:t>
      </w:r>
      <w:r>
        <w:rPr>
          <w:b/>
          <w:bCs/>
        </w:rPr>
        <w:t>rt UL grant-free access with one-to-one UE-to-resource mapping</w:t>
      </w:r>
      <w:r w:rsidRPr="00AF4B66">
        <w:rPr>
          <w:b/>
          <w:bCs/>
        </w:rPr>
        <w:t>.</w:t>
      </w:r>
    </w:p>
    <w:p w14:paraId="14779934" w14:textId="77777777" w:rsidR="00574E69" w:rsidRPr="0068133F" w:rsidRDefault="00574E69" w:rsidP="00574E69">
      <w:pPr>
        <w:pStyle w:val="BodyText"/>
        <w:rPr>
          <w:b/>
          <w:bCs/>
        </w:rPr>
      </w:pPr>
      <w:r w:rsidRPr="0068133F">
        <w:rPr>
          <w:b/>
        </w:rPr>
        <w:t xml:space="preserve">Proposal </w:t>
      </w:r>
      <w:r>
        <w:rPr>
          <w:b/>
        </w:rPr>
        <w:t>2</w:t>
      </w:r>
      <w:r w:rsidRPr="0068133F">
        <w:rPr>
          <w:b/>
        </w:rPr>
        <w:t xml:space="preserve">: NR should support UL grant-free </w:t>
      </w:r>
      <w:r>
        <w:rPr>
          <w:b/>
        </w:rPr>
        <w:t>access</w:t>
      </w:r>
      <w:r w:rsidRPr="0068133F">
        <w:rPr>
          <w:b/>
        </w:rPr>
        <w:t xml:space="preserve"> </w:t>
      </w:r>
      <w:r>
        <w:rPr>
          <w:b/>
        </w:rPr>
        <w:t>with</w:t>
      </w:r>
      <w:r w:rsidRPr="0068133F">
        <w:rPr>
          <w:b/>
        </w:rPr>
        <w:t xml:space="preserve"> </w:t>
      </w:r>
      <w:r>
        <w:rPr>
          <w:b/>
          <w:bCs/>
        </w:rPr>
        <w:t>many-to-one UE-to-resource mapping</w:t>
      </w:r>
      <w:r w:rsidRPr="0068133F">
        <w:rPr>
          <w:b/>
        </w:rPr>
        <w:t xml:space="preserve"> </w:t>
      </w:r>
      <w:r>
        <w:rPr>
          <w:b/>
        </w:rPr>
        <w:t>and interference unaware transmission schemes</w:t>
      </w:r>
      <w:r w:rsidRPr="0068133F">
        <w:rPr>
          <w:b/>
        </w:rPr>
        <w:t>.</w:t>
      </w:r>
    </w:p>
    <w:p w14:paraId="6AA515DB" w14:textId="77777777" w:rsidR="00574E69" w:rsidRDefault="00574E69" w:rsidP="00574E69">
      <w:pPr>
        <w:pStyle w:val="BodyText"/>
        <w:rPr>
          <w:b/>
        </w:rPr>
      </w:pPr>
      <w:r>
        <w:rPr>
          <w:b/>
        </w:rPr>
        <w:t>Proposal 3: In the case of successful UE identification the ACK/NACK should be communicated using DCI.</w:t>
      </w:r>
    </w:p>
    <w:p w14:paraId="4C7DB5A4" w14:textId="43130E09" w:rsidR="003246F9" w:rsidRDefault="003246F9" w:rsidP="008E026E">
      <w:pPr>
        <w:pStyle w:val="Heading1"/>
        <w:numPr>
          <w:ilvl w:val="0"/>
          <w:numId w:val="0"/>
        </w:numPr>
        <w:spacing w:before="0" w:after="120"/>
        <w:jc w:val="both"/>
        <w:rPr>
          <w:rFonts w:ascii="Times New Roman" w:hAnsi="Times New Roman" w:cs="Times New Roman"/>
          <w:sz w:val="20"/>
        </w:rPr>
      </w:pPr>
      <w:r>
        <w:rPr>
          <w:rFonts w:ascii="Times New Roman" w:hAnsi="Times New Roman" w:cs="Times New Roman"/>
          <w:sz w:val="20"/>
        </w:rPr>
        <w:t>Propo</w:t>
      </w:r>
      <w:r w:rsidR="001D0225">
        <w:rPr>
          <w:rFonts w:ascii="Times New Roman" w:hAnsi="Times New Roman" w:cs="Times New Roman"/>
          <w:sz w:val="20"/>
        </w:rPr>
        <w:t>sal 4</w:t>
      </w:r>
      <w:r w:rsidRPr="00AF4B66">
        <w:rPr>
          <w:rFonts w:ascii="Times New Roman" w:hAnsi="Times New Roman" w:cs="Times New Roman"/>
          <w:sz w:val="20"/>
        </w:rPr>
        <w:t>: The retransmission mechanism should include methods for reducing the amount of retransmission</w:t>
      </w:r>
      <w:r>
        <w:rPr>
          <w:rFonts w:ascii="Times New Roman" w:hAnsi="Times New Roman" w:cs="Times New Roman"/>
          <w:sz w:val="20"/>
        </w:rPr>
        <w:t xml:space="preserve"> </w:t>
      </w:r>
      <w:r w:rsidRPr="00AF4B66">
        <w:rPr>
          <w:rFonts w:ascii="Times New Roman" w:hAnsi="Times New Roman" w:cs="Times New Roman"/>
          <w:sz w:val="20"/>
        </w:rPr>
        <w:t>collision</w:t>
      </w:r>
      <w:r>
        <w:rPr>
          <w:rFonts w:ascii="Times New Roman" w:hAnsi="Times New Roman" w:cs="Times New Roman"/>
          <w:sz w:val="20"/>
        </w:rPr>
        <w:t>s,</w:t>
      </w:r>
      <w:r w:rsidRPr="00AF4B66">
        <w:rPr>
          <w:rFonts w:ascii="Times New Roman" w:hAnsi="Times New Roman" w:cs="Times New Roman"/>
          <w:sz w:val="20"/>
        </w:rPr>
        <w:t xml:space="preserve"> with limited impact on latency. </w:t>
      </w:r>
    </w:p>
    <w:p w14:paraId="57299B39" w14:textId="77777777" w:rsidR="00574E69" w:rsidRDefault="00574E69" w:rsidP="00574E69">
      <w:pPr>
        <w:pStyle w:val="BodyText"/>
        <w:rPr>
          <w:b/>
        </w:rPr>
      </w:pPr>
      <w:r>
        <w:rPr>
          <w:b/>
        </w:rPr>
        <w:t>Proposal 5</w:t>
      </w:r>
      <w:r w:rsidRPr="00CE51EE">
        <w:rPr>
          <w:b/>
        </w:rPr>
        <w:t>: The framework for grant-free access should allow for switching to scheduled transmission on dedicated resource</w:t>
      </w:r>
      <w:r>
        <w:rPr>
          <w:b/>
        </w:rPr>
        <w:t>s</w:t>
      </w:r>
      <w:r w:rsidRPr="00CE51EE">
        <w:rPr>
          <w:b/>
        </w:rPr>
        <w:t xml:space="preserve"> for retransmission.</w:t>
      </w:r>
    </w:p>
    <w:p w14:paraId="2F862A8C" w14:textId="77777777" w:rsidR="00574E69" w:rsidRPr="00D00732" w:rsidRDefault="00574E69" w:rsidP="00574E69">
      <w:pPr>
        <w:pStyle w:val="BodyText"/>
      </w:pPr>
      <w:r>
        <w:rPr>
          <w:b/>
        </w:rPr>
        <w:t>Proposal 6: Moving users to dedicated resources should be supported.</w:t>
      </w:r>
    </w:p>
    <w:p w14:paraId="5B34BA01" w14:textId="77777777" w:rsidR="00554879" w:rsidRDefault="00554879" w:rsidP="00554879">
      <w:pPr>
        <w:pStyle w:val="Heading1"/>
      </w:pPr>
      <w:r>
        <w:t>References</w:t>
      </w:r>
    </w:p>
    <w:p w14:paraId="6B8E88E8" w14:textId="15ADCB4F" w:rsidR="006608E2" w:rsidRDefault="005C231A" w:rsidP="006608E2">
      <w:pPr>
        <w:pStyle w:val="BodyText"/>
        <w:numPr>
          <w:ilvl w:val="0"/>
          <w:numId w:val="22"/>
        </w:numPr>
        <w:ind w:left="426" w:hanging="426"/>
      </w:pPr>
      <w:bookmarkStart w:id="6" w:name="_Ref454882163"/>
      <w:bookmarkStart w:id="7" w:name="_Ref465264559"/>
      <w:bookmarkStart w:id="8" w:name="_Ref465265285"/>
      <w:bookmarkStart w:id="9" w:name="_Ref462055265"/>
      <w:bookmarkStart w:id="10" w:name="_Ref462386115"/>
      <w:bookmarkStart w:id="11" w:name="_Ref462055021"/>
      <w:bookmarkEnd w:id="6"/>
      <w:r>
        <w:t>Final Report of 3GPP TSG RAN WG1 #86 v1.0.0 (Gothenburg, Sweden, 22nd – 26th August 2016)</w:t>
      </w:r>
      <w:bookmarkEnd w:id="7"/>
      <w:bookmarkEnd w:id="8"/>
    </w:p>
    <w:p w14:paraId="2E1254B8" w14:textId="77777777" w:rsidR="00554879" w:rsidRPr="00834FBD" w:rsidRDefault="00554879" w:rsidP="00554879">
      <w:pPr>
        <w:pStyle w:val="BodyText"/>
        <w:numPr>
          <w:ilvl w:val="0"/>
          <w:numId w:val="22"/>
        </w:numPr>
        <w:ind w:left="426" w:hanging="426"/>
      </w:pPr>
      <w:bookmarkStart w:id="12" w:name="_Ref465265299"/>
      <w:r w:rsidRPr="00834FBD">
        <w:rPr>
          <w:bCs/>
        </w:rPr>
        <w:t>NGMN 5G White Paper, https://www.ngmn.org/uploads/media/NGMN_5G_White_Paper_V1_0.pdf</w:t>
      </w:r>
      <w:bookmarkEnd w:id="9"/>
      <w:bookmarkEnd w:id="10"/>
      <w:bookmarkEnd w:id="12"/>
    </w:p>
    <w:p w14:paraId="5477F299" w14:textId="77777777" w:rsidR="00554879" w:rsidRDefault="00554879" w:rsidP="00554879">
      <w:pPr>
        <w:pStyle w:val="BodyText"/>
        <w:numPr>
          <w:ilvl w:val="0"/>
          <w:numId w:val="22"/>
        </w:numPr>
        <w:spacing w:after="200" w:line="276" w:lineRule="auto"/>
        <w:ind w:left="426" w:hanging="426"/>
      </w:pPr>
      <w:bookmarkStart w:id="13" w:name="_Ref461806934"/>
      <w:bookmarkStart w:id="14" w:name="_Ref462308895"/>
      <w:bookmarkStart w:id="15" w:name="_Ref462386170"/>
      <w:bookmarkEnd w:id="11"/>
      <w:r w:rsidRPr="00446F9D">
        <w:t>R1-</w:t>
      </w:r>
      <w:r w:rsidRPr="00A93783">
        <w:rPr>
          <w:bCs/>
        </w:rPr>
        <w:t>1610214</w:t>
      </w:r>
      <w:r>
        <w:t xml:space="preserve"> “</w:t>
      </w:r>
      <w:r w:rsidRPr="00190F96">
        <w:t>On Synchronization Requirements for Grant-free MA</w:t>
      </w:r>
      <w:r>
        <w:t>,” Ericsson</w:t>
      </w:r>
      <w:bookmarkEnd w:id="13"/>
      <w:bookmarkEnd w:id="14"/>
      <w:bookmarkEnd w:id="15"/>
    </w:p>
    <w:p w14:paraId="10CC5E1A" w14:textId="77777777" w:rsidR="0000565F" w:rsidRDefault="0000565F" w:rsidP="00DC69CA">
      <w:pPr>
        <w:jc w:val="both"/>
        <w:rPr>
          <w:rFonts w:eastAsia="MS Mincho"/>
        </w:rPr>
      </w:pPr>
    </w:p>
    <w:sectPr w:rsidR="0000565F">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128D0" w14:textId="77777777" w:rsidR="00D15BDE" w:rsidRDefault="00D15BDE">
      <w:r>
        <w:separator/>
      </w:r>
    </w:p>
  </w:endnote>
  <w:endnote w:type="continuationSeparator" w:id="0">
    <w:p w14:paraId="7D348AC1" w14:textId="77777777" w:rsidR="00D15BDE" w:rsidRDefault="00D15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6FE6D" w14:textId="77777777" w:rsidR="00D15BDE" w:rsidRDefault="00D15BDE">
      <w:r>
        <w:separator/>
      </w:r>
    </w:p>
  </w:footnote>
  <w:footnote w:type="continuationSeparator" w:id="0">
    <w:p w14:paraId="31A1DA11" w14:textId="77777777" w:rsidR="00D15BDE" w:rsidRDefault="00D15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242BC" w14:textId="77777777" w:rsidR="001C434E" w:rsidRDefault="001C434E" w:rsidP="00417FD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054"/>
    <w:multiLevelType w:val="hybridMultilevel"/>
    <w:tmpl w:val="70CCC6F8"/>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1E46"/>
    <w:multiLevelType w:val="hybridMultilevel"/>
    <w:tmpl w:val="5948A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480CF8"/>
    <w:multiLevelType w:val="hybridMultilevel"/>
    <w:tmpl w:val="8046783C"/>
    <w:lvl w:ilvl="0" w:tplc="F3D263A0">
      <w:start w:val="1"/>
      <w:numFmt w:val="bullet"/>
      <w:lvlText w:val="•"/>
      <w:lvlJc w:val="left"/>
      <w:pPr>
        <w:tabs>
          <w:tab w:val="num" w:pos="720"/>
        </w:tabs>
        <w:ind w:left="720" w:hanging="360"/>
      </w:pPr>
      <w:rPr>
        <w:rFonts w:ascii="Arial" w:hAnsi="Arial" w:hint="default"/>
      </w:rPr>
    </w:lvl>
    <w:lvl w:ilvl="1" w:tplc="51300E12" w:tentative="1">
      <w:start w:val="1"/>
      <w:numFmt w:val="bullet"/>
      <w:lvlText w:val="•"/>
      <w:lvlJc w:val="left"/>
      <w:pPr>
        <w:tabs>
          <w:tab w:val="num" w:pos="1440"/>
        </w:tabs>
        <w:ind w:left="1440" w:hanging="360"/>
      </w:pPr>
      <w:rPr>
        <w:rFonts w:ascii="Arial" w:hAnsi="Arial" w:hint="default"/>
      </w:rPr>
    </w:lvl>
    <w:lvl w:ilvl="2" w:tplc="4B2EBC80" w:tentative="1">
      <w:start w:val="1"/>
      <w:numFmt w:val="bullet"/>
      <w:lvlText w:val="•"/>
      <w:lvlJc w:val="left"/>
      <w:pPr>
        <w:tabs>
          <w:tab w:val="num" w:pos="2160"/>
        </w:tabs>
        <w:ind w:left="2160" w:hanging="360"/>
      </w:pPr>
      <w:rPr>
        <w:rFonts w:ascii="Arial" w:hAnsi="Arial" w:hint="default"/>
      </w:rPr>
    </w:lvl>
    <w:lvl w:ilvl="3" w:tplc="28CA2AB6" w:tentative="1">
      <w:start w:val="1"/>
      <w:numFmt w:val="bullet"/>
      <w:lvlText w:val="•"/>
      <w:lvlJc w:val="left"/>
      <w:pPr>
        <w:tabs>
          <w:tab w:val="num" w:pos="2880"/>
        </w:tabs>
        <w:ind w:left="2880" w:hanging="360"/>
      </w:pPr>
      <w:rPr>
        <w:rFonts w:ascii="Arial" w:hAnsi="Arial" w:hint="default"/>
      </w:rPr>
    </w:lvl>
    <w:lvl w:ilvl="4" w:tplc="E5FCA6FC" w:tentative="1">
      <w:start w:val="1"/>
      <w:numFmt w:val="bullet"/>
      <w:lvlText w:val="•"/>
      <w:lvlJc w:val="left"/>
      <w:pPr>
        <w:tabs>
          <w:tab w:val="num" w:pos="3600"/>
        </w:tabs>
        <w:ind w:left="3600" w:hanging="360"/>
      </w:pPr>
      <w:rPr>
        <w:rFonts w:ascii="Arial" w:hAnsi="Arial" w:hint="default"/>
      </w:rPr>
    </w:lvl>
    <w:lvl w:ilvl="5" w:tplc="81285CB6" w:tentative="1">
      <w:start w:val="1"/>
      <w:numFmt w:val="bullet"/>
      <w:lvlText w:val="•"/>
      <w:lvlJc w:val="left"/>
      <w:pPr>
        <w:tabs>
          <w:tab w:val="num" w:pos="4320"/>
        </w:tabs>
        <w:ind w:left="4320" w:hanging="360"/>
      </w:pPr>
      <w:rPr>
        <w:rFonts w:ascii="Arial" w:hAnsi="Arial" w:hint="default"/>
      </w:rPr>
    </w:lvl>
    <w:lvl w:ilvl="6" w:tplc="2B24808E" w:tentative="1">
      <w:start w:val="1"/>
      <w:numFmt w:val="bullet"/>
      <w:lvlText w:val="•"/>
      <w:lvlJc w:val="left"/>
      <w:pPr>
        <w:tabs>
          <w:tab w:val="num" w:pos="5040"/>
        </w:tabs>
        <w:ind w:left="5040" w:hanging="360"/>
      </w:pPr>
      <w:rPr>
        <w:rFonts w:ascii="Arial" w:hAnsi="Arial" w:hint="default"/>
      </w:rPr>
    </w:lvl>
    <w:lvl w:ilvl="7" w:tplc="4306A616" w:tentative="1">
      <w:start w:val="1"/>
      <w:numFmt w:val="bullet"/>
      <w:lvlText w:val="•"/>
      <w:lvlJc w:val="left"/>
      <w:pPr>
        <w:tabs>
          <w:tab w:val="num" w:pos="5760"/>
        </w:tabs>
        <w:ind w:left="5760" w:hanging="360"/>
      </w:pPr>
      <w:rPr>
        <w:rFonts w:ascii="Arial" w:hAnsi="Arial" w:hint="default"/>
      </w:rPr>
    </w:lvl>
    <w:lvl w:ilvl="8" w:tplc="0A84B5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831765"/>
    <w:multiLevelType w:val="hybridMultilevel"/>
    <w:tmpl w:val="4E5EBB9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AA1B16"/>
    <w:multiLevelType w:val="hybridMultilevel"/>
    <w:tmpl w:val="AB8493E6"/>
    <w:lvl w:ilvl="0" w:tplc="67C44F20">
      <w:start w:val="1"/>
      <w:numFmt w:val="bullet"/>
      <w:lvlText w:val="–"/>
      <w:lvlJc w:val="left"/>
      <w:pPr>
        <w:tabs>
          <w:tab w:val="num" w:pos="720"/>
        </w:tabs>
        <w:ind w:left="720" w:hanging="360"/>
      </w:pPr>
      <w:rPr>
        <w:rFonts w:ascii="Arial" w:hAnsi="Arial" w:hint="default"/>
      </w:rPr>
    </w:lvl>
    <w:lvl w:ilvl="1" w:tplc="FDB81412">
      <w:start w:val="1"/>
      <w:numFmt w:val="bullet"/>
      <w:lvlText w:val="–"/>
      <w:lvlJc w:val="left"/>
      <w:pPr>
        <w:tabs>
          <w:tab w:val="num" w:pos="1440"/>
        </w:tabs>
        <w:ind w:left="1440" w:hanging="360"/>
      </w:pPr>
      <w:rPr>
        <w:rFonts w:ascii="Arial" w:hAnsi="Arial" w:hint="default"/>
      </w:rPr>
    </w:lvl>
    <w:lvl w:ilvl="2" w:tplc="4DB80E16">
      <w:start w:val="2532"/>
      <w:numFmt w:val="bullet"/>
      <w:lvlText w:val="•"/>
      <w:lvlJc w:val="left"/>
      <w:pPr>
        <w:tabs>
          <w:tab w:val="num" w:pos="2160"/>
        </w:tabs>
        <w:ind w:left="2160" w:hanging="360"/>
      </w:pPr>
      <w:rPr>
        <w:rFonts w:ascii="Arial" w:hAnsi="Arial" w:hint="default"/>
      </w:rPr>
    </w:lvl>
    <w:lvl w:ilvl="3" w:tplc="D460EFEE" w:tentative="1">
      <w:start w:val="1"/>
      <w:numFmt w:val="bullet"/>
      <w:lvlText w:val="–"/>
      <w:lvlJc w:val="left"/>
      <w:pPr>
        <w:tabs>
          <w:tab w:val="num" w:pos="2880"/>
        </w:tabs>
        <w:ind w:left="2880" w:hanging="360"/>
      </w:pPr>
      <w:rPr>
        <w:rFonts w:ascii="Arial" w:hAnsi="Arial" w:hint="default"/>
      </w:rPr>
    </w:lvl>
    <w:lvl w:ilvl="4" w:tplc="24180FF0" w:tentative="1">
      <w:start w:val="1"/>
      <w:numFmt w:val="bullet"/>
      <w:lvlText w:val="–"/>
      <w:lvlJc w:val="left"/>
      <w:pPr>
        <w:tabs>
          <w:tab w:val="num" w:pos="3600"/>
        </w:tabs>
        <w:ind w:left="3600" w:hanging="360"/>
      </w:pPr>
      <w:rPr>
        <w:rFonts w:ascii="Arial" w:hAnsi="Arial" w:hint="default"/>
      </w:rPr>
    </w:lvl>
    <w:lvl w:ilvl="5" w:tplc="CF34B536" w:tentative="1">
      <w:start w:val="1"/>
      <w:numFmt w:val="bullet"/>
      <w:lvlText w:val="–"/>
      <w:lvlJc w:val="left"/>
      <w:pPr>
        <w:tabs>
          <w:tab w:val="num" w:pos="4320"/>
        </w:tabs>
        <w:ind w:left="4320" w:hanging="360"/>
      </w:pPr>
      <w:rPr>
        <w:rFonts w:ascii="Arial" w:hAnsi="Arial" w:hint="default"/>
      </w:rPr>
    </w:lvl>
    <w:lvl w:ilvl="6" w:tplc="80301566" w:tentative="1">
      <w:start w:val="1"/>
      <w:numFmt w:val="bullet"/>
      <w:lvlText w:val="–"/>
      <w:lvlJc w:val="left"/>
      <w:pPr>
        <w:tabs>
          <w:tab w:val="num" w:pos="5040"/>
        </w:tabs>
        <w:ind w:left="5040" w:hanging="360"/>
      </w:pPr>
      <w:rPr>
        <w:rFonts w:ascii="Arial" w:hAnsi="Arial" w:hint="default"/>
      </w:rPr>
    </w:lvl>
    <w:lvl w:ilvl="7" w:tplc="3B06BE5C" w:tentative="1">
      <w:start w:val="1"/>
      <w:numFmt w:val="bullet"/>
      <w:lvlText w:val="–"/>
      <w:lvlJc w:val="left"/>
      <w:pPr>
        <w:tabs>
          <w:tab w:val="num" w:pos="5760"/>
        </w:tabs>
        <w:ind w:left="5760" w:hanging="360"/>
      </w:pPr>
      <w:rPr>
        <w:rFonts w:ascii="Arial" w:hAnsi="Arial" w:hint="default"/>
      </w:rPr>
    </w:lvl>
    <w:lvl w:ilvl="8" w:tplc="836674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C6E63"/>
    <w:multiLevelType w:val="hybridMultilevel"/>
    <w:tmpl w:val="04E8B69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1EB2911"/>
    <w:multiLevelType w:val="hybridMultilevel"/>
    <w:tmpl w:val="A1DAD792"/>
    <w:lvl w:ilvl="0" w:tplc="CF14DAC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8687648"/>
    <w:multiLevelType w:val="hybridMultilevel"/>
    <w:tmpl w:val="D28CE42A"/>
    <w:lvl w:ilvl="0" w:tplc="08090001">
      <w:start w:val="1"/>
      <w:numFmt w:val="bullet"/>
      <w:lvlText w:val=""/>
      <w:lvlJc w:val="left"/>
      <w:pPr>
        <w:ind w:left="720" w:hanging="360"/>
      </w:pPr>
      <w:rPr>
        <w:rFonts w:ascii="Symbol" w:hAnsi="Symbol" w:hint="default"/>
      </w:rPr>
    </w:lvl>
    <w:lvl w:ilvl="1" w:tplc="041D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D97245"/>
    <w:multiLevelType w:val="hybridMultilevel"/>
    <w:tmpl w:val="4E1856CE"/>
    <w:lvl w:ilvl="0" w:tplc="830ABA8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7"/>
  </w:num>
  <w:num w:numId="2">
    <w:abstractNumId w:val="10"/>
  </w:num>
  <w:num w:numId="3">
    <w:abstractNumId w:val="5"/>
  </w:num>
  <w:num w:numId="4">
    <w:abstractNumId w:val="16"/>
  </w:num>
  <w:num w:numId="5">
    <w:abstractNumId w:val="24"/>
  </w:num>
  <w:num w:numId="6">
    <w:abstractNumId w:val="6"/>
  </w:num>
  <w:num w:numId="7">
    <w:abstractNumId w:val="14"/>
  </w:num>
  <w:num w:numId="8">
    <w:abstractNumId w:val="18"/>
  </w:num>
  <w:num w:numId="9">
    <w:abstractNumId w:val="8"/>
  </w:num>
  <w:num w:numId="10">
    <w:abstractNumId w:val="7"/>
  </w:num>
  <w:num w:numId="11">
    <w:abstractNumId w:val="19"/>
  </w:num>
  <w:num w:numId="12">
    <w:abstractNumId w:val="1"/>
  </w:num>
  <w:num w:numId="13">
    <w:abstractNumId w:val="23"/>
  </w:num>
  <w:num w:numId="14">
    <w:abstractNumId w:val="2"/>
  </w:num>
  <w:num w:numId="15">
    <w:abstractNumId w:val="0"/>
  </w:num>
  <w:num w:numId="16">
    <w:abstractNumId w:val="21"/>
  </w:num>
  <w:num w:numId="17">
    <w:abstractNumId w:val="4"/>
  </w:num>
  <w:num w:numId="18">
    <w:abstractNumId w:val="12"/>
  </w:num>
  <w:num w:numId="19">
    <w:abstractNumId w:val="26"/>
  </w:num>
  <w:num w:numId="20">
    <w:abstractNumId w:val="25"/>
  </w:num>
  <w:num w:numId="21">
    <w:abstractNumId w:val="17"/>
  </w:num>
  <w:num w:numId="22">
    <w:abstractNumId w:val="20"/>
  </w:num>
  <w:num w:numId="23">
    <w:abstractNumId w:val="9"/>
  </w:num>
  <w:num w:numId="24">
    <w:abstractNumId w:val="13"/>
  </w:num>
  <w:num w:numId="25">
    <w:abstractNumId w:val="11"/>
  </w:num>
  <w:num w:numId="26">
    <w:abstractNumId w:val="3"/>
  </w:num>
  <w:num w:numId="27">
    <w:abstractNumId w:val="22"/>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565F"/>
    <w:rsid w:val="00024F06"/>
    <w:rsid w:val="00030FA3"/>
    <w:rsid w:val="00031846"/>
    <w:rsid w:val="00031BA9"/>
    <w:rsid w:val="00034C4F"/>
    <w:rsid w:val="00034FE6"/>
    <w:rsid w:val="00041C26"/>
    <w:rsid w:val="000459C4"/>
    <w:rsid w:val="000606B1"/>
    <w:rsid w:val="000A258F"/>
    <w:rsid w:val="000B481E"/>
    <w:rsid w:val="000C6BC2"/>
    <w:rsid w:val="000C6C33"/>
    <w:rsid w:val="000D2BF0"/>
    <w:rsid w:val="000D4C23"/>
    <w:rsid w:val="000D570D"/>
    <w:rsid w:val="000E79A9"/>
    <w:rsid w:val="001013BB"/>
    <w:rsid w:val="00106A42"/>
    <w:rsid w:val="00112E18"/>
    <w:rsid w:val="00116BAA"/>
    <w:rsid w:val="001228EB"/>
    <w:rsid w:val="00141448"/>
    <w:rsid w:val="00165AA0"/>
    <w:rsid w:val="0017439B"/>
    <w:rsid w:val="0018104C"/>
    <w:rsid w:val="00194879"/>
    <w:rsid w:val="00196A44"/>
    <w:rsid w:val="00196EF8"/>
    <w:rsid w:val="001A0AE0"/>
    <w:rsid w:val="001B22C9"/>
    <w:rsid w:val="001C434E"/>
    <w:rsid w:val="001D0225"/>
    <w:rsid w:val="001D60B2"/>
    <w:rsid w:val="001E0412"/>
    <w:rsid w:val="001F1B8F"/>
    <w:rsid w:val="00201AA7"/>
    <w:rsid w:val="0021013F"/>
    <w:rsid w:val="002135C3"/>
    <w:rsid w:val="00223994"/>
    <w:rsid w:val="002269FA"/>
    <w:rsid w:val="00232933"/>
    <w:rsid w:val="002330C7"/>
    <w:rsid w:val="0024689D"/>
    <w:rsid w:val="00246FA2"/>
    <w:rsid w:val="00290099"/>
    <w:rsid w:val="002A157C"/>
    <w:rsid w:val="002B3AD7"/>
    <w:rsid w:val="002C2FAA"/>
    <w:rsid w:val="002C35BB"/>
    <w:rsid w:val="002D538D"/>
    <w:rsid w:val="002E4823"/>
    <w:rsid w:val="002F33BA"/>
    <w:rsid w:val="002F3652"/>
    <w:rsid w:val="00303311"/>
    <w:rsid w:val="003246F9"/>
    <w:rsid w:val="0033569A"/>
    <w:rsid w:val="00337822"/>
    <w:rsid w:val="00360D4F"/>
    <w:rsid w:val="00374751"/>
    <w:rsid w:val="003875A3"/>
    <w:rsid w:val="00391796"/>
    <w:rsid w:val="003954F4"/>
    <w:rsid w:val="003B3B80"/>
    <w:rsid w:val="003B6CED"/>
    <w:rsid w:val="003D339F"/>
    <w:rsid w:val="003F28C7"/>
    <w:rsid w:val="003F3C49"/>
    <w:rsid w:val="003F3D4F"/>
    <w:rsid w:val="00415A6F"/>
    <w:rsid w:val="00417FDA"/>
    <w:rsid w:val="00423EC1"/>
    <w:rsid w:val="00425B64"/>
    <w:rsid w:val="004356A4"/>
    <w:rsid w:val="00453575"/>
    <w:rsid w:val="00454627"/>
    <w:rsid w:val="00487518"/>
    <w:rsid w:val="004A286C"/>
    <w:rsid w:val="004B2ACC"/>
    <w:rsid w:val="004E4935"/>
    <w:rsid w:val="004E7CC7"/>
    <w:rsid w:val="005170C3"/>
    <w:rsid w:val="00517C4E"/>
    <w:rsid w:val="00520FD5"/>
    <w:rsid w:val="00525E8D"/>
    <w:rsid w:val="005406BC"/>
    <w:rsid w:val="00554879"/>
    <w:rsid w:val="00560980"/>
    <w:rsid w:val="00564185"/>
    <w:rsid w:val="00564E67"/>
    <w:rsid w:val="0056764A"/>
    <w:rsid w:val="005702BF"/>
    <w:rsid w:val="00574E69"/>
    <w:rsid w:val="00582543"/>
    <w:rsid w:val="00596134"/>
    <w:rsid w:val="005A453E"/>
    <w:rsid w:val="005A6712"/>
    <w:rsid w:val="005A6C71"/>
    <w:rsid w:val="005B197C"/>
    <w:rsid w:val="005C231A"/>
    <w:rsid w:val="005C2C75"/>
    <w:rsid w:val="005E0095"/>
    <w:rsid w:val="005F10A0"/>
    <w:rsid w:val="005F2DDD"/>
    <w:rsid w:val="005F584A"/>
    <w:rsid w:val="005F5C70"/>
    <w:rsid w:val="00611C14"/>
    <w:rsid w:val="00621DB8"/>
    <w:rsid w:val="00627BB6"/>
    <w:rsid w:val="00630F42"/>
    <w:rsid w:val="006352C9"/>
    <w:rsid w:val="00656E8E"/>
    <w:rsid w:val="006608E2"/>
    <w:rsid w:val="00665A8F"/>
    <w:rsid w:val="00670579"/>
    <w:rsid w:val="00693213"/>
    <w:rsid w:val="00694388"/>
    <w:rsid w:val="006A1812"/>
    <w:rsid w:val="006A191E"/>
    <w:rsid w:val="006A286A"/>
    <w:rsid w:val="006A589B"/>
    <w:rsid w:val="006B7025"/>
    <w:rsid w:val="006E1183"/>
    <w:rsid w:val="006E20DC"/>
    <w:rsid w:val="006F31F9"/>
    <w:rsid w:val="006F4BEB"/>
    <w:rsid w:val="00703574"/>
    <w:rsid w:val="0071194A"/>
    <w:rsid w:val="00733A29"/>
    <w:rsid w:val="00736B4D"/>
    <w:rsid w:val="00736ED8"/>
    <w:rsid w:val="0075109B"/>
    <w:rsid w:val="00771C7C"/>
    <w:rsid w:val="0077275C"/>
    <w:rsid w:val="00777DDF"/>
    <w:rsid w:val="007808F5"/>
    <w:rsid w:val="00787A0F"/>
    <w:rsid w:val="007910F5"/>
    <w:rsid w:val="00793271"/>
    <w:rsid w:val="00794201"/>
    <w:rsid w:val="00797273"/>
    <w:rsid w:val="007B5660"/>
    <w:rsid w:val="007E0F92"/>
    <w:rsid w:val="007F6F9F"/>
    <w:rsid w:val="008022C7"/>
    <w:rsid w:val="00802768"/>
    <w:rsid w:val="00817855"/>
    <w:rsid w:val="008232E6"/>
    <w:rsid w:val="00825439"/>
    <w:rsid w:val="00834DE7"/>
    <w:rsid w:val="008449DB"/>
    <w:rsid w:val="00845E19"/>
    <w:rsid w:val="00855D8C"/>
    <w:rsid w:val="00861D77"/>
    <w:rsid w:val="00865AF6"/>
    <w:rsid w:val="00867424"/>
    <w:rsid w:val="008920FE"/>
    <w:rsid w:val="008A7666"/>
    <w:rsid w:val="008D108C"/>
    <w:rsid w:val="008E026E"/>
    <w:rsid w:val="008E0AF7"/>
    <w:rsid w:val="008F6929"/>
    <w:rsid w:val="00935D22"/>
    <w:rsid w:val="00950399"/>
    <w:rsid w:val="00956235"/>
    <w:rsid w:val="009602E8"/>
    <w:rsid w:val="009723AF"/>
    <w:rsid w:val="00995034"/>
    <w:rsid w:val="009A1A23"/>
    <w:rsid w:val="009A6BB8"/>
    <w:rsid w:val="009B2E48"/>
    <w:rsid w:val="009B50F3"/>
    <w:rsid w:val="009D2223"/>
    <w:rsid w:val="009D5027"/>
    <w:rsid w:val="009E0F67"/>
    <w:rsid w:val="009E53D9"/>
    <w:rsid w:val="009F455E"/>
    <w:rsid w:val="00A032FD"/>
    <w:rsid w:val="00A24A8B"/>
    <w:rsid w:val="00A31B32"/>
    <w:rsid w:val="00A34CE5"/>
    <w:rsid w:val="00A46047"/>
    <w:rsid w:val="00A64B69"/>
    <w:rsid w:val="00A64EE4"/>
    <w:rsid w:val="00A80E09"/>
    <w:rsid w:val="00A81AA1"/>
    <w:rsid w:val="00A87D67"/>
    <w:rsid w:val="00A9611A"/>
    <w:rsid w:val="00A96356"/>
    <w:rsid w:val="00A97BF8"/>
    <w:rsid w:val="00AA07D6"/>
    <w:rsid w:val="00AA13EF"/>
    <w:rsid w:val="00AA141C"/>
    <w:rsid w:val="00AA26CE"/>
    <w:rsid w:val="00AA58FF"/>
    <w:rsid w:val="00AB1193"/>
    <w:rsid w:val="00AB7E53"/>
    <w:rsid w:val="00AC469F"/>
    <w:rsid w:val="00AD1A03"/>
    <w:rsid w:val="00AD363B"/>
    <w:rsid w:val="00AD5266"/>
    <w:rsid w:val="00AF6E65"/>
    <w:rsid w:val="00AF756B"/>
    <w:rsid w:val="00B00C7E"/>
    <w:rsid w:val="00B03A33"/>
    <w:rsid w:val="00B04AA5"/>
    <w:rsid w:val="00B07AC8"/>
    <w:rsid w:val="00B1456B"/>
    <w:rsid w:val="00B32B68"/>
    <w:rsid w:val="00B368D9"/>
    <w:rsid w:val="00B43E10"/>
    <w:rsid w:val="00B73B25"/>
    <w:rsid w:val="00B9206E"/>
    <w:rsid w:val="00B94633"/>
    <w:rsid w:val="00B96CC0"/>
    <w:rsid w:val="00BA2CDD"/>
    <w:rsid w:val="00BB1E20"/>
    <w:rsid w:val="00BC0FA5"/>
    <w:rsid w:val="00BC19B3"/>
    <w:rsid w:val="00BD0CC2"/>
    <w:rsid w:val="00BD11AF"/>
    <w:rsid w:val="00BD7E48"/>
    <w:rsid w:val="00BE3734"/>
    <w:rsid w:val="00BE75C6"/>
    <w:rsid w:val="00BF636D"/>
    <w:rsid w:val="00C10B9B"/>
    <w:rsid w:val="00C1560A"/>
    <w:rsid w:val="00C202E0"/>
    <w:rsid w:val="00C4555C"/>
    <w:rsid w:val="00C61496"/>
    <w:rsid w:val="00C62082"/>
    <w:rsid w:val="00C62AEF"/>
    <w:rsid w:val="00C70E67"/>
    <w:rsid w:val="00C74060"/>
    <w:rsid w:val="00C8485D"/>
    <w:rsid w:val="00C87EB6"/>
    <w:rsid w:val="00C93774"/>
    <w:rsid w:val="00CA1F73"/>
    <w:rsid w:val="00CB6912"/>
    <w:rsid w:val="00CC1703"/>
    <w:rsid w:val="00CC3F74"/>
    <w:rsid w:val="00CD0DD6"/>
    <w:rsid w:val="00CD7E4F"/>
    <w:rsid w:val="00CE28B2"/>
    <w:rsid w:val="00CF649D"/>
    <w:rsid w:val="00CF67BE"/>
    <w:rsid w:val="00D00732"/>
    <w:rsid w:val="00D03057"/>
    <w:rsid w:val="00D03119"/>
    <w:rsid w:val="00D06595"/>
    <w:rsid w:val="00D15BDE"/>
    <w:rsid w:val="00D64311"/>
    <w:rsid w:val="00D661C8"/>
    <w:rsid w:val="00D67D13"/>
    <w:rsid w:val="00D7691A"/>
    <w:rsid w:val="00D76AF8"/>
    <w:rsid w:val="00D87A9B"/>
    <w:rsid w:val="00D95AFD"/>
    <w:rsid w:val="00D9739A"/>
    <w:rsid w:val="00D97DF6"/>
    <w:rsid w:val="00DA0DE4"/>
    <w:rsid w:val="00DA110D"/>
    <w:rsid w:val="00DA41BC"/>
    <w:rsid w:val="00DC2418"/>
    <w:rsid w:val="00DC69CA"/>
    <w:rsid w:val="00DD0E74"/>
    <w:rsid w:val="00DE5A19"/>
    <w:rsid w:val="00DF71F1"/>
    <w:rsid w:val="00E019F3"/>
    <w:rsid w:val="00E101A1"/>
    <w:rsid w:val="00E10682"/>
    <w:rsid w:val="00E26EA8"/>
    <w:rsid w:val="00E30B9C"/>
    <w:rsid w:val="00E318B1"/>
    <w:rsid w:val="00E36084"/>
    <w:rsid w:val="00E41B39"/>
    <w:rsid w:val="00E428C8"/>
    <w:rsid w:val="00E63D88"/>
    <w:rsid w:val="00E71905"/>
    <w:rsid w:val="00E7495D"/>
    <w:rsid w:val="00E77B00"/>
    <w:rsid w:val="00E956F8"/>
    <w:rsid w:val="00E962A5"/>
    <w:rsid w:val="00EA7203"/>
    <w:rsid w:val="00ED2337"/>
    <w:rsid w:val="00ED62CE"/>
    <w:rsid w:val="00EE3DDC"/>
    <w:rsid w:val="00EE4106"/>
    <w:rsid w:val="00EF0632"/>
    <w:rsid w:val="00F06B45"/>
    <w:rsid w:val="00F22476"/>
    <w:rsid w:val="00F403B5"/>
    <w:rsid w:val="00F73F55"/>
    <w:rsid w:val="00F92A9C"/>
    <w:rsid w:val="00FA2804"/>
    <w:rsid w:val="00FC0E6B"/>
    <w:rsid w:val="00FD1681"/>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2427D"/>
  <w15:docId w15:val="{5D3F0FDB-A656-4919-B456-6F7A294AB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C74060"/>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C74060"/>
    <w:rPr>
      <w:rFonts w:ascii="Times New Roman" w:eastAsia="SimSun" w:hAnsi="Times New Roman" w:cs="Times New Roman"/>
      <w:sz w:val="20"/>
      <w:szCs w:val="20"/>
      <w:lang w:val="en-GB" w:eastAsia="ja-JP"/>
    </w:rPr>
  </w:style>
  <w:style w:type="paragraph" w:customStyle="1" w:styleId="Comments">
    <w:name w:val="Comments"/>
    <w:basedOn w:val="Normal"/>
    <w:link w:val="CommentsChar"/>
    <w:qFormat/>
    <w:rsid w:val="00C74060"/>
    <w:pPr>
      <w:spacing w:before="40"/>
    </w:pPr>
    <w:rPr>
      <w:rFonts w:ascii="Arial" w:eastAsia="MS Mincho" w:hAnsi="Arial"/>
      <w:i/>
      <w:sz w:val="18"/>
      <w:lang w:val="en-GB" w:eastAsia="en-GB"/>
    </w:rPr>
  </w:style>
  <w:style w:type="character" w:customStyle="1" w:styleId="CommentsChar">
    <w:name w:val="Comments Char"/>
    <w:link w:val="Comments"/>
    <w:rsid w:val="00C74060"/>
    <w:rPr>
      <w:rFonts w:ascii="Arial" w:eastAsia="MS Mincho" w:hAnsi="Arial" w:cs="Times New Roman"/>
      <w:i/>
      <w:sz w:val="18"/>
      <w:szCs w:val="24"/>
      <w:lang w:val="en-GB" w:eastAsia="en-GB"/>
    </w:rPr>
  </w:style>
  <w:style w:type="paragraph" w:styleId="NormalWeb">
    <w:name w:val="Normal (Web)"/>
    <w:basedOn w:val="Normal"/>
    <w:uiPriority w:val="99"/>
    <w:unhideWhenUsed/>
    <w:rsid w:val="0000565F"/>
    <w:pPr>
      <w:spacing w:before="100" w:beforeAutospacing="1" w:after="100" w:afterAutospacing="1"/>
    </w:pPr>
    <w:rPr>
      <w:rFonts w:eastAsiaTheme="minorHAnsi"/>
      <w:sz w:val="24"/>
    </w:rPr>
  </w:style>
  <w:style w:type="paragraph" w:styleId="Caption">
    <w:name w:val="caption"/>
    <w:basedOn w:val="Normal"/>
    <w:next w:val="Normal"/>
    <w:uiPriority w:val="35"/>
    <w:unhideWhenUsed/>
    <w:qFormat/>
    <w:rsid w:val="00554879"/>
    <w:pPr>
      <w:spacing w:after="200"/>
    </w:pPr>
    <w:rPr>
      <w:i/>
      <w:iCs/>
      <w:color w:val="1F497D" w:themeColor="text2"/>
      <w:sz w:val="18"/>
      <w:szCs w:val="18"/>
    </w:rPr>
  </w:style>
  <w:style w:type="character" w:styleId="Hyperlink">
    <w:name w:val="Hyperlink"/>
    <w:basedOn w:val="DefaultParagraphFont"/>
    <w:uiPriority w:val="99"/>
    <w:rsid w:val="00A64E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301234257">
      <w:bodyDiv w:val="1"/>
      <w:marLeft w:val="0"/>
      <w:marRight w:val="0"/>
      <w:marTop w:val="0"/>
      <w:marBottom w:val="0"/>
      <w:divBdr>
        <w:top w:val="none" w:sz="0" w:space="0" w:color="auto"/>
        <w:left w:val="none" w:sz="0" w:space="0" w:color="auto"/>
        <w:bottom w:val="none" w:sz="0" w:space="0" w:color="auto"/>
        <w:right w:val="none" w:sz="0" w:space="0" w:color="auto"/>
      </w:divBdr>
    </w:div>
    <w:div w:id="510686885">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78756952">
      <w:bodyDiv w:val="1"/>
      <w:marLeft w:val="0"/>
      <w:marRight w:val="0"/>
      <w:marTop w:val="0"/>
      <w:marBottom w:val="0"/>
      <w:divBdr>
        <w:top w:val="none" w:sz="0" w:space="0" w:color="auto"/>
        <w:left w:val="none" w:sz="0" w:space="0" w:color="auto"/>
        <w:bottom w:val="none" w:sz="0" w:space="0" w:color="auto"/>
        <w:right w:val="none" w:sz="0" w:space="0" w:color="auto"/>
      </w:divBdr>
    </w:div>
    <w:div w:id="615873335">
      <w:bodyDiv w:val="1"/>
      <w:marLeft w:val="0"/>
      <w:marRight w:val="0"/>
      <w:marTop w:val="0"/>
      <w:marBottom w:val="0"/>
      <w:divBdr>
        <w:top w:val="none" w:sz="0" w:space="0" w:color="auto"/>
        <w:left w:val="none" w:sz="0" w:space="0" w:color="auto"/>
        <w:bottom w:val="none" w:sz="0" w:space="0" w:color="auto"/>
        <w:right w:val="none" w:sz="0" w:space="0" w:color="auto"/>
      </w:divBdr>
      <w:divsChild>
        <w:div w:id="147593565">
          <w:marLeft w:val="1166"/>
          <w:marRight w:val="0"/>
          <w:marTop w:val="96"/>
          <w:marBottom w:val="0"/>
          <w:divBdr>
            <w:top w:val="none" w:sz="0" w:space="0" w:color="auto"/>
            <w:left w:val="none" w:sz="0" w:space="0" w:color="auto"/>
            <w:bottom w:val="none" w:sz="0" w:space="0" w:color="auto"/>
            <w:right w:val="none" w:sz="0" w:space="0" w:color="auto"/>
          </w:divBdr>
        </w:div>
        <w:div w:id="1186333702">
          <w:marLeft w:val="1800"/>
          <w:marRight w:val="0"/>
          <w:marTop w:val="77"/>
          <w:marBottom w:val="0"/>
          <w:divBdr>
            <w:top w:val="none" w:sz="0" w:space="0" w:color="auto"/>
            <w:left w:val="none" w:sz="0" w:space="0" w:color="auto"/>
            <w:bottom w:val="none" w:sz="0" w:space="0" w:color="auto"/>
            <w:right w:val="none" w:sz="0" w:space="0" w:color="auto"/>
          </w:divBdr>
        </w:div>
        <w:div w:id="1171946484">
          <w:marLeft w:val="1166"/>
          <w:marRight w:val="0"/>
          <w:marTop w:val="96"/>
          <w:marBottom w:val="0"/>
          <w:divBdr>
            <w:top w:val="none" w:sz="0" w:space="0" w:color="auto"/>
            <w:left w:val="none" w:sz="0" w:space="0" w:color="auto"/>
            <w:bottom w:val="none" w:sz="0" w:space="0" w:color="auto"/>
            <w:right w:val="none" w:sz="0" w:space="0" w:color="auto"/>
          </w:divBdr>
        </w:div>
        <w:div w:id="602998038">
          <w:marLeft w:val="1800"/>
          <w:marRight w:val="0"/>
          <w:marTop w:val="77"/>
          <w:marBottom w:val="0"/>
          <w:divBdr>
            <w:top w:val="none" w:sz="0" w:space="0" w:color="auto"/>
            <w:left w:val="none" w:sz="0" w:space="0" w:color="auto"/>
            <w:bottom w:val="none" w:sz="0" w:space="0" w:color="auto"/>
            <w:right w:val="none" w:sz="0" w:space="0" w:color="auto"/>
          </w:divBdr>
        </w:div>
        <w:div w:id="1394432243">
          <w:marLeft w:val="1166"/>
          <w:marRight w:val="0"/>
          <w:marTop w:val="96"/>
          <w:marBottom w:val="0"/>
          <w:divBdr>
            <w:top w:val="none" w:sz="0" w:space="0" w:color="auto"/>
            <w:left w:val="none" w:sz="0" w:space="0" w:color="auto"/>
            <w:bottom w:val="none" w:sz="0" w:space="0" w:color="auto"/>
            <w:right w:val="none" w:sz="0" w:space="0" w:color="auto"/>
          </w:divBdr>
        </w:div>
        <w:div w:id="1145122797">
          <w:marLeft w:val="1800"/>
          <w:marRight w:val="0"/>
          <w:marTop w:val="77"/>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584993645">
      <w:bodyDiv w:val="1"/>
      <w:marLeft w:val="0"/>
      <w:marRight w:val="0"/>
      <w:marTop w:val="0"/>
      <w:marBottom w:val="0"/>
      <w:divBdr>
        <w:top w:val="none" w:sz="0" w:space="0" w:color="auto"/>
        <w:left w:val="none" w:sz="0" w:space="0" w:color="auto"/>
        <w:bottom w:val="none" w:sz="0" w:space="0" w:color="auto"/>
        <w:right w:val="none" w:sz="0" w:space="0" w:color="auto"/>
      </w:divBdr>
      <w:divsChild>
        <w:div w:id="1231697970">
          <w:marLeft w:val="360"/>
          <w:marRight w:val="0"/>
          <w:marTop w:val="200"/>
          <w:marBottom w:val="0"/>
          <w:divBdr>
            <w:top w:val="none" w:sz="0" w:space="0" w:color="auto"/>
            <w:left w:val="none" w:sz="0" w:space="0" w:color="auto"/>
            <w:bottom w:val="none" w:sz="0" w:space="0" w:color="auto"/>
            <w:right w:val="none" w:sz="0" w:space="0" w:color="auto"/>
          </w:divBdr>
        </w:div>
      </w:divsChild>
    </w:div>
    <w:div w:id="17850722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203680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SAQRZK7RPU5V-1-2955</_dlc_DocId>
    <_dlc_DocIdUrl xmlns="08b2df90-05d3-4030-90d4-c9feeb4a1cd9">
      <Url>https://ericoll.internal.ericsson.com/sites/NSA/_layouts/DocIdRedir.aspx?ID=SAQRZK7RPU5V-1-2955</Url>
      <Description>SAQRZK7RPU5V-1-2955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DA8E2-3CC6-4CE3-A39E-5EB8FBC9A0F3}">
  <ds:schemaRefs>
    <ds:schemaRef ds:uri="Microsoft.SharePoint.Taxonomy.ContentTypeSync"/>
  </ds:schemaRefs>
</ds:datastoreItem>
</file>

<file path=customXml/itemProps2.xml><?xml version="1.0" encoding="utf-8"?>
<ds:datastoreItem xmlns:ds="http://schemas.openxmlformats.org/officeDocument/2006/customXml" ds:itemID="{BB4C1AE6-DEF5-49DA-AC02-CC52307D5CD9}">
  <ds:schemaRefs>
    <ds:schemaRef ds:uri="http://schemas.microsoft.com/sharepoint/events"/>
  </ds:schemaRefs>
</ds:datastoreItem>
</file>

<file path=customXml/itemProps3.xml><?xml version="1.0" encoding="utf-8"?>
<ds:datastoreItem xmlns:ds="http://schemas.openxmlformats.org/officeDocument/2006/customXml" ds:itemID="{91B8D0C3-9599-420B-904A-A497BC2393ED}">
  <ds:schemaRefs>
    <ds:schemaRef ds:uri="http://schemas.microsoft.com/sharepoint/v3/contenttype/forms"/>
  </ds:schemaRefs>
</ds:datastoreItem>
</file>

<file path=customXml/itemProps4.xml><?xml version="1.0" encoding="utf-8"?>
<ds:datastoreItem xmlns:ds="http://schemas.openxmlformats.org/officeDocument/2006/customXml" ds:itemID="{0BDDA7A6-9CAA-4419-8C2F-60B8B6629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504818-60B0-4E3D-8B9D-DB6D55442EE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AB8DDC68-ADF1-4CF1-8CB5-174A55E22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4</Pages>
  <Words>2254</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keywords/>
  <cp:lastModifiedBy>Daniel Larsson N</cp:lastModifiedBy>
  <cp:revision>35</cp:revision>
  <cp:lastPrinted>2016-05-04T08:07:00Z</cp:lastPrinted>
  <dcterms:created xsi:type="dcterms:W3CDTF">2016-10-20T07:36:00Z</dcterms:created>
  <dcterms:modified xsi:type="dcterms:W3CDTF">2016-11-04T15:46:00Z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d4c5fa5e-2f12-4a48-92fd-1a73acacb8e9</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