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AAB28" w14:textId="389D8831" w:rsidR="00CA26CE" w:rsidRPr="00CA26CE" w:rsidRDefault="00A45F77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TSG-RAN WG1 #87</w:t>
      </w:r>
      <w:r w:rsidR="00CA26CE" w:rsidRP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0D4FA1" w:rsidRPr="000D4FA1">
        <w:rPr>
          <w:bCs/>
          <w:noProof w:val="0"/>
          <w:sz w:val="24"/>
          <w:lang w:val="en-GB"/>
        </w:rPr>
        <w:t>R1-1612806</w:t>
      </w:r>
    </w:p>
    <w:p w14:paraId="4E10A334" w14:textId="4E34C4A3" w:rsidR="00AA65C9" w:rsidRDefault="00A45F77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USA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November</w:t>
      </w:r>
      <w:r w:rsidRPr="00CA26CE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14-18</w:t>
      </w:r>
      <w:r w:rsidRPr="00CA26CE">
        <w:rPr>
          <w:bCs/>
          <w:noProof w:val="0"/>
          <w:sz w:val="24"/>
          <w:lang w:val="en-GB"/>
        </w:rPr>
        <w:t>, 2016</w:t>
      </w:r>
    </w:p>
    <w:p w14:paraId="6CC4E3B9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37B36A65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A45F77">
        <w:rPr>
          <w:rFonts w:cs="Arial"/>
          <w:b/>
          <w:bCs/>
          <w:sz w:val="24"/>
        </w:rPr>
        <w:t>7</w:t>
      </w:r>
      <w:r w:rsidR="00CA26CE" w:rsidRPr="00311783">
        <w:rPr>
          <w:rFonts w:cs="Arial"/>
          <w:b/>
          <w:bCs/>
          <w:sz w:val="24"/>
        </w:rPr>
        <w:t>.</w:t>
      </w:r>
      <w:r w:rsidR="00311783" w:rsidRPr="00311783">
        <w:rPr>
          <w:rFonts w:cs="Arial"/>
          <w:b/>
          <w:bCs/>
          <w:sz w:val="24"/>
        </w:rPr>
        <w:t>1.</w:t>
      </w:r>
      <w:r w:rsidR="007A477D">
        <w:rPr>
          <w:rFonts w:cs="Arial"/>
          <w:b/>
          <w:bCs/>
          <w:sz w:val="24"/>
        </w:rPr>
        <w:t>2.</w:t>
      </w:r>
      <w:r w:rsidR="00A45F77">
        <w:rPr>
          <w:rFonts w:cs="Arial"/>
          <w:b/>
          <w:bCs/>
          <w:sz w:val="24"/>
        </w:rPr>
        <w:t>1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0EFCEADB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93288">
        <w:rPr>
          <w:rFonts w:ascii="Arial" w:hAnsi="Arial" w:cs="Arial"/>
          <w:b/>
          <w:bCs/>
          <w:sz w:val="24"/>
        </w:rPr>
        <w:t>Providing Synchronization in CA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C7B9319" w14:textId="77777777" w:rsidR="0033622F" w:rsidRDefault="0033622F" w:rsidP="0033622F">
      <w:pPr>
        <w:spacing w:before="120" w:after="120"/>
        <w:jc w:val="both"/>
      </w:pPr>
      <w:r>
        <w:t>Following agreements were made related to CA and Dual Connectivity for NR (in RAN1#86bis):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622F" w14:paraId="69813479" w14:textId="77777777" w:rsidTr="00957309">
        <w:tc>
          <w:tcPr>
            <w:tcW w:w="9631" w:type="dxa"/>
          </w:tcPr>
          <w:p w14:paraId="6BC6EDDC" w14:textId="77777777" w:rsidR="0033622F" w:rsidRDefault="0033622F" w:rsidP="00957309">
            <w:pPr>
              <w:spacing w:before="120" w:after="120"/>
              <w:jc w:val="both"/>
            </w:pPr>
            <w:r>
              <w:t>Agreements</w:t>
            </w:r>
          </w:p>
          <w:p w14:paraId="49A01193" w14:textId="77777777" w:rsidR="0033622F" w:rsidRPr="00017AE4" w:rsidRDefault="0033622F" w:rsidP="0033622F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</w:rPr>
            </w:pPr>
            <w:r w:rsidRPr="00017AE4">
              <w:rPr>
                <w:rFonts w:eastAsia="MS Mincho"/>
              </w:rPr>
              <w:t>Study at least the following aspects for NR carrier aggregation / dual connectivity</w:t>
            </w:r>
          </w:p>
          <w:p w14:paraId="1CCF0999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Intra-TRP and inter-TRP with ideal and non-ideal backhaul scenarios</w:t>
            </w:r>
          </w:p>
          <w:p w14:paraId="4DAFFA37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Number of carriers</w:t>
            </w:r>
          </w:p>
          <w:p w14:paraId="731EDC54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The need for certain channels, e.g. downlink control channel, uplink control channel or PBCH for some carriers</w:t>
            </w:r>
          </w:p>
          <w:p w14:paraId="01F7863E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Cross-carrier scheduling and joint UCI feedback, e.g. HARQ-ACK feedback</w:t>
            </w:r>
          </w:p>
          <w:p w14:paraId="0FE5B897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TB mapping, i.e., per carrier or across carriers</w:t>
            </w:r>
          </w:p>
          <w:p w14:paraId="7AE737F2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Carrier on/off switching mechanism</w:t>
            </w:r>
          </w:p>
          <w:p w14:paraId="135A2D83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Power control</w:t>
            </w:r>
          </w:p>
          <w:p w14:paraId="0590B1F7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Different numerologies between different/same carrier(s) for a given UE</w:t>
            </w:r>
          </w:p>
          <w:p w14:paraId="1B080D20" w14:textId="77777777" w:rsidR="0033622F" w:rsidRPr="00017AE4" w:rsidRDefault="0033622F" w:rsidP="0033622F">
            <w:pPr>
              <w:widowControl w:val="0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FFS: whether/if different numerologies are multiplexed on one carrier for one UE is called carrier aggregation / dual connectivity</w:t>
            </w:r>
          </w:p>
          <w:p w14:paraId="1EEC478A" w14:textId="77777777" w:rsidR="0033622F" w:rsidRDefault="0033622F" w:rsidP="00957309">
            <w:pPr>
              <w:spacing w:before="120" w:after="120"/>
              <w:jc w:val="both"/>
            </w:pPr>
          </w:p>
        </w:tc>
      </w:tr>
    </w:tbl>
    <w:p w14:paraId="30AB7DD4" w14:textId="77777777" w:rsidR="0033622F" w:rsidRDefault="0033622F" w:rsidP="00E13EE4">
      <w:pPr>
        <w:spacing w:after="120"/>
        <w:jc w:val="both"/>
        <w:rPr>
          <w:bCs/>
        </w:rPr>
      </w:pPr>
    </w:p>
    <w:p w14:paraId="3E06F739" w14:textId="00DEAD24" w:rsidR="0033622F" w:rsidRDefault="00957309" w:rsidP="00E13EE4">
      <w:pPr>
        <w:spacing w:after="120"/>
        <w:jc w:val="both"/>
        <w:rPr>
          <w:bCs/>
        </w:rPr>
      </w:pPr>
      <w:r>
        <w:rPr>
          <w:bCs/>
        </w:rPr>
        <w:t xml:space="preserve">In this contribution we address the need of </w:t>
      </w:r>
      <w:r w:rsidR="00092F73">
        <w:rPr>
          <w:bCs/>
        </w:rPr>
        <w:t>transmitting s</w:t>
      </w:r>
      <w:r w:rsidR="00857386">
        <w:rPr>
          <w:bCs/>
        </w:rPr>
        <w:t xml:space="preserve">ynchronization </w:t>
      </w:r>
      <w:r w:rsidR="00092F73">
        <w:rPr>
          <w:bCs/>
        </w:rPr>
        <w:t xml:space="preserve">signals </w:t>
      </w:r>
      <w:r w:rsidR="00857386">
        <w:rPr>
          <w:bCs/>
        </w:rPr>
        <w:t xml:space="preserve">and PBCH </w:t>
      </w:r>
      <w:r>
        <w:rPr>
          <w:bCs/>
        </w:rPr>
        <w:t>in CA operation</w:t>
      </w:r>
      <w:r w:rsidR="00092F73">
        <w:rPr>
          <w:bCs/>
        </w:rPr>
        <w:t xml:space="preserve"> from all configured CC</w:t>
      </w:r>
      <w:r>
        <w:rPr>
          <w:bCs/>
        </w:rPr>
        <w:t>.</w:t>
      </w:r>
    </w:p>
    <w:p w14:paraId="1DB60EA8" w14:textId="14F97E9E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A20653">
        <w:t>Discussion</w:t>
      </w:r>
    </w:p>
    <w:p w14:paraId="3F0D1D55" w14:textId="49D90EFB" w:rsidR="00D94DBA" w:rsidRPr="00D94DBA" w:rsidRDefault="00BE5584" w:rsidP="00D94DBA">
      <w:r>
        <w:t>When considering carrier aggregation and dual connectivity multiple deployment aspects can be considered. One</w:t>
      </w:r>
      <w:r w:rsidR="001A6EA1">
        <w:t xml:space="preserve"> of the</w:t>
      </w:r>
      <w:r>
        <w:t xml:space="preserve"> most relevant deployment scenario is where multiple spectrum regions F1 and F2</w:t>
      </w:r>
      <w:r w:rsidR="00A452CC">
        <w:t xml:space="preserve"> or more carriers</w:t>
      </w:r>
      <w:r>
        <w:t xml:space="preserve"> are transmitted </w:t>
      </w:r>
      <w:r w:rsidR="0067083F">
        <w:t>same</w:t>
      </w:r>
      <w:r>
        <w:t xml:space="preserve"> NR gNB as shown in </w:t>
      </w:r>
      <w:r w:rsidR="00A452CC">
        <w:fldChar w:fldCharType="begin"/>
      </w:r>
      <w:r w:rsidR="00A452CC">
        <w:instrText xml:space="preserve"> REF _Ref465771367 \h </w:instrText>
      </w:r>
      <w:r w:rsidR="00A452CC">
        <w:fldChar w:fldCharType="separate"/>
      </w:r>
      <w:r w:rsidR="00A452CC">
        <w:t xml:space="preserve">Figure </w:t>
      </w:r>
      <w:r w:rsidR="00A452CC">
        <w:rPr>
          <w:noProof/>
        </w:rPr>
        <w:t>1</w:t>
      </w:r>
      <w:r w:rsidR="00A452CC">
        <w:fldChar w:fldCharType="end"/>
      </w:r>
      <w:r w:rsidR="001A6EA1">
        <w:t xml:space="preserve"> with very similar or same coverage</w:t>
      </w:r>
      <w:r w:rsidR="00A452CC">
        <w:t xml:space="preserve">. </w:t>
      </w:r>
    </w:p>
    <w:p w14:paraId="284456A0" w14:textId="20AA32C6" w:rsidR="00957309" w:rsidRDefault="00957309" w:rsidP="00BE5584">
      <w:pPr>
        <w:pStyle w:val="Heading2"/>
        <w:jc w:val="center"/>
      </w:pPr>
    </w:p>
    <w:p w14:paraId="7568FFF6" w14:textId="15029F69" w:rsidR="00524B70" w:rsidRPr="00524B70" w:rsidRDefault="00524B70" w:rsidP="00524B70">
      <w:pPr>
        <w:jc w:val="center"/>
      </w:pPr>
      <w:r w:rsidRPr="00524B70">
        <w:drawing>
          <wp:inline distT="0" distB="0" distL="0" distR="0" wp14:anchorId="3FA7778D" wp14:editId="4A64B864">
            <wp:extent cx="2562225" cy="895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881B19F" w14:textId="3595B850" w:rsidR="00BE5584" w:rsidRDefault="00BE5584" w:rsidP="00FF72E9">
      <w:pPr>
        <w:pStyle w:val="Caption"/>
        <w:jc w:val="center"/>
        <w:rPr>
          <w:lang w:val="en-US"/>
        </w:rPr>
      </w:pPr>
      <w:bookmarkStart w:id="1" w:name="_Ref465771367"/>
      <w:r>
        <w:t xml:space="preserve">Figure </w:t>
      </w:r>
      <w:r w:rsidR="002A6677">
        <w:fldChar w:fldCharType="begin"/>
      </w:r>
      <w:r w:rsidR="002A6677">
        <w:instrText xml:space="preserve"> SEQ Figure \* ARABIC </w:instrText>
      </w:r>
      <w:r w:rsidR="002A6677">
        <w:fldChar w:fldCharType="separate"/>
      </w:r>
      <w:r w:rsidR="00C75A40">
        <w:rPr>
          <w:noProof/>
        </w:rPr>
        <w:t>1</w:t>
      </w:r>
      <w:r w:rsidR="002A6677">
        <w:rPr>
          <w:noProof/>
        </w:rPr>
        <w:fldChar w:fldCharType="end"/>
      </w:r>
      <w:bookmarkEnd w:id="1"/>
      <w:r w:rsidRPr="00FF72E9">
        <w:rPr>
          <w:lang w:val="en-US"/>
        </w:rPr>
        <w:t xml:space="preserve">: </w:t>
      </w:r>
      <w:r w:rsidR="00A452CC" w:rsidRPr="00FF72E9">
        <w:rPr>
          <w:lang w:val="en-US"/>
        </w:rPr>
        <w:t xml:space="preserve">Multiple spectrum regions transmitted from same </w:t>
      </w:r>
      <w:r w:rsidR="00BB0663">
        <w:rPr>
          <w:lang w:val="en-US"/>
        </w:rPr>
        <w:t>g</w:t>
      </w:r>
      <w:r w:rsidR="00A452CC" w:rsidRPr="00FF72E9">
        <w:rPr>
          <w:lang w:val="en-US"/>
        </w:rPr>
        <w:t>NB.</w:t>
      </w:r>
    </w:p>
    <w:p w14:paraId="5C8502AB" w14:textId="52AE7BE8" w:rsidR="00A452CC" w:rsidRDefault="001A6EA1" w:rsidP="00293303">
      <w:r>
        <w:t>This deployment scenario can be due to at least following reasons:</w:t>
      </w:r>
    </w:p>
    <w:p w14:paraId="1E0B0E26" w14:textId="69E59532" w:rsidR="001A6EA1" w:rsidRDefault="001A6EA1" w:rsidP="001A6EA1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Pr="001A6EA1">
        <w:rPr>
          <w:lang w:val="en-US"/>
        </w:rPr>
        <w:t>On lower carrier frequency band</w:t>
      </w:r>
      <w:r w:rsidR="0067083F">
        <w:rPr>
          <w:lang w:val="en-US"/>
        </w:rPr>
        <w:t>s</w:t>
      </w:r>
      <w:r w:rsidRPr="001A6EA1">
        <w:rPr>
          <w:lang w:val="en-US"/>
        </w:rPr>
        <w:t xml:space="preserve"> (&lt;6GHz)</w:t>
      </w:r>
      <w:r w:rsidR="0067083F">
        <w:rPr>
          <w:lang w:val="en-US"/>
        </w:rPr>
        <w:t>,</w:t>
      </w:r>
      <w:r w:rsidRPr="001A6EA1">
        <w:rPr>
          <w:lang w:val="en-US"/>
        </w:rPr>
        <w:t xml:space="preserve"> the available spectrum is large than supported single carrier bandwidth, i.e. due to delay spread</w:t>
      </w:r>
      <w:r w:rsidR="0067083F">
        <w:rPr>
          <w:lang w:val="en-US"/>
        </w:rPr>
        <w:t>s in environment,</w:t>
      </w:r>
      <w:r w:rsidRPr="001A6EA1">
        <w:rPr>
          <w:lang w:val="en-US"/>
        </w:rPr>
        <w:t xml:space="preserve"> the deployment </w:t>
      </w:r>
      <w:r w:rsidR="0067083F">
        <w:rPr>
          <w:lang w:val="en-US"/>
        </w:rPr>
        <w:t>prefers to utilize 15 k</w:t>
      </w:r>
      <w:r w:rsidRPr="001A6EA1">
        <w:rPr>
          <w:lang w:val="en-US"/>
        </w:rPr>
        <w:t>Hz SCS</w:t>
      </w:r>
      <w:r w:rsidR="0067083F">
        <w:rPr>
          <w:lang w:val="en-US"/>
        </w:rPr>
        <w:t>,</w:t>
      </w:r>
      <w:r w:rsidRPr="001A6EA1">
        <w:rPr>
          <w:lang w:val="en-US"/>
        </w:rPr>
        <w:t xml:space="preserve"> resulting 20MHz carrier bandwidth and available spectrum is e.g. 40MHz</w:t>
      </w:r>
      <w:r w:rsidR="0067083F">
        <w:rPr>
          <w:lang w:val="en-US"/>
        </w:rPr>
        <w:t xml:space="preserve"> on the given band</w:t>
      </w:r>
      <w:r w:rsidRPr="001A6EA1">
        <w:rPr>
          <w:lang w:val="en-US"/>
        </w:rPr>
        <w:t>.</w:t>
      </w:r>
    </w:p>
    <w:p w14:paraId="00D1E641" w14:textId="46426758" w:rsidR="001A6EA1" w:rsidRDefault="001A6EA1" w:rsidP="001A6EA1">
      <w:pPr>
        <w:pStyle w:val="B1"/>
        <w:rPr>
          <w:lang w:val="en-US"/>
        </w:rPr>
      </w:pPr>
      <w:r>
        <w:rPr>
          <w:lang w:val="en-US"/>
        </w:rPr>
        <w:t>2.</w:t>
      </w:r>
      <w:r w:rsidR="00293303">
        <w:rPr>
          <w:lang w:val="en-US"/>
        </w:rPr>
        <w:tab/>
        <w:t>On</w:t>
      </w:r>
      <w:r>
        <w:rPr>
          <w:lang w:val="en-US"/>
        </w:rPr>
        <w:t xml:space="preserve"> lower carrier frequencies</w:t>
      </w:r>
      <w:r w:rsidR="0067083F">
        <w:rPr>
          <w:lang w:val="en-US"/>
        </w:rPr>
        <w:t>,</w:t>
      </w:r>
      <w:r>
        <w:rPr>
          <w:lang w:val="en-US"/>
        </w:rPr>
        <w:t xml:space="preserve"> there is multiple spectrum junks that are however not continuous, </w:t>
      </w:r>
      <w:r w:rsidR="0067083F">
        <w:rPr>
          <w:lang w:val="en-US"/>
        </w:rPr>
        <w:t xml:space="preserve">for </w:t>
      </w:r>
      <w:r>
        <w:rPr>
          <w:lang w:val="en-US"/>
        </w:rPr>
        <w:t xml:space="preserve">e.g. 10MHz on 700MHz and additional 10MHz on 900MHz. </w:t>
      </w:r>
    </w:p>
    <w:p w14:paraId="773A88CC" w14:textId="109483C1" w:rsidR="001A6EA1" w:rsidRPr="001A6EA1" w:rsidRDefault="001A6EA1" w:rsidP="001A6EA1">
      <w:pPr>
        <w:pStyle w:val="B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  <w:t>On high frequencies the (e.g. 28GHz or 39GHz) the available spectrum is larger than supported carrier bandwidth</w:t>
      </w:r>
      <w:r w:rsidR="0067083F">
        <w:rPr>
          <w:lang w:val="en-US"/>
        </w:rPr>
        <w:t>, e.g. 60 k</w:t>
      </w:r>
      <w:r>
        <w:rPr>
          <w:lang w:val="en-US"/>
        </w:rPr>
        <w:t xml:space="preserve">Hz SCS supporting 80MHz -100MHz CC BW and available spectrum is 800MHz. </w:t>
      </w:r>
    </w:p>
    <w:p w14:paraId="7335F7CE" w14:textId="045C1CBE" w:rsidR="00665CBC" w:rsidRDefault="00293303" w:rsidP="00293303">
      <w:r>
        <w:t xml:space="preserve">In </w:t>
      </w:r>
      <w:r w:rsidR="00092F73">
        <w:t>case</w:t>
      </w:r>
      <w:r>
        <w:t xml:space="preserve"> 1 and 2, the LTE would have each carrier operate fully independent manner and transmit downlink synchronization signals PBCH, SIBs and DL paging separatel</w:t>
      </w:r>
      <w:r w:rsidR="00BB0663">
        <w:t>y. Also UE camping in i</w:t>
      </w:r>
      <w:r>
        <w:t>dle mode would be possible in each CC based on UE reselection parameters. For scenario 1, this approach could be seen quite applicable also in case</w:t>
      </w:r>
      <w:r w:rsidR="00C75A40">
        <w:t xml:space="preserve"> of</w:t>
      </w:r>
      <w:r>
        <w:t xml:space="preserve"> NR. </w:t>
      </w:r>
    </w:p>
    <w:p w14:paraId="64BD665D" w14:textId="78707EE9" w:rsidR="00293303" w:rsidRDefault="00293303" w:rsidP="00293303">
      <w:r>
        <w:t xml:space="preserve">However, in scenario 2, the option to utilize these two non-continuous spectrum portions always together could be advantageous </w:t>
      </w:r>
      <w:r w:rsidR="0067083F">
        <w:t xml:space="preserve">due </w:t>
      </w:r>
      <w:r>
        <w:t>to reduce</w:t>
      </w:r>
      <w:r w:rsidR="0067083F">
        <w:t>d</w:t>
      </w:r>
      <w:r>
        <w:t xml:space="preserve"> overhead </w:t>
      </w:r>
      <w:r w:rsidR="0067083F">
        <w:t xml:space="preserve">as </w:t>
      </w:r>
      <w:r>
        <w:t>synchronization channels and system information broadcast</w:t>
      </w:r>
      <w:r w:rsidR="0067083F">
        <w:t xml:space="preserve"> and paging needs to transmitted from single spectrum</w:t>
      </w:r>
      <w:r>
        <w:t>.</w:t>
      </w:r>
      <w:r w:rsidR="0067083F">
        <w:t xml:space="preserve"> Additionally, majority of the NR eMBB devices would be able to support CA between carriers and thus distributing UEs between different carriers for load balancing point of view is not needed.</w:t>
      </w:r>
    </w:p>
    <w:p w14:paraId="77D830EF" w14:textId="5143CCED" w:rsidR="00C75A40" w:rsidRDefault="005E64D6" w:rsidP="00293303">
      <w:r>
        <w:t>The case</w:t>
      </w:r>
      <w:r w:rsidR="00293303">
        <w:t xml:space="preserve"> 3</w:t>
      </w:r>
      <w:r w:rsidR="0067083F">
        <w:t xml:space="preserve"> would only be supported by NR</w:t>
      </w:r>
      <w:r w:rsidR="00293303">
        <w:t xml:space="preserve">, </w:t>
      </w:r>
      <w:r w:rsidR="0067083F">
        <w:t xml:space="preserve">where </w:t>
      </w:r>
      <w:r w:rsidR="00293303">
        <w:t xml:space="preserve">the typical gNB TX architecture would be hybrid beamforming </w:t>
      </w:r>
      <w:r w:rsidR="00C75A40">
        <w:t>architecture</w:t>
      </w:r>
      <w:r w:rsidR="0067083F">
        <w:t>,</w:t>
      </w:r>
      <w:r>
        <w:t xml:space="preserve"> </w:t>
      </w:r>
      <w:r w:rsidR="00293303">
        <w:t>with limited number of digital TXRUs and</w:t>
      </w:r>
      <w:r w:rsidR="00C75A40">
        <w:t xml:space="preserve"> utilisation of</w:t>
      </w:r>
      <w:r w:rsidR="00293303">
        <w:t xml:space="preserve"> analog RF beamforming. In this situation all CC </w:t>
      </w:r>
      <w:r w:rsidR="00651193">
        <w:t>will be beamformed with same analog beamformer and thus pointing into same direction in certain point of time</w:t>
      </w:r>
      <w:r w:rsidR="00C75A40">
        <w:t xml:space="preserve"> as shown simplified illustration in </w:t>
      </w:r>
      <w:r w:rsidR="00C75A40">
        <w:fldChar w:fldCharType="begin"/>
      </w:r>
      <w:r w:rsidR="00C75A40">
        <w:instrText xml:space="preserve"> REF _Ref465775725 \h </w:instrText>
      </w:r>
      <w:r w:rsidR="00C75A40">
        <w:fldChar w:fldCharType="separate"/>
      </w:r>
      <w:r w:rsidR="00C75A40">
        <w:t xml:space="preserve">Figure </w:t>
      </w:r>
      <w:r w:rsidR="00C75A40">
        <w:rPr>
          <w:noProof/>
        </w:rPr>
        <w:t>2</w:t>
      </w:r>
      <w:r w:rsidR="00C75A40">
        <w:fldChar w:fldCharType="end"/>
      </w:r>
      <w:r w:rsidR="00651193">
        <w:t>.</w:t>
      </w:r>
      <w:r w:rsidR="0067083F">
        <w:t xml:space="preserve"> </w:t>
      </w:r>
    </w:p>
    <w:p w14:paraId="6F59EB94" w14:textId="639D3006" w:rsidR="005E64D6" w:rsidRDefault="00C75A40" w:rsidP="00293303">
      <w:r>
        <w:t xml:space="preserve">Additionally, </w:t>
      </w:r>
      <w:r w:rsidR="000D5B54">
        <w:t xml:space="preserve">at </w:t>
      </w:r>
      <w:r>
        <w:t>high frequencies</w:t>
      </w:r>
      <w:r w:rsidR="0067083F">
        <w:t>,</w:t>
      </w:r>
      <w:r>
        <w:t xml:space="preserve"> </w:t>
      </w:r>
      <w:r w:rsidR="000D5B54">
        <w:t xml:space="preserve">synchronization signals are transmitted in sweeping manner to obtain </w:t>
      </w:r>
      <w:r>
        <w:t>beamforming gain</w:t>
      </w:r>
      <w:r w:rsidR="000D5B54">
        <w:t xml:space="preserve"> for </w:t>
      </w:r>
      <w:r>
        <w:t>improve</w:t>
      </w:r>
      <w:r w:rsidR="000D5B54">
        <w:t>d cell</w:t>
      </w:r>
      <w:r>
        <w:t xml:space="preserve"> coverage</w:t>
      </w:r>
      <w:r w:rsidR="000D5B54">
        <w:t xml:space="preserve">. Similar sweeping is needed for PBCH transmission making transmission of </w:t>
      </w:r>
      <w:r w:rsidR="0067083F">
        <w:t xml:space="preserve">both synchronization and </w:t>
      </w:r>
      <w:r w:rsidR="000D5B54">
        <w:t xml:space="preserve">broadcast signal </w:t>
      </w:r>
      <w:r w:rsidR="0067083F">
        <w:t xml:space="preserve">transmission </w:t>
      </w:r>
      <w:r w:rsidR="000D5B54">
        <w:t>quite resource inefficient. As the direction of the synchronization beam is changing rapidly, even in every symbol</w:t>
      </w:r>
      <w:r w:rsidR="005E64D6">
        <w:t xml:space="preserve"> (depending on final design)</w:t>
      </w:r>
      <w:r w:rsidR="000D5B54">
        <w:t>, and all carriers will go effect of same analog beam</w:t>
      </w:r>
      <w:r w:rsidR="0067083F">
        <w:t>former</w:t>
      </w:r>
      <w:r w:rsidR="000D5B54">
        <w:t xml:space="preserve">, the utilization of </w:t>
      </w:r>
      <w:r w:rsidR="005E64D6">
        <w:t xml:space="preserve">the </w:t>
      </w:r>
      <w:r w:rsidR="000D5B54">
        <w:t xml:space="preserve">other carrier for </w:t>
      </w:r>
      <w:r w:rsidR="005E64D6">
        <w:t xml:space="preserve">user plane </w:t>
      </w:r>
      <w:r w:rsidR="000D5B54">
        <w:t xml:space="preserve">data transmission is </w:t>
      </w:r>
      <w:r w:rsidR="005E64D6">
        <w:t>not really feasible</w:t>
      </w:r>
      <w:r w:rsidR="000D5B54">
        <w:t>.</w:t>
      </w:r>
      <w:r w:rsidR="005E64D6">
        <w:t xml:space="preserve"> </w:t>
      </w:r>
    </w:p>
    <w:p w14:paraId="2899422A" w14:textId="2DB68386" w:rsidR="00651193" w:rsidRDefault="000D5B54" w:rsidP="00293303">
      <w:r>
        <w:t>However, if other carriers are made silent, all TX power can be concentrated on carrier transmitting synchronization signals resulting potentially quite significant additional power boost for synchronisation signals and PBCH.</w:t>
      </w:r>
      <w:r w:rsidR="00AA43B9">
        <w:t xml:space="preserve"> </w:t>
      </w:r>
      <w:r w:rsidR="005E64D6">
        <w:t xml:space="preserve">Naturally, different deployments may utilize this feature </w:t>
      </w:r>
      <w:r w:rsidR="00527DED">
        <w:t xml:space="preserve">differently, for e.g. </w:t>
      </w:r>
      <w:r w:rsidR="005E64D6">
        <w:t xml:space="preserve">to introduce frequency re-use of synchronization signals between different cells, </w:t>
      </w:r>
      <w:r w:rsidR="00527DED">
        <w:t xml:space="preserve">to </w:t>
      </w:r>
      <w:r w:rsidR="005E64D6">
        <w:t>reduce interference to other CC</w:t>
      </w:r>
      <w:r w:rsidR="00527DED">
        <w:t>,</w:t>
      </w:r>
      <w:r w:rsidR="005E64D6">
        <w:t xml:space="preserve"> or </w:t>
      </w:r>
      <w:r w:rsidR="00527DED">
        <w:t xml:space="preserve">to </w:t>
      </w:r>
      <w:r w:rsidR="005E64D6">
        <w:t>improve gNB power saving for example.</w:t>
      </w:r>
    </w:p>
    <w:p w14:paraId="084210EC" w14:textId="3D641299" w:rsidR="00651193" w:rsidRDefault="00651193" w:rsidP="00C75A40">
      <w:pPr>
        <w:jc w:val="center"/>
      </w:pPr>
    </w:p>
    <w:p w14:paraId="6F3DE33D" w14:textId="2042CAA0" w:rsidR="00524B70" w:rsidRDefault="00524B70" w:rsidP="00C75A40">
      <w:pPr>
        <w:jc w:val="center"/>
      </w:pPr>
      <w:r w:rsidRPr="00524B70">
        <w:drawing>
          <wp:inline distT="0" distB="0" distL="0" distR="0" wp14:anchorId="18A0EDC3" wp14:editId="7CAD527F">
            <wp:extent cx="4705350" cy="1352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DE282" w14:textId="790583C6" w:rsidR="00C75A40" w:rsidRDefault="00C75A40" w:rsidP="00C75A40">
      <w:pPr>
        <w:pStyle w:val="Caption"/>
        <w:jc w:val="center"/>
      </w:pPr>
      <w:bookmarkStart w:id="2" w:name="_Ref465775725"/>
      <w:r>
        <w:t xml:space="preserve">Figure </w:t>
      </w:r>
      <w:r w:rsidR="002A6677">
        <w:fldChar w:fldCharType="begin"/>
      </w:r>
      <w:r w:rsidR="002A6677">
        <w:instrText xml:space="preserve"> SEQ Figure \* ARABIC </w:instrText>
      </w:r>
      <w:r w:rsidR="002A6677">
        <w:fldChar w:fldCharType="separate"/>
      </w:r>
      <w:r>
        <w:rPr>
          <w:noProof/>
        </w:rPr>
        <w:t>2</w:t>
      </w:r>
      <w:r w:rsidR="002A6677">
        <w:rPr>
          <w:noProof/>
        </w:rPr>
        <w:fldChar w:fldCharType="end"/>
      </w:r>
      <w:bookmarkEnd w:id="2"/>
      <w:r w:rsidRPr="00C75A40">
        <w:rPr>
          <w:lang w:val="en-US"/>
        </w:rPr>
        <w:t xml:space="preserve">: </w:t>
      </w:r>
      <w:r>
        <w:rPr>
          <w:lang w:val="en-US"/>
        </w:rPr>
        <w:t>M</w:t>
      </w:r>
      <w:r w:rsidRPr="00C75A40">
        <w:rPr>
          <w:lang w:val="en-US"/>
        </w:rPr>
        <w:t xml:space="preserve">ultiple </w:t>
      </w:r>
      <w:r>
        <w:rPr>
          <w:lang w:val="en-US"/>
        </w:rPr>
        <w:t xml:space="preserve">CC utilizing same </w:t>
      </w:r>
      <w:r w:rsidRPr="00C75A40">
        <w:rPr>
          <w:lang w:val="en-US"/>
        </w:rPr>
        <w:t>analog beamforming</w:t>
      </w:r>
      <w:r w:rsidR="007A477D">
        <w:rPr>
          <w:lang w:val="en-US"/>
        </w:rPr>
        <w:t xml:space="preserve"> (at time moment t=1 and t=2)</w:t>
      </w:r>
      <w:r w:rsidRPr="00C75A40">
        <w:rPr>
          <w:lang w:val="en-US"/>
        </w:rPr>
        <w:t xml:space="preserve"> </w:t>
      </w:r>
    </w:p>
    <w:p w14:paraId="4F0F4566" w14:textId="76ADCACE" w:rsidR="00293303" w:rsidRDefault="00651193" w:rsidP="00293303">
      <w:r>
        <w:t xml:space="preserve">Therefore, </w:t>
      </w:r>
      <w:r w:rsidR="005E64D6">
        <w:t xml:space="preserve">there is good motivation </w:t>
      </w:r>
      <w:r w:rsidR="000D5B54">
        <w:t xml:space="preserve">to consider that </w:t>
      </w:r>
      <w:r>
        <w:t xml:space="preserve">carriers </w:t>
      </w:r>
      <w:r w:rsidR="000D5B54">
        <w:t xml:space="preserve">on high frequencies </w:t>
      </w:r>
      <w:r w:rsidR="005E64D6">
        <w:t>transmitted from same gNB can operate</w:t>
      </w:r>
      <w:r w:rsidR="000D5B54">
        <w:t xml:space="preserve"> </w:t>
      </w:r>
      <w:r>
        <w:t xml:space="preserve">together </w:t>
      </w:r>
      <w:r w:rsidR="000D5B54">
        <w:t xml:space="preserve">and </w:t>
      </w:r>
      <w:r w:rsidR="005E64D6">
        <w:t xml:space="preserve">allow that not </w:t>
      </w:r>
      <w:r w:rsidR="000D5B54">
        <w:t xml:space="preserve">all carriers </w:t>
      </w:r>
      <w:r>
        <w:t xml:space="preserve">transmit synchronization signals </w:t>
      </w:r>
      <w:r w:rsidR="005E64D6">
        <w:t xml:space="preserve">and </w:t>
      </w:r>
      <w:r w:rsidR="000D5B54">
        <w:t>PBCH.</w:t>
      </w:r>
    </w:p>
    <w:p w14:paraId="26C44F3A" w14:textId="7C2FBF70" w:rsidR="005F02C7" w:rsidRDefault="005E64D6" w:rsidP="00293303">
      <w:r>
        <w:t>Finally</w:t>
      </w:r>
      <w:r w:rsidR="005F02C7">
        <w:t xml:space="preserve">, </w:t>
      </w:r>
      <w:r>
        <w:t xml:space="preserve">it is noted that </w:t>
      </w:r>
      <w:r w:rsidR="00FF72E9">
        <w:t xml:space="preserve">allow </w:t>
      </w:r>
      <w:r>
        <w:t xml:space="preserve">feature allows avoiding transmission of </w:t>
      </w:r>
      <w:r w:rsidR="00FF72E9">
        <w:t xml:space="preserve">synchronization and PBCH signals in LBT fashion in unlicensed spectrum, when </w:t>
      </w:r>
      <w:r>
        <w:t xml:space="preserve">LAA operation is used between </w:t>
      </w:r>
      <w:r w:rsidR="005F02C7">
        <w:t xml:space="preserve">unlicensed spectrum </w:t>
      </w:r>
      <w:r>
        <w:t xml:space="preserve">and </w:t>
      </w:r>
      <w:r w:rsidR="005F02C7">
        <w:t>licensed spectrum</w:t>
      </w:r>
      <w:r w:rsidR="00FF72E9">
        <w:t>.</w:t>
      </w:r>
    </w:p>
    <w:p w14:paraId="12D41856" w14:textId="77777777" w:rsidR="00B51B6D" w:rsidRDefault="000D5B54" w:rsidP="00293303">
      <w:r>
        <w:t xml:space="preserve">From UE complexity point of view, having carriers that are not transmitting </w:t>
      </w:r>
      <w:r w:rsidR="00AA43B9">
        <w:t xml:space="preserve">synchronization signals or PBCH, is not seen that significant issues. Naturally if a carrier is not transmitting synchronization signal, the carrier is not found in cell search or evaluated in cell reselection in RRC connected inactive or in RRC Idle state. </w:t>
      </w:r>
      <w:r w:rsidR="005E64D6">
        <w:t>Similarly the</w:t>
      </w:r>
      <w:r w:rsidR="00AA43B9">
        <w:t xml:space="preserve"> carrier is not reported in measurement result in normal HO situations. The main requirement</w:t>
      </w:r>
      <w:r w:rsidR="00B51B6D">
        <w:t>s</w:t>
      </w:r>
      <w:r w:rsidR="00AA43B9">
        <w:t xml:space="preserve"> </w:t>
      </w:r>
      <w:r w:rsidR="00B51B6D">
        <w:t xml:space="preserve">are </w:t>
      </w:r>
      <w:r w:rsidR="00AA43B9">
        <w:t xml:space="preserve">that </w:t>
      </w:r>
    </w:p>
    <w:p w14:paraId="16FF2D30" w14:textId="77777777" w:rsidR="00B51B6D" w:rsidRDefault="00B51B6D" w:rsidP="00B51B6D">
      <w:pPr>
        <w:pStyle w:val="B1"/>
      </w:pPr>
      <w:r>
        <w:t xml:space="preserve">a) </w:t>
      </w:r>
      <w:r>
        <w:tab/>
      </w:r>
      <w:r w:rsidR="00AA43B9">
        <w:t>UE accepts in CA configuration</w:t>
      </w:r>
      <w:r w:rsidR="00FF72E9">
        <w:t xml:space="preserve">, </w:t>
      </w:r>
      <w:r>
        <w:t>where configure carrier</w:t>
      </w:r>
      <w:r w:rsidR="00AA43B9">
        <w:t xml:space="preserve"> is not detected </w:t>
      </w:r>
      <w:r>
        <w:t xml:space="preserve">beforehand </w:t>
      </w:r>
      <w:r w:rsidR="00AA43B9">
        <w:t xml:space="preserve">and not providing synchronization signals nor PBCH, </w:t>
      </w:r>
    </w:p>
    <w:p w14:paraId="23332D43" w14:textId="2F7FBEAF" w:rsidR="00B51B6D" w:rsidRDefault="00B51B6D" w:rsidP="00B51B6D">
      <w:pPr>
        <w:pStyle w:val="B1"/>
      </w:pPr>
      <w:r>
        <w:t xml:space="preserve">b) </w:t>
      </w:r>
      <w:r>
        <w:tab/>
      </w:r>
      <w:r w:rsidR="00BB0663">
        <w:t xml:space="preserve">UE is able to </w:t>
      </w:r>
      <w:r>
        <w:t>utilise</w:t>
      </w:r>
      <w:r w:rsidR="00BB0663">
        <w:t xml:space="preserve"> </w:t>
      </w:r>
      <w:r w:rsidR="00AA43B9">
        <w:t>t</w:t>
      </w:r>
      <w:r w:rsidR="00527DED">
        <w:t>ime</w:t>
      </w:r>
      <w:r w:rsidR="00AA43B9">
        <w:t xml:space="preserve"> </w:t>
      </w:r>
      <w:r>
        <w:t xml:space="preserve">and frequency synchronization </w:t>
      </w:r>
      <w:r w:rsidR="00FF72E9">
        <w:t xml:space="preserve">and beam selection </w:t>
      </w:r>
      <w:r w:rsidR="005E64D6">
        <w:t xml:space="preserve">(on case 3) </w:t>
      </w:r>
      <w:r w:rsidR="00BB0663">
        <w:t xml:space="preserve">from </w:t>
      </w:r>
      <w:r w:rsidR="00AA43B9">
        <w:t xml:space="preserve">the </w:t>
      </w:r>
      <w:r w:rsidR="00BB0663">
        <w:t xml:space="preserve">other </w:t>
      </w:r>
      <w:r>
        <w:t>cell</w:t>
      </w:r>
      <w:r w:rsidR="00AA43B9">
        <w:t xml:space="preserve"> which could be called as PCell</w:t>
      </w:r>
      <w:r>
        <w:t>.</w:t>
      </w:r>
      <w:r w:rsidR="005F02C7">
        <w:t xml:space="preserve"> </w:t>
      </w:r>
    </w:p>
    <w:p w14:paraId="17484FEF" w14:textId="3994FFE5" w:rsidR="005E64D6" w:rsidRDefault="005E64D6" w:rsidP="00293303">
      <w:r>
        <w:t xml:space="preserve">We expect that higher layer signalling would indicate the cell </w:t>
      </w:r>
      <w:r w:rsidR="00B51B6D">
        <w:t xml:space="preserve">to be used </w:t>
      </w:r>
      <w:r>
        <w:t xml:space="preserve">as reference </w:t>
      </w:r>
      <w:r w:rsidR="00527DED">
        <w:t xml:space="preserve">for time </w:t>
      </w:r>
      <w:r w:rsidR="00B51B6D">
        <w:t>and</w:t>
      </w:r>
      <w:r w:rsidR="00527DED">
        <w:t xml:space="preserve"> frequency synchronization and </w:t>
      </w:r>
      <w:r w:rsidR="00B51B6D">
        <w:t xml:space="preserve">UE </w:t>
      </w:r>
      <w:r w:rsidR="00527DED">
        <w:t xml:space="preserve">can </w:t>
      </w:r>
      <w:r w:rsidR="00B51B6D">
        <w:t xml:space="preserve">assume same </w:t>
      </w:r>
      <w:r w:rsidR="00527DED">
        <w:t xml:space="preserve">time and </w:t>
      </w:r>
      <w:r w:rsidR="00B51B6D">
        <w:t xml:space="preserve">frequency source between these CC in the network side. Due to UE downlink synchronisation </w:t>
      </w:r>
      <w:r w:rsidR="00527DED">
        <w:t>and requirement to have same time and frequency source</w:t>
      </w:r>
      <w:r>
        <w:t xml:space="preserve">, </w:t>
      </w:r>
      <w:r w:rsidR="005F02C7">
        <w:t xml:space="preserve">we foresee that this option is not </w:t>
      </w:r>
      <w:r w:rsidR="00B51B6D">
        <w:t xml:space="preserve">feasible </w:t>
      </w:r>
      <w:r w:rsidR="00527DED">
        <w:t xml:space="preserve">for </w:t>
      </w:r>
      <w:r w:rsidR="00B51B6D">
        <w:t xml:space="preserve">non-co-located carriers </w:t>
      </w:r>
      <w:r w:rsidR="00527DED">
        <w:t xml:space="preserve">having non-ideal backhaul </w:t>
      </w:r>
      <w:r w:rsidR="00FF72E9">
        <w:t xml:space="preserve">and </w:t>
      </w:r>
      <w:r w:rsidR="00BC63E4">
        <w:t xml:space="preserve">thus </w:t>
      </w:r>
      <w:r w:rsidR="00FF72E9">
        <w:t>this option is not that suitable for DuCo scenarios.</w:t>
      </w:r>
      <w:r>
        <w:t xml:space="preserve"> </w:t>
      </w:r>
    </w:p>
    <w:p w14:paraId="18449D3C" w14:textId="02BCED47" w:rsidR="00FF72E9" w:rsidRDefault="005F02C7" w:rsidP="00293303">
      <w:r>
        <w:lastRenderedPageBreak/>
        <w:t xml:space="preserve">As the </w:t>
      </w:r>
      <w:r w:rsidR="00FF72E9">
        <w:t xml:space="preserve">additional </w:t>
      </w:r>
      <w:r>
        <w:t xml:space="preserve">UE </w:t>
      </w:r>
      <w:r w:rsidR="00FF72E9">
        <w:t xml:space="preserve">complexity is limited and there is clear use cases </w:t>
      </w:r>
      <w:r w:rsidR="00527DED">
        <w:t xml:space="preserve">for more efficient system operation </w:t>
      </w:r>
      <w:r w:rsidR="00FF72E9">
        <w:t>we propose following:</w:t>
      </w:r>
    </w:p>
    <w:p w14:paraId="5784BFA1" w14:textId="6D534A61" w:rsidR="00FF72E9" w:rsidRPr="00FF72E9" w:rsidRDefault="00FF72E9" w:rsidP="00293303">
      <w:pPr>
        <w:rPr>
          <w:b/>
        </w:rPr>
      </w:pPr>
      <w:r w:rsidRPr="00FF72E9">
        <w:rPr>
          <w:b/>
        </w:rPr>
        <w:t xml:space="preserve">Proposal 1: In CA operation, the network may configure </w:t>
      </w:r>
      <w:r>
        <w:rPr>
          <w:b/>
        </w:rPr>
        <w:t xml:space="preserve">a UE with </w:t>
      </w:r>
      <w:r w:rsidRPr="00FF72E9">
        <w:rPr>
          <w:b/>
        </w:rPr>
        <w:t>additional CC</w:t>
      </w:r>
      <w:r w:rsidR="005E64D6">
        <w:rPr>
          <w:b/>
        </w:rPr>
        <w:t>s</w:t>
      </w:r>
      <w:r w:rsidRPr="00FF72E9">
        <w:rPr>
          <w:b/>
        </w:rPr>
        <w:t xml:space="preserve"> that are not transmitting synchronization signals </w:t>
      </w:r>
      <w:r w:rsidR="000042FA">
        <w:rPr>
          <w:b/>
        </w:rPr>
        <w:t>n</w:t>
      </w:r>
      <w:r w:rsidRPr="00FF72E9">
        <w:rPr>
          <w:b/>
        </w:rPr>
        <w:t xml:space="preserve">or PBCH. The configuration shall indicate which </w:t>
      </w:r>
      <w:r w:rsidR="00042BA4">
        <w:rPr>
          <w:b/>
        </w:rPr>
        <w:t>cell</w:t>
      </w:r>
      <w:r w:rsidRPr="00FF72E9">
        <w:rPr>
          <w:b/>
        </w:rPr>
        <w:t xml:space="preserve"> the UE should use as timing</w:t>
      </w:r>
      <w:r w:rsidR="00BF4ACF">
        <w:rPr>
          <w:b/>
        </w:rPr>
        <w:t xml:space="preserve"> and frequency</w:t>
      </w:r>
      <w:r w:rsidRPr="00FF72E9">
        <w:rPr>
          <w:b/>
        </w:rPr>
        <w:t xml:space="preserve"> reference to th</w:t>
      </w:r>
      <w:r w:rsidR="005E64D6">
        <w:rPr>
          <w:b/>
        </w:rPr>
        <w:t>ese</w:t>
      </w:r>
      <w:r w:rsidRPr="00FF72E9">
        <w:rPr>
          <w:b/>
        </w:rPr>
        <w:t xml:space="preserve"> CC</w:t>
      </w:r>
      <w:r w:rsidR="005E64D6">
        <w:rPr>
          <w:b/>
        </w:rPr>
        <w:t>s</w:t>
      </w:r>
      <w:r w:rsidRPr="00FF72E9">
        <w:rPr>
          <w:b/>
        </w:rPr>
        <w:t>.</w:t>
      </w:r>
      <w:r w:rsidR="00BF4ACF">
        <w:rPr>
          <w:b/>
        </w:rPr>
        <w:t xml:space="preserve"> </w:t>
      </w:r>
    </w:p>
    <w:p w14:paraId="6175583C" w14:textId="139EF35F" w:rsidR="00BC63E4" w:rsidRDefault="000042FA" w:rsidP="00AA43B9">
      <w:r>
        <w:t xml:space="preserve">The question </w:t>
      </w:r>
      <w:r w:rsidR="00042BA4" w:rsidRPr="00042BA4">
        <w:t xml:space="preserve">following </w:t>
      </w:r>
      <w:r w:rsidR="00FB61DD">
        <w:t>from</w:t>
      </w:r>
      <w:r>
        <w:t xml:space="preserve"> proposal 1 is whether a CC, not transmitting synchronization signals nor PBCH, is transmitting PDCCH, or PUCCH. In our view</w:t>
      </w:r>
      <w:r w:rsidR="00042BA4">
        <w:t>,</w:t>
      </w:r>
      <w:r>
        <w:t xml:space="preserve"> </w:t>
      </w:r>
      <w:r w:rsidR="00BC63E4">
        <w:t xml:space="preserve">such </w:t>
      </w:r>
      <w:r>
        <w:t xml:space="preserve">CC should be able to provide same link adaptation </w:t>
      </w:r>
      <w:r w:rsidR="00BC63E4">
        <w:t xml:space="preserve">and scheduling </w:t>
      </w:r>
      <w:r>
        <w:t xml:space="preserve">capabilities as CC </w:t>
      </w:r>
      <w:r w:rsidR="00042BA4">
        <w:t xml:space="preserve">transmitting </w:t>
      </w:r>
      <w:r w:rsidR="00BC63E4">
        <w:t xml:space="preserve">synchronization </w:t>
      </w:r>
      <w:r w:rsidR="00042BA4">
        <w:t xml:space="preserve">signals </w:t>
      </w:r>
      <w:r w:rsidR="00BC63E4">
        <w:t xml:space="preserve">and PBCH </w:t>
      </w:r>
      <w:r>
        <w:t xml:space="preserve">and network </w:t>
      </w:r>
      <w:r w:rsidR="00FB61DD">
        <w:t xml:space="preserve">should be able to </w:t>
      </w:r>
      <w:r>
        <w:t xml:space="preserve">schedule </w:t>
      </w:r>
      <w:r w:rsidR="00FB61DD">
        <w:t>such CC independently</w:t>
      </w:r>
      <w:r w:rsidR="00BC63E4">
        <w:t xml:space="preserve"> from PCell</w:t>
      </w:r>
      <w:r>
        <w:t>. Furthermore, removing PDCCH</w:t>
      </w:r>
      <w:r w:rsidR="00042BA4">
        <w:t>,</w:t>
      </w:r>
      <w:r>
        <w:t xml:space="preserve"> and </w:t>
      </w:r>
      <w:r w:rsidR="00FB61DD">
        <w:t xml:space="preserve">use PDCCH of the carrier transmitting synchronization signals and PBCH </w:t>
      </w:r>
      <w:r>
        <w:t xml:space="preserve">would introduce higher PDCCH load on </w:t>
      </w:r>
      <w:r w:rsidR="00FB61DD">
        <w:t xml:space="preserve">this </w:t>
      </w:r>
      <w:r>
        <w:t xml:space="preserve">carrier and </w:t>
      </w:r>
      <w:r w:rsidR="00FB61DD">
        <w:t xml:space="preserve">overall </w:t>
      </w:r>
      <w:r>
        <w:t xml:space="preserve">control channel overhead would not be </w:t>
      </w:r>
      <w:r w:rsidR="00BC63E4">
        <w:t>reduced</w:t>
      </w:r>
      <w:r>
        <w:t>.</w:t>
      </w:r>
      <w:r w:rsidR="00042BA4" w:rsidRPr="00042BA4">
        <w:t xml:space="preserve"> </w:t>
      </w:r>
      <w:r w:rsidR="00042BA4">
        <w:t xml:space="preserve">Thus we see that PDCCH transmission on CC not transmitting synchronization signals and PBCH should be supported. </w:t>
      </w:r>
    </w:p>
    <w:p w14:paraId="587D47B7" w14:textId="4AB716F5" w:rsidR="000042FA" w:rsidRDefault="000042FA" w:rsidP="00AA43B9">
      <w:r>
        <w:t xml:space="preserve">Similar, conclusion can be made for PUCCH, even though </w:t>
      </w:r>
      <w:r w:rsidR="00FB61DD">
        <w:t xml:space="preserve">due to </w:t>
      </w:r>
      <w:r>
        <w:t>uplink coverage</w:t>
      </w:r>
      <w:r w:rsidR="00FB61DD">
        <w:t xml:space="preserve"> limited scenarios operating with lower number of PUCCH would be beneficial. However this operation may be needed even if synchronization signals and PBCH are transmitted and is independent from </w:t>
      </w:r>
      <w:r w:rsidR="00042BA4">
        <w:t>this feature</w:t>
      </w:r>
      <w:r w:rsidR="00FB61DD">
        <w:t>. Thus we see that network could configure and schedule PUCCH transmission on carrier not transmitting synchronization signals nor PBCH.</w:t>
      </w:r>
    </w:p>
    <w:p w14:paraId="53EB3CAE" w14:textId="545C054B" w:rsidR="00042BA4" w:rsidRDefault="00042BA4" w:rsidP="00AA43B9">
      <w:r>
        <w:t>Based on above we propose that:</w:t>
      </w:r>
    </w:p>
    <w:p w14:paraId="1B96B430" w14:textId="12DF4791" w:rsidR="00AA43B9" w:rsidRDefault="00FB61DD" w:rsidP="00AA43B9">
      <w:r>
        <w:rPr>
          <w:b/>
        </w:rPr>
        <w:t>Proposal 2</w:t>
      </w:r>
      <w:r w:rsidRPr="00FF72E9">
        <w:rPr>
          <w:b/>
        </w:rPr>
        <w:t xml:space="preserve">: In CA operation, the network may configure </w:t>
      </w:r>
      <w:r>
        <w:rPr>
          <w:b/>
        </w:rPr>
        <w:t xml:space="preserve">and schedule PDCCH, and PUCCH, on </w:t>
      </w:r>
      <w:r w:rsidRPr="00FF72E9">
        <w:rPr>
          <w:b/>
        </w:rPr>
        <w:t xml:space="preserve">CC that </w:t>
      </w:r>
      <w:r w:rsidR="00042BA4">
        <w:rPr>
          <w:b/>
        </w:rPr>
        <w:t xml:space="preserve">is </w:t>
      </w:r>
      <w:r w:rsidRPr="00FF72E9">
        <w:rPr>
          <w:b/>
        </w:rPr>
        <w:t xml:space="preserve">not transmitting synchronization signals </w:t>
      </w:r>
      <w:r>
        <w:rPr>
          <w:b/>
        </w:rPr>
        <w:t>n</w:t>
      </w:r>
      <w:r w:rsidRPr="00FF72E9">
        <w:rPr>
          <w:b/>
        </w:rPr>
        <w:t xml:space="preserve">or PBCH. </w:t>
      </w:r>
      <w:r w:rsidR="000042FA">
        <w:t xml:space="preserve">  </w:t>
      </w:r>
    </w:p>
    <w:p w14:paraId="6ABDAF04" w14:textId="5473797E" w:rsidR="0034111C" w:rsidRPr="00A51522" w:rsidRDefault="00342AD2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111098AB" w14:textId="60D44E0F" w:rsidR="00BC63E4" w:rsidRDefault="00EA3E9E" w:rsidP="00EA3E9E">
      <w:r>
        <w:t xml:space="preserve">In this contribution we have discussed </w:t>
      </w:r>
      <w:r w:rsidR="00BC63E4">
        <w:t>option of not transmitting synchronization signals and PBCH in certain carrier when configuring CA operation for the UE. Based on discussion we propose following:</w:t>
      </w:r>
    </w:p>
    <w:p w14:paraId="4E45E9A0" w14:textId="44BD800F" w:rsidR="000042FA" w:rsidRDefault="000042FA" w:rsidP="00EA3E9E">
      <w:pPr>
        <w:rPr>
          <w:b/>
        </w:rPr>
      </w:pPr>
      <w:r w:rsidRPr="00FF72E9">
        <w:rPr>
          <w:b/>
        </w:rPr>
        <w:t xml:space="preserve">Proposal 1: In CA operation, the network may configure </w:t>
      </w:r>
      <w:r>
        <w:rPr>
          <w:b/>
        </w:rPr>
        <w:t xml:space="preserve">a UE with </w:t>
      </w:r>
      <w:r w:rsidRPr="00FF72E9">
        <w:rPr>
          <w:b/>
        </w:rPr>
        <w:t>additional CC</w:t>
      </w:r>
      <w:r>
        <w:rPr>
          <w:b/>
        </w:rPr>
        <w:t>s</w:t>
      </w:r>
      <w:r w:rsidRPr="00FF72E9">
        <w:rPr>
          <w:b/>
        </w:rPr>
        <w:t xml:space="preserve"> that are not transmitting synchronization signals </w:t>
      </w:r>
      <w:r>
        <w:rPr>
          <w:b/>
        </w:rPr>
        <w:t>n</w:t>
      </w:r>
      <w:r w:rsidRPr="00FF72E9">
        <w:rPr>
          <w:b/>
        </w:rPr>
        <w:t>or PBCH. The configuration shall indicate which carrier the UE should use as timing reference to th</w:t>
      </w:r>
      <w:r>
        <w:rPr>
          <w:b/>
        </w:rPr>
        <w:t>ese</w:t>
      </w:r>
      <w:r w:rsidRPr="00FF72E9">
        <w:rPr>
          <w:b/>
        </w:rPr>
        <w:t xml:space="preserve"> CC</w:t>
      </w:r>
      <w:r>
        <w:rPr>
          <w:b/>
        </w:rPr>
        <w:t>s</w:t>
      </w:r>
    </w:p>
    <w:p w14:paraId="6F2C836B" w14:textId="39EE4562" w:rsidR="00BC63E4" w:rsidRDefault="00BC63E4" w:rsidP="00BC63E4">
      <w:r>
        <w:rPr>
          <w:b/>
        </w:rPr>
        <w:t>Proposal 2</w:t>
      </w:r>
      <w:r w:rsidRPr="00FF72E9">
        <w:rPr>
          <w:b/>
        </w:rPr>
        <w:t xml:space="preserve">: In CA operation, the network may configure </w:t>
      </w:r>
      <w:r>
        <w:rPr>
          <w:b/>
        </w:rPr>
        <w:t xml:space="preserve">and schedule PDCCH, and PUCCH, on </w:t>
      </w:r>
      <w:r w:rsidRPr="00FF72E9">
        <w:rPr>
          <w:b/>
        </w:rPr>
        <w:t xml:space="preserve">CC that </w:t>
      </w:r>
      <w:r w:rsidR="00042BA4">
        <w:rPr>
          <w:b/>
        </w:rPr>
        <w:t xml:space="preserve">is </w:t>
      </w:r>
      <w:r w:rsidRPr="00FF72E9">
        <w:rPr>
          <w:b/>
        </w:rPr>
        <w:t xml:space="preserve">not transmitting synchronization signals </w:t>
      </w:r>
      <w:r>
        <w:rPr>
          <w:b/>
        </w:rPr>
        <w:t>n</w:t>
      </w:r>
      <w:r w:rsidRPr="00FF72E9">
        <w:rPr>
          <w:b/>
        </w:rPr>
        <w:t xml:space="preserve">or PBCH. </w:t>
      </w:r>
      <w:r>
        <w:t xml:space="preserve">  </w:t>
      </w:r>
    </w:p>
    <w:p w14:paraId="6719C21D" w14:textId="7CF805BF" w:rsidR="0034111C" w:rsidRDefault="00264A8E">
      <w:pPr>
        <w:pStyle w:val="Heading1"/>
      </w:pPr>
      <w:r>
        <w:t>4</w:t>
      </w:r>
      <w:r>
        <w:tab/>
      </w:r>
      <w:r w:rsidR="0034111C" w:rsidRPr="00A51522">
        <w:t>References</w:t>
      </w:r>
      <w:r w:rsidR="00A2459D" w:rsidRPr="00A51522">
        <w:t xml:space="preserve"> </w:t>
      </w:r>
    </w:p>
    <w:p w14:paraId="66ED72BB" w14:textId="3E5752B1" w:rsidR="00346206" w:rsidRDefault="00346206" w:rsidP="003D132A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RP-160671, “</w:t>
      </w:r>
      <w:r w:rsidRPr="00013455">
        <w:rPr>
          <w:i/>
          <w:sz w:val="18"/>
          <w:lang w:eastAsia="zh-CN"/>
        </w:rPr>
        <w:t>Study on New Radio Access Technology</w:t>
      </w:r>
      <w:r w:rsidRPr="00013455">
        <w:rPr>
          <w:sz w:val="18"/>
          <w:lang w:eastAsia="zh-CN"/>
        </w:rPr>
        <w:t>”, NTT DoCoMo</w:t>
      </w:r>
    </w:p>
    <w:p w14:paraId="35BFDF09" w14:textId="77777777" w:rsidR="00D57341" w:rsidRDefault="00777315" w:rsidP="003D132A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3C7D44E6" w14:textId="77777777" w:rsidR="00B36DC5" w:rsidRDefault="00B36DC5" w:rsidP="00346206">
      <w:pPr>
        <w:rPr>
          <w:sz w:val="18"/>
        </w:rPr>
      </w:pPr>
    </w:p>
    <w:sectPr w:rsidR="00B36DC5" w:rsidSect="000131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27400" w14:textId="77777777" w:rsidR="00740FB8" w:rsidRDefault="00740FB8">
      <w:r>
        <w:separator/>
      </w:r>
    </w:p>
  </w:endnote>
  <w:endnote w:type="continuationSeparator" w:id="0">
    <w:p w14:paraId="22040EE2" w14:textId="77777777" w:rsidR="00740FB8" w:rsidRDefault="00740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8DE79" w14:textId="77777777" w:rsidR="00524B70" w:rsidRDefault="00524B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3CD02" w14:textId="77777777" w:rsidR="00524B70" w:rsidRDefault="00524B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396C1" w14:textId="77777777" w:rsidR="00524B70" w:rsidRDefault="00524B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11A54" w14:textId="77777777" w:rsidR="00740FB8" w:rsidRDefault="00740FB8">
      <w:r>
        <w:separator/>
      </w:r>
    </w:p>
  </w:footnote>
  <w:footnote w:type="continuationSeparator" w:id="0">
    <w:p w14:paraId="31F38031" w14:textId="77777777" w:rsidR="00740FB8" w:rsidRDefault="00740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FA680" w14:textId="77777777" w:rsidR="00524B70" w:rsidRDefault="00524B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547F3" w14:textId="77777777" w:rsidR="00524B70" w:rsidRDefault="00524B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F9F50" w14:textId="77777777" w:rsidR="00524B70" w:rsidRDefault="00524B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47804"/>
    <w:multiLevelType w:val="hybridMultilevel"/>
    <w:tmpl w:val="16028AC6"/>
    <w:lvl w:ilvl="0" w:tplc="3AD45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48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380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2A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2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FC0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25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A6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E4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43678F"/>
    <w:multiLevelType w:val="hybridMultilevel"/>
    <w:tmpl w:val="4D9CE226"/>
    <w:lvl w:ilvl="0" w:tplc="5F165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40DE0">
      <w:start w:val="4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D6A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7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AF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2D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C3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EC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CE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30756"/>
    <w:multiLevelType w:val="hybridMultilevel"/>
    <w:tmpl w:val="58C63DB8"/>
    <w:lvl w:ilvl="0" w:tplc="074E8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62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47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4F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C25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EF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8D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F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68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41CC7"/>
    <w:multiLevelType w:val="hybridMultilevel"/>
    <w:tmpl w:val="6066AD92"/>
    <w:lvl w:ilvl="0" w:tplc="2D882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E6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2A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6C2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E4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04A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4D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A7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2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9807C1"/>
    <w:multiLevelType w:val="hybridMultilevel"/>
    <w:tmpl w:val="405EB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D0C39"/>
    <w:multiLevelType w:val="hybridMultilevel"/>
    <w:tmpl w:val="BBB0EFC8"/>
    <w:lvl w:ilvl="0" w:tplc="1DFC9370">
      <w:start w:val="1"/>
      <w:numFmt w:val="lowerLetter"/>
      <w:lvlText w:val="%1)"/>
      <w:lvlJc w:val="left"/>
      <w:pPr>
        <w:ind w:left="510" w:hanging="1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375AB"/>
    <w:multiLevelType w:val="hybridMultilevel"/>
    <w:tmpl w:val="87D80220"/>
    <w:lvl w:ilvl="0" w:tplc="461629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1629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D7645"/>
    <w:multiLevelType w:val="hybridMultilevel"/>
    <w:tmpl w:val="56E2B4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29"/>
  </w:num>
  <w:num w:numId="5">
    <w:abstractNumId w:val="26"/>
  </w:num>
  <w:num w:numId="6">
    <w:abstractNumId w:val="19"/>
  </w:num>
  <w:num w:numId="7">
    <w:abstractNumId w:val="2"/>
    <w:lvlOverride w:ilvl="0">
      <w:startOverride w:val="1"/>
    </w:lvlOverride>
  </w:num>
  <w:num w:numId="8">
    <w:abstractNumId w:val="3"/>
  </w:num>
  <w:num w:numId="9">
    <w:abstractNumId w:val="18"/>
  </w:num>
  <w:num w:numId="10">
    <w:abstractNumId w:val="11"/>
  </w:num>
  <w:num w:numId="11">
    <w:abstractNumId w:val="15"/>
  </w:num>
  <w:num w:numId="12">
    <w:abstractNumId w:val="1"/>
  </w:num>
  <w:num w:numId="13">
    <w:abstractNumId w:val="25"/>
  </w:num>
  <w:num w:numId="14">
    <w:abstractNumId w:val="13"/>
  </w:num>
  <w:num w:numId="15">
    <w:abstractNumId w:val="6"/>
  </w:num>
  <w:num w:numId="16">
    <w:abstractNumId w:val="9"/>
  </w:num>
  <w:num w:numId="17">
    <w:abstractNumId w:val="24"/>
  </w:num>
  <w:num w:numId="18">
    <w:abstractNumId w:val="21"/>
  </w:num>
  <w:num w:numId="19">
    <w:abstractNumId w:val="0"/>
  </w:num>
  <w:num w:numId="20">
    <w:abstractNumId w:val="4"/>
  </w:num>
  <w:num w:numId="21">
    <w:abstractNumId w:val="22"/>
  </w:num>
  <w:num w:numId="22">
    <w:abstractNumId w:val="28"/>
  </w:num>
  <w:num w:numId="23">
    <w:abstractNumId w:val="20"/>
  </w:num>
  <w:num w:numId="24">
    <w:abstractNumId w:val="8"/>
  </w:num>
  <w:num w:numId="25">
    <w:abstractNumId w:val="12"/>
  </w:num>
  <w:num w:numId="26">
    <w:abstractNumId w:val="16"/>
  </w:num>
  <w:num w:numId="27">
    <w:abstractNumId w:val="7"/>
  </w:num>
  <w:num w:numId="28">
    <w:abstractNumId w:val="23"/>
  </w:num>
  <w:num w:numId="29">
    <w:abstractNumId w:val="17"/>
  </w:num>
  <w:num w:numId="30">
    <w:abstractNumId w:val="30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2FA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2BA4"/>
    <w:rsid w:val="00044CFA"/>
    <w:rsid w:val="000459C7"/>
    <w:rsid w:val="00046630"/>
    <w:rsid w:val="00046C80"/>
    <w:rsid w:val="00047D91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87E19"/>
    <w:rsid w:val="00091A92"/>
    <w:rsid w:val="00092F73"/>
    <w:rsid w:val="00093C49"/>
    <w:rsid w:val="00095A80"/>
    <w:rsid w:val="000973E1"/>
    <w:rsid w:val="000A1402"/>
    <w:rsid w:val="000A20BA"/>
    <w:rsid w:val="000A262C"/>
    <w:rsid w:val="000A2B26"/>
    <w:rsid w:val="000A3C8D"/>
    <w:rsid w:val="000A40EC"/>
    <w:rsid w:val="000A54EE"/>
    <w:rsid w:val="000A5E18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4FA1"/>
    <w:rsid w:val="000D584F"/>
    <w:rsid w:val="000D5B54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6B7"/>
    <w:rsid w:val="00101C4F"/>
    <w:rsid w:val="00102C9F"/>
    <w:rsid w:val="00103DEB"/>
    <w:rsid w:val="001068D2"/>
    <w:rsid w:val="001103BD"/>
    <w:rsid w:val="00110588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A6EA1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5FA7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085C"/>
    <w:rsid w:val="00221985"/>
    <w:rsid w:val="00221EC5"/>
    <w:rsid w:val="00222619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69B4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A8E"/>
    <w:rsid w:val="00264CF2"/>
    <w:rsid w:val="00267587"/>
    <w:rsid w:val="00271249"/>
    <w:rsid w:val="00271589"/>
    <w:rsid w:val="00273177"/>
    <w:rsid w:val="00275074"/>
    <w:rsid w:val="002763E9"/>
    <w:rsid w:val="00276736"/>
    <w:rsid w:val="00282D20"/>
    <w:rsid w:val="00284E32"/>
    <w:rsid w:val="002851EB"/>
    <w:rsid w:val="00285510"/>
    <w:rsid w:val="00285DE2"/>
    <w:rsid w:val="0028616D"/>
    <w:rsid w:val="00286965"/>
    <w:rsid w:val="0029136E"/>
    <w:rsid w:val="00292399"/>
    <w:rsid w:val="00293303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A6677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0CCC"/>
    <w:rsid w:val="002D17C5"/>
    <w:rsid w:val="002D365F"/>
    <w:rsid w:val="002D7C86"/>
    <w:rsid w:val="002E0692"/>
    <w:rsid w:val="002E1D74"/>
    <w:rsid w:val="002E2943"/>
    <w:rsid w:val="002E2CF1"/>
    <w:rsid w:val="002E34AF"/>
    <w:rsid w:val="002E4381"/>
    <w:rsid w:val="002E4AAC"/>
    <w:rsid w:val="002E53DE"/>
    <w:rsid w:val="002E563B"/>
    <w:rsid w:val="002E62D2"/>
    <w:rsid w:val="002E74AF"/>
    <w:rsid w:val="002E758C"/>
    <w:rsid w:val="002F1038"/>
    <w:rsid w:val="002F1DD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783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0E53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22F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206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482E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536B"/>
    <w:rsid w:val="00386053"/>
    <w:rsid w:val="0038771D"/>
    <w:rsid w:val="00393E44"/>
    <w:rsid w:val="00397AB6"/>
    <w:rsid w:val="00397ACA"/>
    <w:rsid w:val="003A03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A84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085E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1322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BF8"/>
    <w:rsid w:val="00465299"/>
    <w:rsid w:val="00466A0F"/>
    <w:rsid w:val="0046795B"/>
    <w:rsid w:val="004708C0"/>
    <w:rsid w:val="00471863"/>
    <w:rsid w:val="00473A14"/>
    <w:rsid w:val="00474CA8"/>
    <w:rsid w:val="00474E43"/>
    <w:rsid w:val="00481D90"/>
    <w:rsid w:val="00482CD4"/>
    <w:rsid w:val="00483261"/>
    <w:rsid w:val="00485B23"/>
    <w:rsid w:val="004860C8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114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FD9"/>
    <w:rsid w:val="0051791D"/>
    <w:rsid w:val="00523E75"/>
    <w:rsid w:val="005243E0"/>
    <w:rsid w:val="00524B70"/>
    <w:rsid w:val="005256F3"/>
    <w:rsid w:val="005265A3"/>
    <w:rsid w:val="00526783"/>
    <w:rsid w:val="00527DED"/>
    <w:rsid w:val="00527FB1"/>
    <w:rsid w:val="0053162F"/>
    <w:rsid w:val="00531777"/>
    <w:rsid w:val="0053281C"/>
    <w:rsid w:val="005340C9"/>
    <w:rsid w:val="00536CB2"/>
    <w:rsid w:val="005375FE"/>
    <w:rsid w:val="005420DE"/>
    <w:rsid w:val="00542249"/>
    <w:rsid w:val="005431F5"/>
    <w:rsid w:val="005434A0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21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E64D6"/>
    <w:rsid w:val="005F0108"/>
    <w:rsid w:val="005F02C7"/>
    <w:rsid w:val="005F0ECC"/>
    <w:rsid w:val="005F21A5"/>
    <w:rsid w:val="005F23F2"/>
    <w:rsid w:val="005F2470"/>
    <w:rsid w:val="005F28C6"/>
    <w:rsid w:val="005F3F16"/>
    <w:rsid w:val="005F4E70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A6C"/>
    <w:rsid w:val="006508B9"/>
    <w:rsid w:val="00650CA1"/>
    <w:rsid w:val="00651193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CBC"/>
    <w:rsid w:val="00665F7C"/>
    <w:rsid w:val="0066699A"/>
    <w:rsid w:val="00666DFC"/>
    <w:rsid w:val="00666EBB"/>
    <w:rsid w:val="0066779E"/>
    <w:rsid w:val="0067083F"/>
    <w:rsid w:val="0067269D"/>
    <w:rsid w:val="00672988"/>
    <w:rsid w:val="00672C64"/>
    <w:rsid w:val="00674E6A"/>
    <w:rsid w:val="00675D90"/>
    <w:rsid w:val="00676A64"/>
    <w:rsid w:val="00677925"/>
    <w:rsid w:val="00680F46"/>
    <w:rsid w:val="00681FDC"/>
    <w:rsid w:val="00682B3C"/>
    <w:rsid w:val="00682B53"/>
    <w:rsid w:val="00682F27"/>
    <w:rsid w:val="00690E2E"/>
    <w:rsid w:val="00691C72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4575"/>
    <w:rsid w:val="006F5E64"/>
    <w:rsid w:val="006F60DE"/>
    <w:rsid w:val="006F7914"/>
    <w:rsid w:val="006F7E46"/>
    <w:rsid w:val="00700AB4"/>
    <w:rsid w:val="00700FCA"/>
    <w:rsid w:val="00701645"/>
    <w:rsid w:val="007028C9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67C3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FB8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77D"/>
    <w:rsid w:val="007A4BDD"/>
    <w:rsid w:val="007A72EE"/>
    <w:rsid w:val="007B0397"/>
    <w:rsid w:val="007B0900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1A7"/>
    <w:rsid w:val="00825366"/>
    <w:rsid w:val="00825C7F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573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0A7D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D1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B27"/>
    <w:rsid w:val="00926F61"/>
    <w:rsid w:val="0093123D"/>
    <w:rsid w:val="00933040"/>
    <w:rsid w:val="009330E9"/>
    <w:rsid w:val="00935D15"/>
    <w:rsid w:val="009406E7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309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57B3"/>
    <w:rsid w:val="00A05DF3"/>
    <w:rsid w:val="00A07E08"/>
    <w:rsid w:val="00A12798"/>
    <w:rsid w:val="00A13770"/>
    <w:rsid w:val="00A153BE"/>
    <w:rsid w:val="00A15DEE"/>
    <w:rsid w:val="00A165CA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2CC"/>
    <w:rsid w:val="00A45468"/>
    <w:rsid w:val="00A45F77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6BC1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43B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C02C1"/>
    <w:rsid w:val="00AC0AB6"/>
    <w:rsid w:val="00AC10AD"/>
    <w:rsid w:val="00AC14D0"/>
    <w:rsid w:val="00AC1E55"/>
    <w:rsid w:val="00AC429F"/>
    <w:rsid w:val="00AC60B4"/>
    <w:rsid w:val="00AD00C5"/>
    <w:rsid w:val="00AD06FB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36DC5"/>
    <w:rsid w:val="00B3746B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B6D"/>
    <w:rsid w:val="00B5239C"/>
    <w:rsid w:val="00B53893"/>
    <w:rsid w:val="00B548C2"/>
    <w:rsid w:val="00B55428"/>
    <w:rsid w:val="00B570BF"/>
    <w:rsid w:val="00B631A8"/>
    <w:rsid w:val="00B63337"/>
    <w:rsid w:val="00B6369F"/>
    <w:rsid w:val="00B639D7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0663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3E4"/>
    <w:rsid w:val="00BD3E68"/>
    <w:rsid w:val="00BD598A"/>
    <w:rsid w:val="00BD73D7"/>
    <w:rsid w:val="00BD75B4"/>
    <w:rsid w:val="00BD7D14"/>
    <w:rsid w:val="00BE02B4"/>
    <w:rsid w:val="00BE4EC9"/>
    <w:rsid w:val="00BE5584"/>
    <w:rsid w:val="00BE631E"/>
    <w:rsid w:val="00BF0CCF"/>
    <w:rsid w:val="00BF0FC5"/>
    <w:rsid w:val="00BF10BC"/>
    <w:rsid w:val="00BF21AC"/>
    <w:rsid w:val="00BF2E53"/>
    <w:rsid w:val="00BF3669"/>
    <w:rsid w:val="00BF3C0D"/>
    <w:rsid w:val="00BF4ACF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A40"/>
    <w:rsid w:val="00C75F2F"/>
    <w:rsid w:val="00C75FEE"/>
    <w:rsid w:val="00C76F1D"/>
    <w:rsid w:val="00C77D26"/>
    <w:rsid w:val="00C84D39"/>
    <w:rsid w:val="00C85277"/>
    <w:rsid w:val="00C85D76"/>
    <w:rsid w:val="00C873AC"/>
    <w:rsid w:val="00C93288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16A9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1EB6"/>
    <w:rsid w:val="00D53830"/>
    <w:rsid w:val="00D55889"/>
    <w:rsid w:val="00D56B5F"/>
    <w:rsid w:val="00D57341"/>
    <w:rsid w:val="00D57AF0"/>
    <w:rsid w:val="00D6016C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1F21"/>
    <w:rsid w:val="00D84A57"/>
    <w:rsid w:val="00D874DF"/>
    <w:rsid w:val="00D87A12"/>
    <w:rsid w:val="00D930E1"/>
    <w:rsid w:val="00D9415C"/>
    <w:rsid w:val="00D942CC"/>
    <w:rsid w:val="00D94D87"/>
    <w:rsid w:val="00D94DBA"/>
    <w:rsid w:val="00D962DC"/>
    <w:rsid w:val="00DA180C"/>
    <w:rsid w:val="00DA3E7B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95C"/>
    <w:rsid w:val="00DD1C4B"/>
    <w:rsid w:val="00DD1F7B"/>
    <w:rsid w:val="00DD229E"/>
    <w:rsid w:val="00DD3029"/>
    <w:rsid w:val="00DD55E0"/>
    <w:rsid w:val="00DE1904"/>
    <w:rsid w:val="00DE3DBB"/>
    <w:rsid w:val="00DE43A2"/>
    <w:rsid w:val="00DE4595"/>
    <w:rsid w:val="00DE4A74"/>
    <w:rsid w:val="00DE541C"/>
    <w:rsid w:val="00DE737B"/>
    <w:rsid w:val="00DF100B"/>
    <w:rsid w:val="00DF4359"/>
    <w:rsid w:val="00E01CB8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15F7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2885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3E9E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5ECC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2F3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35745"/>
    <w:rsid w:val="00F4065A"/>
    <w:rsid w:val="00F4275C"/>
    <w:rsid w:val="00F45693"/>
    <w:rsid w:val="00F50EA5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2A49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1DD"/>
    <w:rsid w:val="00FB680E"/>
    <w:rsid w:val="00FC0065"/>
    <w:rsid w:val="00FC3AEE"/>
    <w:rsid w:val="00FC6238"/>
    <w:rsid w:val="00FD23B3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2E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FC6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346206"/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B36DC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0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1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40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53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8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380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2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7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37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4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48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26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19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6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70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038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15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18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8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6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BEE9A06-9913-4B63-86A4-F74C38FD3550}"/>
</file>

<file path=customXml/itemProps2.xml><?xml version="1.0" encoding="utf-8"?>
<ds:datastoreItem xmlns:ds="http://schemas.openxmlformats.org/officeDocument/2006/customXml" ds:itemID="{B044BF1A-F73E-4AC6-95E4-B6D1C8B6F142}"/>
</file>

<file path=customXml/itemProps3.xml><?xml version="1.0" encoding="utf-8"?>
<ds:datastoreItem xmlns:ds="http://schemas.openxmlformats.org/officeDocument/2006/customXml" ds:itemID="{168EEF1D-56B3-4229-B374-C96C9C69636D}"/>
</file>

<file path=customXml/itemProps4.xml><?xml version="1.0" encoding="utf-8"?>
<ds:datastoreItem xmlns:ds="http://schemas.openxmlformats.org/officeDocument/2006/customXml" ds:itemID="{10C26418-81CA-4F3C-A1A5-CF14148DA0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2016-11-04T17:39:00Z</dcterms:created>
  <dcterms:modified xsi:type="dcterms:W3CDTF">2016-11-04T17:40:00Z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