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ECB5D" w14:textId="2C880B3B" w:rsidR="000F0ED3" w:rsidRDefault="00B91C6B" w:rsidP="000F0ED3">
      <w:pPr>
        <w:pStyle w:val="Header"/>
        <w:tabs>
          <w:tab w:val="clear" w:pos="4536"/>
        </w:tabs>
        <w:rPr>
          <w:i/>
        </w:rPr>
      </w:pPr>
      <w:bookmarkStart w:id="0" w:name="_GoBack"/>
      <w:bookmarkEnd w:id="0"/>
      <w:r>
        <w:t>TSG-RAN WG1 #87</w:t>
      </w:r>
      <w:r>
        <w:tab/>
        <w:t>R1-1612774</w:t>
      </w:r>
    </w:p>
    <w:p w14:paraId="08DC72D3" w14:textId="77777777" w:rsidR="000F0ED3" w:rsidRDefault="000F0ED3" w:rsidP="000F0ED3">
      <w:pPr>
        <w:pStyle w:val="Header"/>
        <w:rPr>
          <w:color w:val="000000"/>
        </w:rPr>
      </w:pPr>
      <w:r>
        <w:t>Reno, Nevada, US, November 14 – 18, 2016</w:t>
      </w:r>
    </w:p>
    <w:p w14:paraId="0C2DB96F" w14:textId="77777777" w:rsidR="000F0ED3" w:rsidRDefault="000F0ED3" w:rsidP="000F0ED3">
      <w:pPr>
        <w:pStyle w:val="Header"/>
      </w:pPr>
    </w:p>
    <w:p w14:paraId="512F9451" w14:textId="77777777" w:rsidR="000F0ED3" w:rsidRDefault="000F0ED3" w:rsidP="000F0ED3">
      <w:pPr>
        <w:pStyle w:val="Header"/>
        <w:tabs>
          <w:tab w:val="clear" w:pos="4536"/>
          <w:tab w:val="left" w:pos="1800"/>
        </w:tabs>
        <w:ind w:left="1800" w:hanging="1800"/>
      </w:pPr>
      <w:r>
        <w:t>Source:</w:t>
      </w:r>
      <w:r>
        <w:tab/>
        <w:t>Ericsson</w:t>
      </w:r>
    </w:p>
    <w:p w14:paraId="2959BBB9" w14:textId="28A29ECC" w:rsidR="000F0ED3" w:rsidRDefault="000F0ED3" w:rsidP="000F0ED3">
      <w:pPr>
        <w:pStyle w:val="Header"/>
        <w:tabs>
          <w:tab w:val="clear" w:pos="4536"/>
          <w:tab w:val="left" w:pos="1800"/>
        </w:tabs>
      </w:pPr>
      <w:r>
        <w:t>Title:</w:t>
      </w:r>
      <w:bookmarkStart w:id="1" w:name="Title"/>
      <w:bookmarkEnd w:id="1"/>
      <w:r>
        <w:tab/>
        <w:t xml:space="preserve">On </w:t>
      </w:r>
      <w:r w:rsidR="005D739C">
        <w:t>Symbol</w:t>
      </w:r>
      <w:r w:rsidR="004E1B0F">
        <w:t xml:space="preserve"> Level Alignment for Operation in Unlicensed Spectrum</w:t>
      </w:r>
    </w:p>
    <w:p w14:paraId="728368F1" w14:textId="19BBDCF6" w:rsidR="000F0ED3" w:rsidRDefault="000F0ED3" w:rsidP="000F0ED3">
      <w:pPr>
        <w:pStyle w:val="Header"/>
        <w:tabs>
          <w:tab w:val="left" w:pos="1800"/>
        </w:tabs>
      </w:pPr>
      <w:r>
        <w:t>Agenda Item:</w:t>
      </w:r>
      <w:bookmarkStart w:id="2" w:name="Source"/>
      <w:bookmarkEnd w:id="2"/>
      <w:r>
        <w:tab/>
      </w:r>
      <w:r w:rsidR="004E1B0F">
        <w:t>7.1.1</w:t>
      </w:r>
    </w:p>
    <w:p w14:paraId="365DE35B" w14:textId="77777777" w:rsidR="000F0ED3" w:rsidRDefault="000F0ED3" w:rsidP="000F0ED3">
      <w:pPr>
        <w:pStyle w:val="Header"/>
        <w:tabs>
          <w:tab w:val="left" w:pos="1800"/>
        </w:tabs>
      </w:pPr>
      <w:r>
        <w:t>Document for:</w:t>
      </w:r>
      <w:r>
        <w:tab/>
      </w:r>
      <w:bookmarkStart w:id="3" w:name="DocumentFor"/>
      <w:bookmarkEnd w:id="3"/>
      <w:r>
        <w:t>Discussion and Decision</w:t>
      </w:r>
    </w:p>
    <w:p w14:paraId="4AE7F300" w14:textId="77777777" w:rsidR="000F0ED3" w:rsidRDefault="000F0ED3" w:rsidP="000F0ED3">
      <w:pPr>
        <w:pBdr>
          <w:bottom w:val="single" w:sz="4" w:space="1" w:color="auto"/>
        </w:pBdr>
        <w:tabs>
          <w:tab w:val="left" w:pos="2552"/>
        </w:tabs>
      </w:pPr>
    </w:p>
    <w:p w14:paraId="3F6211C7" w14:textId="77777777" w:rsidR="00F73844" w:rsidRDefault="000F0ED3" w:rsidP="000F0ED3">
      <w:pPr>
        <w:pStyle w:val="Heading1"/>
        <w:rPr>
          <w:b/>
          <w:bCs/>
        </w:rPr>
      </w:pPr>
      <w:r>
        <w:rPr>
          <w:b/>
          <w:bCs/>
        </w:rPr>
        <w:t>Introduction</w:t>
      </w:r>
    </w:p>
    <w:p w14:paraId="3050E3C6" w14:textId="77777777" w:rsidR="00F73844" w:rsidRDefault="00F73844" w:rsidP="00F73844">
      <w:pPr>
        <w:spacing w:after="120"/>
        <w:jc w:val="both"/>
        <w:rPr>
          <w:rFonts w:eastAsia="MS Mincho"/>
        </w:rPr>
      </w:pPr>
      <w:r>
        <w:rPr>
          <w:rFonts w:eastAsia="MS Mincho"/>
        </w:rPr>
        <w:t xml:space="preserve">In RAN1 #86b the following </w:t>
      </w:r>
      <w:r w:rsidR="002C7AD7">
        <w:rPr>
          <w:rFonts w:eastAsia="MS Mincho"/>
        </w:rPr>
        <w:t xml:space="preserve">was agreed </w:t>
      </w:r>
      <w:r>
        <w:rPr>
          <w:rFonts w:eastAsia="MS Mincho"/>
        </w:rPr>
        <w:fldChar w:fldCharType="begin"/>
      </w:r>
      <w:r>
        <w:rPr>
          <w:rFonts w:eastAsia="MS Mincho"/>
        </w:rPr>
        <w:instrText xml:space="preserve"> REF _Ref465264559 \n \h </w:instrText>
      </w:r>
      <w:r>
        <w:rPr>
          <w:rFonts w:eastAsia="MS Mincho"/>
        </w:rPr>
      </w:r>
      <w:r>
        <w:rPr>
          <w:rFonts w:eastAsia="MS Mincho"/>
        </w:rPr>
        <w:fldChar w:fldCharType="separate"/>
      </w:r>
      <w:r>
        <w:rPr>
          <w:rFonts w:eastAsia="MS Mincho"/>
        </w:rPr>
        <w:t>[1]</w:t>
      </w:r>
      <w:r>
        <w:rPr>
          <w:rFonts w:eastAsia="MS Mincho"/>
        </w:rPr>
        <w:fldChar w:fldCharType="end"/>
      </w:r>
      <w:r>
        <w:rPr>
          <w:rFonts w:eastAsia="MS Mincho"/>
        </w:rPr>
        <w:t>:</w:t>
      </w:r>
    </w:p>
    <w:p w14:paraId="61B7F5F4" w14:textId="77777777" w:rsidR="004E1B0F" w:rsidRPr="000E1228" w:rsidRDefault="004E1B0F" w:rsidP="004E1B0F">
      <w:pPr>
        <w:rPr>
          <w:rFonts w:eastAsia="MS Mincho"/>
          <w:b/>
          <w:u w:val="single"/>
          <w:lang w:eastAsia="ja-JP"/>
        </w:rPr>
      </w:pPr>
      <w:r w:rsidRPr="001E0969">
        <w:rPr>
          <w:rFonts w:eastAsia="MS Mincho" w:hint="eastAsia"/>
          <w:b/>
          <w:highlight w:val="green"/>
          <w:u w:val="single"/>
          <w:lang w:eastAsia="ja-JP"/>
        </w:rPr>
        <w:t>Agreements:</w:t>
      </w:r>
    </w:p>
    <w:p w14:paraId="6963869A" w14:textId="77777777" w:rsidR="004E1B0F" w:rsidRPr="000E1228" w:rsidRDefault="004E1B0F" w:rsidP="004E1B0F">
      <w:pPr>
        <w:numPr>
          <w:ilvl w:val="0"/>
          <w:numId w:val="6"/>
        </w:numPr>
        <w:rPr>
          <w:rFonts w:eastAsia="MS Mincho"/>
          <w:lang w:eastAsia="ja-JP"/>
        </w:rPr>
      </w:pPr>
      <w:r w:rsidRPr="000E1228">
        <w:rPr>
          <w:rFonts w:eastAsia="MS Mincho"/>
          <w:lang w:eastAsia="ja-JP"/>
        </w:rPr>
        <w:t xml:space="preserve">Alignment within a </w:t>
      </w:r>
      <w:proofErr w:type="spellStart"/>
      <w:r w:rsidRPr="000E1228">
        <w:rPr>
          <w:rFonts w:eastAsia="MS Mincho"/>
          <w:lang w:eastAsia="ja-JP"/>
        </w:rPr>
        <w:t>subframe</w:t>
      </w:r>
      <w:proofErr w:type="spellEnd"/>
    </w:p>
    <w:p w14:paraId="2A2FB08B" w14:textId="77777777" w:rsidR="004E1B0F" w:rsidRPr="000E1228" w:rsidRDefault="004E1B0F" w:rsidP="004E1B0F">
      <w:pPr>
        <w:numPr>
          <w:ilvl w:val="1"/>
          <w:numId w:val="6"/>
        </w:numPr>
        <w:rPr>
          <w:rFonts w:eastAsia="MS Mincho"/>
          <w:lang w:eastAsia="ja-JP"/>
        </w:rPr>
      </w:pPr>
      <w:r w:rsidRPr="000E1228">
        <w:rPr>
          <w:rFonts w:eastAsia="MS Mincho"/>
          <w:lang w:eastAsia="ja-JP"/>
        </w:rPr>
        <w:t xml:space="preserve">Symbol level alignment across different subcarrier </w:t>
      </w:r>
      <w:proofErr w:type="spellStart"/>
      <w:r w:rsidRPr="000E1228">
        <w:rPr>
          <w:rFonts w:eastAsia="MS Mincho"/>
          <w:lang w:eastAsia="ja-JP"/>
        </w:rPr>
        <w:t>spacings</w:t>
      </w:r>
      <w:proofErr w:type="spellEnd"/>
      <w:r w:rsidRPr="000E1228">
        <w:rPr>
          <w:rFonts w:eastAsia="MS Mincho"/>
          <w:lang w:eastAsia="ja-JP"/>
        </w:rPr>
        <w:t xml:space="preserve"> with the same CP overhead is assumed within a </w:t>
      </w:r>
      <w:proofErr w:type="spellStart"/>
      <w:r w:rsidRPr="000E1228">
        <w:rPr>
          <w:rFonts w:eastAsia="MS Mincho"/>
          <w:lang w:eastAsia="ja-JP"/>
        </w:rPr>
        <w:t>subframe</w:t>
      </w:r>
      <w:proofErr w:type="spellEnd"/>
      <w:r w:rsidRPr="000E1228">
        <w:rPr>
          <w:rFonts w:eastAsia="MS Mincho"/>
          <w:lang w:eastAsia="ja-JP"/>
        </w:rPr>
        <w:t xml:space="preserve"> duration in a NR carrier</w:t>
      </w:r>
    </w:p>
    <w:p w14:paraId="02947BDF" w14:textId="77777777" w:rsidR="004E1B0F" w:rsidRPr="000E1228" w:rsidRDefault="004E1B0F" w:rsidP="004E1B0F">
      <w:pPr>
        <w:numPr>
          <w:ilvl w:val="1"/>
          <w:numId w:val="6"/>
        </w:numPr>
        <w:rPr>
          <w:rFonts w:eastAsia="MS Mincho"/>
          <w:lang w:eastAsia="ja-JP"/>
        </w:rPr>
      </w:pPr>
      <w:r w:rsidRPr="000E1228">
        <w:rPr>
          <w:rFonts w:eastAsia="MS Mincho"/>
          <w:lang w:eastAsia="ja-JP"/>
        </w:rPr>
        <w:t>FFS: Unlicensed spectrum case</w:t>
      </w:r>
    </w:p>
    <w:p w14:paraId="1560D668" w14:textId="77777777" w:rsidR="004E1B0F" w:rsidRPr="000E1228" w:rsidRDefault="004E1B0F" w:rsidP="004E1B0F">
      <w:pPr>
        <w:numPr>
          <w:ilvl w:val="0"/>
          <w:numId w:val="7"/>
        </w:numPr>
        <w:rPr>
          <w:rFonts w:eastAsia="MS Mincho"/>
          <w:lang w:eastAsia="ja-JP"/>
        </w:rPr>
      </w:pPr>
      <w:r w:rsidRPr="000E1228">
        <w:rPr>
          <w:rFonts w:eastAsia="MS Mincho"/>
          <w:lang w:eastAsia="ja-JP"/>
        </w:rPr>
        <w:t>For normal CP family, the following is adopted</w:t>
      </w:r>
    </w:p>
    <w:p w14:paraId="3F0E16B2" w14:textId="77777777" w:rsidR="004E1B0F" w:rsidRPr="000E1228" w:rsidRDefault="004E1B0F" w:rsidP="004E1B0F">
      <w:pPr>
        <w:numPr>
          <w:ilvl w:val="1"/>
          <w:numId w:val="7"/>
        </w:numPr>
        <w:rPr>
          <w:rFonts w:eastAsia="MS Mincho"/>
          <w:lang w:eastAsia="ja-JP"/>
        </w:rPr>
      </w:pPr>
      <w:r w:rsidRPr="000E1228">
        <w:rPr>
          <w:rFonts w:eastAsia="MS Mincho"/>
          <w:lang w:eastAsia="ja-JP"/>
        </w:rPr>
        <w:t>For F</w:t>
      </w:r>
      <w:r w:rsidRPr="000E1228">
        <w:rPr>
          <w:rFonts w:eastAsia="MS Mincho"/>
          <w:vertAlign w:val="subscript"/>
          <w:lang w:eastAsia="ja-JP"/>
        </w:rPr>
        <w:t>s</w:t>
      </w:r>
      <w:r w:rsidRPr="000E1228">
        <w:rPr>
          <w:rFonts w:eastAsia="MS Mincho"/>
          <w:lang w:eastAsia="ja-JP"/>
        </w:rPr>
        <w:t xml:space="preserve"> = 15 kHz * 2</w:t>
      </w:r>
      <w:r w:rsidRPr="000E1228">
        <w:rPr>
          <w:rFonts w:eastAsia="MS Mincho"/>
          <w:vertAlign w:val="superscript"/>
          <w:lang w:eastAsia="ja-JP"/>
        </w:rPr>
        <w:t>n</w:t>
      </w:r>
      <w:r w:rsidRPr="000E1228">
        <w:rPr>
          <w:rFonts w:eastAsia="MS Mincho"/>
          <w:lang w:eastAsia="ja-JP"/>
        </w:rPr>
        <w:t xml:space="preserve"> (n is </w:t>
      </w:r>
      <w:r>
        <w:rPr>
          <w:rFonts w:eastAsia="MS Mincho" w:hint="eastAsia"/>
          <w:lang w:eastAsia="ja-JP"/>
        </w:rPr>
        <w:t>non-negative integer</w:t>
      </w:r>
      <w:r w:rsidRPr="000E1228">
        <w:rPr>
          <w:rFonts w:eastAsia="MS Mincho"/>
          <w:lang w:eastAsia="ja-JP"/>
        </w:rPr>
        <w:t xml:space="preserve">), </w:t>
      </w:r>
    </w:p>
    <w:p w14:paraId="1A897D03" w14:textId="77777777" w:rsidR="004E1B0F" w:rsidRPr="000E1228" w:rsidRDefault="004E1B0F" w:rsidP="004E1B0F">
      <w:pPr>
        <w:numPr>
          <w:ilvl w:val="2"/>
          <w:numId w:val="7"/>
        </w:numPr>
        <w:rPr>
          <w:rFonts w:eastAsia="MS Mincho"/>
          <w:lang w:eastAsia="ja-JP"/>
        </w:rPr>
      </w:pPr>
      <w:r w:rsidRPr="000E1228">
        <w:rPr>
          <w:rFonts w:eastAsia="MS Mincho"/>
          <w:lang w:eastAsia="ja-JP"/>
        </w:rPr>
        <w:t>Each symbol length (including CP) of 15 kHz</w:t>
      </w:r>
      <w:r w:rsidRPr="000E1228">
        <w:rPr>
          <w:rFonts w:eastAsia="MS Mincho"/>
          <w:vertAlign w:val="subscript"/>
          <w:lang w:eastAsia="ja-JP"/>
        </w:rPr>
        <w:t xml:space="preserve"> </w:t>
      </w:r>
      <w:r w:rsidRPr="000E1228">
        <w:rPr>
          <w:rFonts w:eastAsia="MS Mincho"/>
          <w:lang w:eastAsia="ja-JP"/>
        </w:rPr>
        <w:t>equals the sum of the corresponding 2</w:t>
      </w:r>
      <w:r w:rsidRPr="000E1228">
        <w:rPr>
          <w:rFonts w:eastAsia="MS Mincho"/>
          <w:vertAlign w:val="superscript"/>
          <w:lang w:eastAsia="ja-JP"/>
        </w:rPr>
        <w:t>n</w:t>
      </w:r>
      <w:r w:rsidRPr="000E1228">
        <w:rPr>
          <w:rFonts w:eastAsia="MS Mincho"/>
          <w:lang w:eastAsia="ja-JP"/>
        </w:rPr>
        <w:t xml:space="preserve"> symbols of F</w:t>
      </w:r>
      <w:r w:rsidRPr="000E1228">
        <w:rPr>
          <w:rFonts w:eastAsia="MS Mincho"/>
          <w:vertAlign w:val="subscript"/>
          <w:lang w:eastAsia="ja-JP"/>
        </w:rPr>
        <w:t>s</w:t>
      </w:r>
    </w:p>
    <w:p w14:paraId="278DA778" w14:textId="77777777" w:rsidR="004E1B0F" w:rsidRPr="000E1228" w:rsidRDefault="004E1B0F" w:rsidP="004E1B0F">
      <w:pPr>
        <w:numPr>
          <w:ilvl w:val="2"/>
          <w:numId w:val="7"/>
        </w:numPr>
        <w:rPr>
          <w:rFonts w:eastAsia="MS Mincho"/>
          <w:lang w:eastAsia="ja-JP"/>
        </w:rPr>
      </w:pPr>
      <w:r w:rsidRPr="000E1228">
        <w:rPr>
          <w:rFonts w:eastAsia="MS Mincho"/>
          <w:lang w:eastAsia="ja-JP"/>
        </w:rPr>
        <w:t>Other than the first OS in every 0.5msec, all OFDM symbols within 0.5msec have the same size</w:t>
      </w:r>
    </w:p>
    <w:p w14:paraId="005E7619" w14:textId="555E56D5" w:rsidR="004E1B0F" w:rsidRPr="001C68CB" w:rsidRDefault="004E1B0F" w:rsidP="004E1B0F">
      <w:pPr>
        <w:numPr>
          <w:ilvl w:val="2"/>
          <w:numId w:val="7"/>
        </w:numPr>
        <w:rPr>
          <w:rFonts w:eastAsia="MS Mincho"/>
          <w:lang w:eastAsia="ja-JP"/>
        </w:rPr>
      </w:pPr>
      <w:r w:rsidRPr="001C68CB">
        <w:rPr>
          <w:rFonts w:eastAsia="MS Mincho"/>
          <w:lang w:eastAsia="ja-JP"/>
        </w:rPr>
        <w:t>The first OS in 0.5</w:t>
      </w:r>
      <w:proofErr w:type="gramStart"/>
      <w:r w:rsidRPr="001C68CB">
        <w:rPr>
          <w:rFonts w:eastAsia="MS Mincho"/>
          <w:lang w:eastAsia="ja-JP"/>
        </w:rPr>
        <w:t xml:space="preserve">msec  </w:t>
      </w:r>
      <w:r w:rsidRPr="001C68CB">
        <w:rPr>
          <w:rFonts w:eastAsia="MS Mincho" w:hint="eastAsia"/>
          <w:lang w:eastAsia="ja-JP"/>
        </w:rPr>
        <w:t>is</w:t>
      </w:r>
      <w:proofErr w:type="gramEnd"/>
      <w:r w:rsidRPr="001C68CB">
        <w:rPr>
          <w:rFonts w:eastAsia="MS Mincho" w:hint="eastAsia"/>
          <w:lang w:eastAsia="ja-JP"/>
        </w:rPr>
        <w:t xml:space="preserve"> </w:t>
      </w:r>
      <w:r w:rsidRPr="001C68CB">
        <w:rPr>
          <w:rFonts w:eastAsia="MS Mincho"/>
          <w:lang w:eastAsia="ja-JP"/>
        </w:rPr>
        <w:t xml:space="preserve">longer </w:t>
      </w:r>
      <w:r w:rsidRPr="001C68CB">
        <w:rPr>
          <w:rFonts w:eastAsia="MS Mincho" w:hint="eastAsia"/>
          <w:lang w:eastAsia="ja-JP"/>
        </w:rPr>
        <w:t xml:space="preserve">by </w:t>
      </w:r>
      <w:r w:rsidRPr="001C68CB">
        <w:rPr>
          <w:rFonts w:eastAsia="MS Mincho"/>
          <w:lang w:eastAsia="ja-JP"/>
        </w:rPr>
        <w:t>16 Ts (assuming 15 kHz and FFT size of 2048) compared to other O</w:t>
      </w:r>
      <w:r w:rsidRPr="001C68CB">
        <w:rPr>
          <w:rFonts w:eastAsia="MS Mincho" w:hint="eastAsia"/>
          <w:lang w:eastAsia="ja-JP"/>
        </w:rPr>
        <w:t>S</w:t>
      </w:r>
      <w:r w:rsidRPr="001C68CB">
        <w:rPr>
          <w:rFonts w:eastAsia="MS Mincho"/>
          <w:lang w:eastAsia="ja-JP"/>
        </w:rPr>
        <w:t>s</w:t>
      </w:r>
    </w:p>
    <w:p w14:paraId="42E545D8" w14:textId="77777777" w:rsidR="004E1B0F" w:rsidRPr="004A7511" w:rsidRDefault="004E1B0F" w:rsidP="004E1B0F">
      <w:pPr>
        <w:numPr>
          <w:ilvl w:val="3"/>
          <w:numId w:val="7"/>
        </w:numPr>
        <w:rPr>
          <w:rFonts w:eastAsia="MS Mincho"/>
          <w:lang w:eastAsia="ja-JP"/>
        </w:rPr>
      </w:pPr>
      <w:r w:rsidRPr="004A7511">
        <w:rPr>
          <w:rFonts w:eastAsia="MS Mincho" w:hint="eastAsia"/>
          <w:lang w:eastAsia="ja-JP"/>
        </w:rPr>
        <w:t xml:space="preserve">16 </w:t>
      </w:r>
      <w:r w:rsidRPr="004A7511">
        <w:rPr>
          <w:rFonts w:eastAsia="MS Mincho"/>
          <w:lang w:eastAsia="ja-JP"/>
        </w:rPr>
        <w:t>Ts</w:t>
      </w:r>
      <w:r w:rsidRPr="004A7511">
        <w:rPr>
          <w:rFonts w:eastAsia="MS Mincho" w:hint="eastAsia"/>
          <w:lang w:eastAsia="ja-JP"/>
        </w:rPr>
        <w:t xml:space="preserve"> is used for CP for the first symbol</w:t>
      </w:r>
    </w:p>
    <w:p w14:paraId="70B5421D" w14:textId="7642E358" w:rsidR="004E1B0F" w:rsidRPr="001C68CB" w:rsidRDefault="004E1B0F" w:rsidP="004E1B0F">
      <w:pPr>
        <w:numPr>
          <w:ilvl w:val="1"/>
          <w:numId w:val="7"/>
        </w:numPr>
        <w:rPr>
          <w:rFonts w:eastAsia="MS Mincho"/>
          <w:lang w:eastAsia="ja-JP"/>
        </w:rPr>
      </w:pPr>
      <w:r w:rsidRPr="001C68CB">
        <w:rPr>
          <w:rFonts w:eastAsia="MS Mincho"/>
          <w:lang w:eastAsia="ja-JP"/>
        </w:rPr>
        <w:t>For F</w:t>
      </w:r>
      <w:r w:rsidRPr="001C68CB">
        <w:rPr>
          <w:rFonts w:eastAsia="MS Mincho"/>
          <w:vertAlign w:val="subscript"/>
          <w:lang w:eastAsia="ja-JP"/>
        </w:rPr>
        <w:t>s</w:t>
      </w:r>
      <w:r w:rsidRPr="001C68CB">
        <w:rPr>
          <w:rFonts w:eastAsia="MS Mincho"/>
          <w:lang w:eastAsia="ja-JP"/>
        </w:rPr>
        <w:t xml:space="preserve"> = 15 kHz * 2</w:t>
      </w:r>
      <w:r w:rsidRPr="001C68CB">
        <w:rPr>
          <w:rFonts w:eastAsia="MS Mincho"/>
          <w:vertAlign w:val="superscript"/>
          <w:lang w:eastAsia="ja-JP"/>
        </w:rPr>
        <w:t>n</w:t>
      </w:r>
      <w:r w:rsidRPr="001C68CB">
        <w:rPr>
          <w:rFonts w:eastAsia="MS Mincho"/>
          <w:lang w:eastAsia="ja-JP"/>
        </w:rPr>
        <w:t xml:space="preserve"> (n is a negative integer)</w:t>
      </w:r>
    </w:p>
    <w:p w14:paraId="74B6482B" w14:textId="77777777" w:rsidR="004E1B0F" w:rsidRPr="00525947" w:rsidRDefault="004E1B0F" w:rsidP="004E1B0F">
      <w:pPr>
        <w:numPr>
          <w:ilvl w:val="2"/>
          <w:numId w:val="7"/>
        </w:numPr>
        <w:rPr>
          <w:rFonts w:eastAsia="MS Mincho"/>
          <w:lang w:eastAsia="ja-JP"/>
        </w:rPr>
      </w:pPr>
      <w:r w:rsidRPr="006E42E2">
        <w:rPr>
          <w:rFonts w:eastAsia="MS Mincho"/>
          <w:lang w:eastAsia="ja-JP"/>
        </w:rPr>
        <w:t>Each symbol length (including CP) of F</w:t>
      </w:r>
      <w:r w:rsidRPr="006E42E2">
        <w:rPr>
          <w:rFonts w:eastAsia="MS Mincho"/>
          <w:vertAlign w:val="subscript"/>
          <w:lang w:eastAsia="ja-JP"/>
        </w:rPr>
        <w:t>s</w:t>
      </w:r>
      <w:r w:rsidRPr="006E42E2">
        <w:rPr>
          <w:rFonts w:eastAsia="MS Mincho"/>
          <w:lang w:eastAsia="ja-JP"/>
        </w:rPr>
        <w:t xml:space="preserve"> equals the sum of the corresponding 2</w:t>
      </w:r>
      <w:r w:rsidRPr="006E42E2">
        <w:rPr>
          <w:rFonts w:eastAsia="MS Mincho" w:hint="eastAsia"/>
          <w:vertAlign w:val="superscript"/>
          <w:lang w:eastAsia="ja-JP"/>
        </w:rPr>
        <w:t>-n</w:t>
      </w:r>
      <w:r w:rsidRPr="001C68CB">
        <w:rPr>
          <w:rFonts w:eastAsia="MS Mincho"/>
          <w:lang w:eastAsia="ja-JP"/>
        </w:rPr>
        <w:t xml:space="preserve"> symbols of 15 kHz</w:t>
      </w:r>
    </w:p>
    <w:p w14:paraId="50F888D1" w14:textId="77777777" w:rsidR="00C15550" w:rsidRDefault="00C15550" w:rsidP="00F73844">
      <w:pPr>
        <w:spacing w:after="120"/>
        <w:jc w:val="both"/>
        <w:rPr>
          <w:rFonts w:eastAsia="MS Mincho"/>
        </w:rPr>
      </w:pPr>
    </w:p>
    <w:p w14:paraId="69A5A2E6" w14:textId="176DF6D0" w:rsidR="002C7AD7" w:rsidRDefault="004E1B0F" w:rsidP="00F73844">
      <w:pPr>
        <w:spacing w:after="120"/>
        <w:jc w:val="both"/>
        <w:rPr>
          <w:rFonts w:eastAsia="MS Mincho"/>
        </w:rPr>
      </w:pPr>
      <w:r>
        <w:rPr>
          <w:rFonts w:eastAsia="MS Mincho"/>
        </w:rPr>
        <w:t>The agreement above left the case of symbol level alignment as addressed in the above agreement for further study for the case where the NR carrier is</w:t>
      </w:r>
      <w:r w:rsidR="000C0313">
        <w:rPr>
          <w:rFonts w:eastAsia="MS Mincho"/>
        </w:rPr>
        <w:t xml:space="preserve"> operating</w:t>
      </w:r>
      <w:r>
        <w:rPr>
          <w:rFonts w:eastAsia="MS Mincho"/>
        </w:rPr>
        <w:t xml:space="preserve"> in unlicensed spectrum</w:t>
      </w:r>
      <w:r w:rsidR="002C7AD7">
        <w:rPr>
          <w:rFonts w:eastAsia="MS Mincho"/>
        </w:rPr>
        <w:t>.</w:t>
      </w:r>
      <w:r>
        <w:rPr>
          <w:rFonts w:eastAsia="MS Mincho"/>
        </w:rPr>
        <w:t xml:space="preserve"> In this contribution we discuss whether there </w:t>
      </w:r>
      <w:r w:rsidR="006E5D72">
        <w:rPr>
          <w:rFonts w:eastAsia="MS Mincho"/>
        </w:rPr>
        <w:t>is any need for the case of operation in unlicensed spectrum to be different regarding such alignment</w:t>
      </w:r>
      <w:r w:rsidR="000C0313">
        <w:rPr>
          <w:rFonts w:eastAsia="MS Mincho"/>
        </w:rPr>
        <w:t xml:space="preserve"> than the case of operation in licensed spectrum</w:t>
      </w:r>
      <w:r w:rsidR="006E5D72">
        <w:rPr>
          <w:rFonts w:eastAsia="MS Mincho"/>
        </w:rPr>
        <w:t>.</w:t>
      </w:r>
    </w:p>
    <w:p w14:paraId="12673DC1" w14:textId="77777777" w:rsidR="00F73844" w:rsidRDefault="002C7AD7" w:rsidP="000F0ED3">
      <w:pPr>
        <w:pStyle w:val="Heading1"/>
        <w:rPr>
          <w:b/>
          <w:bCs/>
        </w:rPr>
      </w:pPr>
      <w:r>
        <w:rPr>
          <w:b/>
          <w:bCs/>
        </w:rPr>
        <w:t>Discussion</w:t>
      </w:r>
    </w:p>
    <w:p w14:paraId="1DB8D3AE" w14:textId="2ABDECCB" w:rsidR="00351C2C" w:rsidRDefault="005D16BA" w:rsidP="00F73844">
      <w:r>
        <w:t>When operating in unlicensed spectrum, multiple operators may use the same carrier frequency in an unplanned manner. This is a critical difference from operation in licensed spectrum where an operator may plan the network on a carrier to control the interference suffered from other nodes</w:t>
      </w:r>
      <w:r w:rsidR="00351C2C">
        <w:t>.</w:t>
      </w:r>
      <w:r>
        <w:t xml:space="preserve"> Therefore, the most prevalent technologies that use unlicensed spectrum adopt so-called listen-before-talk (LBT) schemes which sense the carrier and transmit on the carrier only if the carrier is sensed to be idle. For such methods to ensure effective coexistence on the carrier, especially at high traffic loads, it is beneficial for a node that successfully completes a LBT procedure to transmit immediately. This allows other nodes that are attempting access to the carrier to sense the transmission from this node and wait until the transmission completes. If a node chooses to wait for some time before it transmits after successfully completing the LBT procedure, it must effectively extend the LBT procedure to ensure the carrier is idle prior to transmission at a later point in time. This </w:t>
      </w:r>
      <w:r w:rsidR="00006273">
        <w:t xml:space="preserve">results in the node performing an LBT procedure that is more conservative than required which can in certain situations lead to reduced access to the carrier. </w:t>
      </w:r>
    </w:p>
    <w:p w14:paraId="328B3A07" w14:textId="223DFCE1" w:rsidR="00006273" w:rsidRDefault="00006273" w:rsidP="00F73844"/>
    <w:p w14:paraId="3F1B1184" w14:textId="35583FCA" w:rsidR="00006273" w:rsidRDefault="00006273" w:rsidP="00F73844">
      <w:r>
        <w:t xml:space="preserve">Design of communication systems can broadly follow two approaches. In one approach, the system is fully asynchronous, in that, a transmission can start at any time. In an alternate approach, a transmission is allowed to start only at some discrete instances in time, so that, there is a notion of some timing on the channel that is adhered to. While there are some advantages to the asynchronous approach when operating in unlicensed spectrum, as discussed above, there are also significant advantages to having a discrete timing for start of transmissions on a carrier. When transmissions start at a distinct time, </w:t>
      </w:r>
      <w:r w:rsidR="009D544E">
        <w:t>this can improve the sensitivity at the receiver since uncertainty on the starting point of transmissions is significantly reduced. It also reduces receiver complexit</w:t>
      </w:r>
      <w:r w:rsidR="000E42A4">
        <w:t>y as well as power consumption. These are significant benefits and cellular system design has typically used timed transmissions in order to accrue these benefits.</w:t>
      </w:r>
    </w:p>
    <w:p w14:paraId="1594000D" w14:textId="69D2BA21" w:rsidR="000E42A4" w:rsidRDefault="000E42A4" w:rsidP="00F73844"/>
    <w:p w14:paraId="543B61CC" w14:textId="290B3BED" w:rsidR="000E42A4" w:rsidRDefault="000E42A4" w:rsidP="00F73844">
      <w:r>
        <w:lastRenderedPageBreak/>
        <w:t xml:space="preserve">Recently, cellular technologies have been adapted to operate in unlicensed spectrum. Specifications have been developed in 3GPP to introduce LTE into unlicensed spectrum in the form of licensed-assisted access (LAA) where the carrier aggregation framework is used to aggregate carriers in unlicensed spectrum with one or more carriers in licensed spectrum. </w:t>
      </w:r>
      <w:r w:rsidR="009779A5">
        <w:t xml:space="preserve">In the LAA context, the advantages and disadvantages of having a timed approach to transmissions have been discussed. Considering that LTE and LAA have normally used a </w:t>
      </w:r>
      <w:proofErr w:type="spellStart"/>
      <w:r w:rsidR="009779A5">
        <w:t>subframe</w:t>
      </w:r>
      <w:proofErr w:type="spellEnd"/>
      <w:r w:rsidR="009779A5">
        <w:t xml:space="preserve"> timing of 1 </w:t>
      </w:r>
      <w:proofErr w:type="spellStart"/>
      <w:r w:rsidR="009779A5">
        <w:t>ms</w:t>
      </w:r>
      <w:proofErr w:type="spellEnd"/>
      <w:r w:rsidR="009779A5">
        <w:t xml:space="preserve">, which is a reasonable fraction of a typical transmit opportunity on a carrier in unlicensed spectrum, the disadvantages that this poses in terms of system overhead in situations where the </w:t>
      </w:r>
      <w:proofErr w:type="spellStart"/>
      <w:r w:rsidR="009779A5">
        <w:t>eNB</w:t>
      </w:r>
      <w:proofErr w:type="spellEnd"/>
      <w:r w:rsidR="009779A5">
        <w:t xml:space="preserve"> must transmit before a </w:t>
      </w:r>
      <w:proofErr w:type="spellStart"/>
      <w:r w:rsidR="009779A5">
        <w:t>subframe</w:t>
      </w:r>
      <w:proofErr w:type="spellEnd"/>
      <w:r w:rsidR="009779A5">
        <w:t xml:space="preserve"> boundary have been discussed. In order to minimize such overhead, the ability to start transmission on slot boundaries instead of </w:t>
      </w:r>
      <w:proofErr w:type="spellStart"/>
      <w:r w:rsidR="009779A5">
        <w:t>subframe</w:t>
      </w:r>
      <w:proofErr w:type="spellEnd"/>
      <w:r w:rsidR="009779A5">
        <w:t xml:space="preserve"> boundaries was added to LAA. Further developments in LTE will result in provision of transmission time instances with even finer granularity in the future. </w:t>
      </w:r>
      <w:r w:rsidR="000A13F6">
        <w:t xml:space="preserve">While LAA can coexist well with other technologies in unlicensed spectrum even with a transmission timing granularity of 1 </w:t>
      </w:r>
      <w:proofErr w:type="spellStart"/>
      <w:r w:rsidR="000A13F6">
        <w:t>ms</w:t>
      </w:r>
      <w:proofErr w:type="spellEnd"/>
      <w:r w:rsidR="000A13F6">
        <w:t>, this finer granularity will help to minimize system overhead even further and improve LAA performance.</w:t>
      </w:r>
    </w:p>
    <w:p w14:paraId="7C5CFEFD" w14:textId="16AF29BF" w:rsidR="000A13F6" w:rsidRDefault="000A13F6" w:rsidP="00F73844"/>
    <w:p w14:paraId="58E14559" w14:textId="054EC2E5" w:rsidR="000A13F6" w:rsidRDefault="000A13F6" w:rsidP="00F73844">
      <w:r>
        <w:t xml:space="preserve">Considering the discussion above, it is clear that synchronous timed transmissions provide significant benefits. While fully asynchronous transmission on a carrier can allow for a minimum amount of overhead with respect to access to the carrier, it can potentially increase the overall overhead in the system due to the lack of the performance benefits of timed transmissions discussed earlier. Therefore, it is </w:t>
      </w:r>
      <w:r w:rsidR="003A2557">
        <w:t>desirable to strike a trade-off which is able to maximize overall system performance and coverage when operating in both licensed and unlicensed spectrum. This entails the use of discrete transmission timing but with a fine granularity so that the duration of the interval between two possible start times is a</w:t>
      </w:r>
      <w:r w:rsidR="003E3B2A">
        <w:t>s</w:t>
      </w:r>
      <w:r w:rsidR="003A2557">
        <w:t xml:space="preserve"> small </w:t>
      </w:r>
      <w:r w:rsidR="003E3B2A">
        <w:t xml:space="preserve">a </w:t>
      </w:r>
      <w:r w:rsidR="003A2557">
        <w:t xml:space="preserve">fraction </w:t>
      </w:r>
      <w:r w:rsidR="003E3B2A">
        <w:t xml:space="preserve">as possible </w:t>
      </w:r>
      <w:r w:rsidR="003A2557">
        <w:t xml:space="preserve">of the typical occupancy times on the carrier. </w:t>
      </w:r>
    </w:p>
    <w:p w14:paraId="092DFF56" w14:textId="44A928DC" w:rsidR="003A2557" w:rsidRDefault="003A2557" w:rsidP="00F73844"/>
    <w:p w14:paraId="2891569E" w14:textId="7918929E" w:rsidR="003A2557" w:rsidRDefault="003A2557" w:rsidP="00F73844">
      <w:r>
        <w:t>The concept of mini-slots or sub-slot</w:t>
      </w:r>
      <w:r w:rsidR="008B1D7C">
        <w:t xml:space="preserve">s has been agreed in NR and further desirable characteristics of these slots has been elaborated </w:t>
      </w:r>
      <w:r>
        <w:t xml:space="preserve">upon in </w:t>
      </w:r>
      <w:r>
        <w:fldChar w:fldCharType="begin"/>
      </w:r>
      <w:r>
        <w:instrText xml:space="preserve"> REF _Ref466023697 \r \h </w:instrText>
      </w:r>
      <w:r>
        <w:fldChar w:fldCharType="separate"/>
      </w:r>
      <w:r>
        <w:t>[2]</w:t>
      </w:r>
      <w:r>
        <w:fldChar w:fldCharType="end"/>
      </w:r>
      <w:r w:rsidR="008B1D7C">
        <w:t>. A key desirable characteristic</w:t>
      </w:r>
      <w:r w:rsidR="003E3B2A">
        <w:t xml:space="preserve"> for these sub-slots</w:t>
      </w:r>
      <w:r w:rsidR="008B1D7C">
        <w:t xml:space="preserve"> is to be </w:t>
      </w:r>
      <w:r w:rsidR="003E3B2A">
        <w:t xml:space="preserve">able to </w:t>
      </w:r>
      <w:r w:rsidR="008B1D7C">
        <w:t>start these sub-slots on any OFDM symbol boundary. This would allow very fine granularity for timed transmissions while at the same time si</w:t>
      </w:r>
      <w:r w:rsidR="00A45162">
        <w:t xml:space="preserve">gnificantly minimizing overhead </w:t>
      </w:r>
      <w:r w:rsidR="008B1D7C">
        <w:t>related to channel access for operation in unlicensed spectrum</w:t>
      </w:r>
      <w:r w:rsidR="00A45162">
        <w:t xml:space="preserve"> thus enhancing performance while</w:t>
      </w:r>
      <w:r w:rsidR="008B1D7C">
        <w:t xml:space="preserve"> </w:t>
      </w:r>
      <w:r w:rsidR="00A45162">
        <w:t>m</w:t>
      </w:r>
      <w:r w:rsidR="008B1D7C">
        <w:t xml:space="preserve">aintaining the ability to coexist with other technologies. </w:t>
      </w:r>
      <w:r w:rsidR="00A45162">
        <w:t>We therefore make the following proposals.</w:t>
      </w:r>
    </w:p>
    <w:p w14:paraId="5B4F4CC4" w14:textId="0C40DF3C" w:rsidR="00A45162" w:rsidRDefault="00A45162" w:rsidP="00F73844"/>
    <w:p w14:paraId="2FC0C715" w14:textId="27AD1C6B" w:rsidR="00A45162" w:rsidRDefault="00A45162" w:rsidP="00F73844">
      <w:r w:rsidRPr="00A45162">
        <w:rPr>
          <w:b/>
        </w:rPr>
        <w:t xml:space="preserve">Proposal: </w:t>
      </w:r>
      <w:r>
        <w:t>A sub-slot should be allowed to start at ‘any’ OFDM symbol</w:t>
      </w:r>
      <w:r w:rsidR="002A0999">
        <w:t xml:space="preserve"> to allow effective operation in unlicensed spectrum</w:t>
      </w:r>
    </w:p>
    <w:p w14:paraId="3727F96E" w14:textId="1398D285" w:rsidR="002A0999" w:rsidRDefault="002A0999" w:rsidP="00F73844"/>
    <w:p w14:paraId="68D0FED2" w14:textId="20086FB6" w:rsidR="002A0999" w:rsidRPr="00A45162" w:rsidRDefault="002A0999" w:rsidP="00F73844">
      <w:pPr>
        <w:rPr>
          <w:b/>
        </w:rPr>
      </w:pPr>
      <w:r w:rsidRPr="00A45162">
        <w:rPr>
          <w:b/>
        </w:rPr>
        <w:t xml:space="preserve">Proposal: </w:t>
      </w:r>
      <w:r w:rsidRPr="000E1228">
        <w:rPr>
          <w:rFonts w:eastAsia="MS Mincho"/>
          <w:lang w:eastAsia="ja-JP"/>
        </w:rPr>
        <w:t xml:space="preserve">Symbol level alignment across different subcarrier </w:t>
      </w:r>
      <w:proofErr w:type="spellStart"/>
      <w:r w:rsidRPr="000E1228">
        <w:rPr>
          <w:rFonts w:eastAsia="MS Mincho"/>
          <w:lang w:eastAsia="ja-JP"/>
        </w:rPr>
        <w:t>spacings</w:t>
      </w:r>
      <w:proofErr w:type="spellEnd"/>
      <w:r w:rsidRPr="000E1228">
        <w:rPr>
          <w:rFonts w:eastAsia="MS Mincho"/>
          <w:lang w:eastAsia="ja-JP"/>
        </w:rPr>
        <w:t xml:space="preserve"> with the same CP overhead is assumed within a </w:t>
      </w:r>
      <w:proofErr w:type="spellStart"/>
      <w:r w:rsidRPr="000E1228">
        <w:rPr>
          <w:rFonts w:eastAsia="MS Mincho"/>
          <w:lang w:eastAsia="ja-JP"/>
        </w:rPr>
        <w:t>su</w:t>
      </w:r>
      <w:r>
        <w:rPr>
          <w:rFonts w:eastAsia="MS Mincho"/>
          <w:lang w:eastAsia="ja-JP"/>
        </w:rPr>
        <w:t>bframe</w:t>
      </w:r>
      <w:proofErr w:type="spellEnd"/>
      <w:r>
        <w:rPr>
          <w:rFonts w:eastAsia="MS Mincho"/>
          <w:lang w:eastAsia="ja-JP"/>
        </w:rPr>
        <w:t xml:space="preserve"> duration o</w:t>
      </w:r>
      <w:r w:rsidRPr="000E1228">
        <w:rPr>
          <w:rFonts w:eastAsia="MS Mincho"/>
          <w:lang w:eastAsia="ja-JP"/>
        </w:rPr>
        <w:t>n a NR carrier</w:t>
      </w:r>
      <w:r>
        <w:rPr>
          <w:rFonts w:eastAsia="MS Mincho"/>
          <w:lang w:eastAsia="ja-JP"/>
        </w:rPr>
        <w:t xml:space="preserve"> operating in unlicensed spectrum</w:t>
      </w:r>
      <w:r>
        <w:t>.</w:t>
      </w:r>
    </w:p>
    <w:p w14:paraId="569D8763" w14:textId="77777777" w:rsidR="00351C2C" w:rsidRDefault="00351C2C" w:rsidP="00F73844"/>
    <w:p w14:paraId="4190B2DF" w14:textId="1321D381" w:rsidR="00086A4B" w:rsidRPr="005C1FFB" w:rsidRDefault="00086A4B" w:rsidP="00F73844"/>
    <w:p w14:paraId="672AF837" w14:textId="77777777" w:rsidR="00286F19" w:rsidRPr="00286F19" w:rsidRDefault="005600AD" w:rsidP="00286F19">
      <w:pPr>
        <w:pStyle w:val="Heading1"/>
        <w:rPr>
          <w:b/>
          <w:bCs/>
        </w:rPr>
      </w:pPr>
      <w:r>
        <w:rPr>
          <w:b/>
          <w:bCs/>
        </w:rPr>
        <w:t>Conclusions</w:t>
      </w:r>
    </w:p>
    <w:p w14:paraId="768142B3" w14:textId="1BE5C06D" w:rsidR="00834A0C" w:rsidRPr="005600AD" w:rsidRDefault="002A0999" w:rsidP="00AA6868">
      <w:r>
        <w:t>We discussed whether symbol level alignment should apply to NR carriers operating in unlicensed spectrum. Based on the discussion we propose the following</w:t>
      </w:r>
      <w:r w:rsidR="005600AD">
        <w:t>.</w:t>
      </w:r>
    </w:p>
    <w:p w14:paraId="57E8BC5F" w14:textId="77777777" w:rsidR="00AA6868" w:rsidRDefault="00AA6868" w:rsidP="00AA6868">
      <w:pPr>
        <w:rPr>
          <w:b/>
        </w:rPr>
      </w:pPr>
    </w:p>
    <w:p w14:paraId="5D17C30A" w14:textId="77777777" w:rsidR="002A0999" w:rsidRDefault="002A0999" w:rsidP="002A0999">
      <w:r w:rsidRPr="00A45162">
        <w:rPr>
          <w:b/>
        </w:rPr>
        <w:t xml:space="preserve">Proposal: </w:t>
      </w:r>
      <w:r>
        <w:t>A sub-slot should be allowed to start at ‘any’ OFDM symbol to allow effective operation in unlicensed spectrum</w:t>
      </w:r>
    </w:p>
    <w:p w14:paraId="73A23F3B" w14:textId="77777777" w:rsidR="002A0999" w:rsidRDefault="002A0999" w:rsidP="002A0999"/>
    <w:p w14:paraId="363D8B3E" w14:textId="3260AA27" w:rsidR="00592A97" w:rsidRPr="005C1FFB" w:rsidRDefault="002A0999" w:rsidP="002A0999">
      <w:r w:rsidRPr="00A45162">
        <w:rPr>
          <w:b/>
        </w:rPr>
        <w:t xml:space="preserve">Proposal: </w:t>
      </w:r>
      <w:r w:rsidRPr="000E1228">
        <w:rPr>
          <w:rFonts w:eastAsia="MS Mincho"/>
          <w:lang w:eastAsia="ja-JP"/>
        </w:rPr>
        <w:t xml:space="preserve">Symbol level alignment across different subcarrier </w:t>
      </w:r>
      <w:proofErr w:type="spellStart"/>
      <w:r w:rsidRPr="000E1228">
        <w:rPr>
          <w:rFonts w:eastAsia="MS Mincho"/>
          <w:lang w:eastAsia="ja-JP"/>
        </w:rPr>
        <w:t>spacings</w:t>
      </w:r>
      <w:proofErr w:type="spellEnd"/>
      <w:r w:rsidRPr="000E1228">
        <w:rPr>
          <w:rFonts w:eastAsia="MS Mincho"/>
          <w:lang w:eastAsia="ja-JP"/>
        </w:rPr>
        <w:t xml:space="preserve"> with the same CP overhead is assumed within a </w:t>
      </w:r>
      <w:proofErr w:type="spellStart"/>
      <w:r w:rsidRPr="000E1228">
        <w:rPr>
          <w:rFonts w:eastAsia="MS Mincho"/>
          <w:lang w:eastAsia="ja-JP"/>
        </w:rPr>
        <w:t>su</w:t>
      </w:r>
      <w:r>
        <w:rPr>
          <w:rFonts w:eastAsia="MS Mincho"/>
          <w:lang w:eastAsia="ja-JP"/>
        </w:rPr>
        <w:t>bframe</w:t>
      </w:r>
      <w:proofErr w:type="spellEnd"/>
      <w:r>
        <w:rPr>
          <w:rFonts w:eastAsia="MS Mincho"/>
          <w:lang w:eastAsia="ja-JP"/>
        </w:rPr>
        <w:t xml:space="preserve"> duration o</w:t>
      </w:r>
      <w:r w:rsidRPr="000E1228">
        <w:rPr>
          <w:rFonts w:eastAsia="MS Mincho"/>
          <w:lang w:eastAsia="ja-JP"/>
        </w:rPr>
        <w:t>n a NR carrier</w:t>
      </w:r>
      <w:r>
        <w:rPr>
          <w:rFonts w:eastAsia="MS Mincho"/>
          <w:lang w:eastAsia="ja-JP"/>
        </w:rPr>
        <w:t xml:space="preserve"> operating in unlicensed spectrum</w:t>
      </w:r>
      <w:r>
        <w:t>.</w:t>
      </w:r>
    </w:p>
    <w:p w14:paraId="72138923" w14:textId="77777777" w:rsidR="00592A97" w:rsidRPr="00246230" w:rsidRDefault="00592A97" w:rsidP="00AE069B"/>
    <w:p w14:paraId="7280E5B8" w14:textId="77777777" w:rsidR="00AE069B" w:rsidRPr="00B33FD2" w:rsidRDefault="00AE069B" w:rsidP="00AE069B"/>
    <w:p w14:paraId="55F9B429" w14:textId="77777777" w:rsidR="00AE069B" w:rsidRPr="00AA6868" w:rsidRDefault="00AE069B" w:rsidP="00AA6868">
      <w:pPr>
        <w:rPr>
          <w:b/>
        </w:rPr>
      </w:pPr>
    </w:p>
    <w:p w14:paraId="67816D85" w14:textId="77777777" w:rsidR="000F0ED3" w:rsidRDefault="00F73844" w:rsidP="000F0ED3">
      <w:pPr>
        <w:pStyle w:val="Heading1"/>
        <w:rPr>
          <w:b/>
          <w:bCs/>
        </w:rPr>
      </w:pPr>
      <w:r>
        <w:rPr>
          <w:b/>
          <w:bCs/>
        </w:rPr>
        <w:t xml:space="preserve">References </w:t>
      </w:r>
    </w:p>
    <w:p w14:paraId="6B538558" w14:textId="367714F6" w:rsidR="00F73844" w:rsidRDefault="00F73844" w:rsidP="00F73844">
      <w:pPr>
        <w:widowControl w:val="0"/>
        <w:numPr>
          <w:ilvl w:val="0"/>
          <w:numId w:val="4"/>
        </w:numPr>
        <w:spacing w:before="120"/>
        <w:jc w:val="both"/>
        <w:rPr>
          <w:szCs w:val="20"/>
          <w:lang w:eastAsia="ja-JP"/>
        </w:rPr>
      </w:pPr>
      <w:r>
        <w:rPr>
          <w:szCs w:val="20"/>
          <w:lang w:eastAsia="ja-JP"/>
        </w:rPr>
        <w:t xml:space="preserve">Chairman’s </w:t>
      </w:r>
      <w:r w:rsidR="007447B5">
        <w:rPr>
          <w:szCs w:val="20"/>
          <w:lang w:eastAsia="ja-JP"/>
        </w:rPr>
        <w:t>Notes, RAN1#86bis</w:t>
      </w:r>
    </w:p>
    <w:p w14:paraId="116BF6CA" w14:textId="227446F9" w:rsidR="003A2557" w:rsidRPr="00FF2FA9" w:rsidRDefault="003A2557" w:rsidP="00F73844">
      <w:pPr>
        <w:widowControl w:val="0"/>
        <w:numPr>
          <w:ilvl w:val="0"/>
          <w:numId w:val="4"/>
        </w:numPr>
        <w:spacing w:before="120"/>
        <w:jc w:val="both"/>
        <w:rPr>
          <w:szCs w:val="20"/>
          <w:lang w:eastAsia="ja-JP"/>
        </w:rPr>
      </w:pPr>
      <w:bookmarkStart w:id="4" w:name="_Ref466023697"/>
      <w:r>
        <w:rPr>
          <w:szCs w:val="20"/>
          <w:lang w:eastAsia="ja-JP"/>
        </w:rPr>
        <w:t>R1-1612904, On Mini-slots, Ericsson</w:t>
      </w:r>
      <w:bookmarkEnd w:id="4"/>
    </w:p>
    <w:p w14:paraId="7E2F6EBC" w14:textId="77777777" w:rsidR="00F73844" w:rsidRPr="00F73844" w:rsidRDefault="00F73844" w:rsidP="00F73844">
      <w:pPr>
        <w:pStyle w:val="BodyText"/>
      </w:pPr>
    </w:p>
    <w:p w14:paraId="7CB8268B" w14:textId="77777777" w:rsidR="00F73844" w:rsidRPr="00F73844" w:rsidRDefault="00F73844" w:rsidP="00F73844">
      <w:pPr>
        <w:pStyle w:val="BodyText"/>
      </w:pPr>
    </w:p>
    <w:p w14:paraId="3FAB9343" w14:textId="77777777" w:rsidR="00F73844" w:rsidRPr="00F73844" w:rsidRDefault="00F73844" w:rsidP="00F73844">
      <w:pPr>
        <w:pStyle w:val="BodyText"/>
      </w:pPr>
    </w:p>
    <w:p w14:paraId="309C1CD0" w14:textId="335C18CA" w:rsidR="00561E32" w:rsidRPr="00CD1C6F" w:rsidRDefault="00561E32"/>
    <w:sectPr w:rsidR="00561E32" w:rsidRPr="00CD1C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BED18BC"/>
    <w:multiLevelType w:val="multilevel"/>
    <w:tmpl w:val="32FEA0A4"/>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3447"/>
        </w:tabs>
        <w:ind w:left="344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D3"/>
    <w:rsid w:val="00006273"/>
    <w:rsid w:val="00086A4B"/>
    <w:rsid w:val="000A13F6"/>
    <w:rsid w:val="000C0313"/>
    <w:rsid w:val="000E353C"/>
    <w:rsid w:val="000E42A4"/>
    <w:rsid w:val="000F0ED3"/>
    <w:rsid w:val="00187F81"/>
    <w:rsid w:val="00192C37"/>
    <w:rsid w:val="001A1601"/>
    <w:rsid w:val="00246230"/>
    <w:rsid w:val="00286F19"/>
    <w:rsid w:val="0029217B"/>
    <w:rsid w:val="002A0999"/>
    <w:rsid w:val="002C7AD7"/>
    <w:rsid w:val="00306015"/>
    <w:rsid w:val="00313591"/>
    <w:rsid w:val="00342EEB"/>
    <w:rsid w:val="00351C2C"/>
    <w:rsid w:val="00371ED4"/>
    <w:rsid w:val="003A2557"/>
    <w:rsid w:val="003E3B2A"/>
    <w:rsid w:val="003F74EA"/>
    <w:rsid w:val="00412572"/>
    <w:rsid w:val="004566A7"/>
    <w:rsid w:val="004E1B0F"/>
    <w:rsid w:val="005600AD"/>
    <w:rsid w:val="00561E32"/>
    <w:rsid w:val="00592A97"/>
    <w:rsid w:val="005C1FFB"/>
    <w:rsid w:val="005D16BA"/>
    <w:rsid w:val="005D739C"/>
    <w:rsid w:val="005E22B9"/>
    <w:rsid w:val="00631D33"/>
    <w:rsid w:val="006708D6"/>
    <w:rsid w:val="006E5D72"/>
    <w:rsid w:val="007447B5"/>
    <w:rsid w:val="00747500"/>
    <w:rsid w:val="00766547"/>
    <w:rsid w:val="00766F6B"/>
    <w:rsid w:val="007B2D54"/>
    <w:rsid w:val="007B330C"/>
    <w:rsid w:val="007E212B"/>
    <w:rsid w:val="00834A0C"/>
    <w:rsid w:val="008B1D7C"/>
    <w:rsid w:val="00902F26"/>
    <w:rsid w:val="00930ECB"/>
    <w:rsid w:val="009779A5"/>
    <w:rsid w:val="009D544E"/>
    <w:rsid w:val="00A45162"/>
    <w:rsid w:val="00A76D87"/>
    <w:rsid w:val="00AA6868"/>
    <w:rsid w:val="00AE069B"/>
    <w:rsid w:val="00B16A2C"/>
    <w:rsid w:val="00B33FD2"/>
    <w:rsid w:val="00B45314"/>
    <w:rsid w:val="00B57761"/>
    <w:rsid w:val="00B91C6B"/>
    <w:rsid w:val="00BE0623"/>
    <w:rsid w:val="00BE732C"/>
    <w:rsid w:val="00BF57FF"/>
    <w:rsid w:val="00C15550"/>
    <w:rsid w:val="00C7126F"/>
    <w:rsid w:val="00C92365"/>
    <w:rsid w:val="00CC2A73"/>
    <w:rsid w:val="00CD1C6F"/>
    <w:rsid w:val="00D14173"/>
    <w:rsid w:val="00D662C7"/>
    <w:rsid w:val="00DC1E14"/>
    <w:rsid w:val="00DE0089"/>
    <w:rsid w:val="00E558C4"/>
    <w:rsid w:val="00ED433C"/>
    <w:rsid w:val="00ED4710"/>
    <w:rsid w:val="00F63631"/>
    <w:rsid w:val="00F73844"/>
    <w:rsid w:val="00F75384"/>
    <w:rsid w:val="00F767E4"/>
    <w:rsid w:val="00FA32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B28A9"/>
  <w15:chartTrackingRefBased/>
  <w15:docId w15:val="{8EE1E48C-3524-4FB0-A4ED-0892293D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0ED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F0ED3"/>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ead2A,2,H2,UNDERRUBRIK 1-2,DO NOT USE_h2,h2,h21,H2 Char,h2 Char"/>
    <w:basedOn w:val="Normal"/>
    <w:next w:val="BodyText"/>
    <w:link w:val="Heading2Char"/>
    <w:semiHidden/>
    <w:unhideWhenUsed/>
    <w:qFormat/>
    <w:rsid w:val="000F0ED3"/>
    <w:pPr>
      <w:keepNext/>
      <w:numPr>
        <w:ilvl w:val="1"/>
        <w:numId w:val="1"/>
      </w:numPr>
      <w:spacing w:before="240" w:after="60"/>
      <w:ind w:left="567"/>
      <w:outlineLvl w:val="1"/>
    </w:pPr>
    <w:rPr>
      <w:rFonts w:ascii="Helvetica" w:eastAsia="MS Mincho" w:hAnsi="Helvetica" w:cs="Arial"/>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semiHidden/>
    <w:unhideWhenUsed/>
    <w:qFormat/>
    <w:rsid w:val="000F0ED3"/>
    <w:pPr>
      <w:keepNext/>
      <w:numPr>
        <w:ilvl w:val="2"/>
        <w:numId w:val="1"/>
      </w:numPr>
      <w:spacing w:before="240" w:after="60"/>
      <w:outlineLvl w:val="2"/>
    </w:pPr>
    <w:rPr>
      <w:rFonts w:ascii="Arial" w:eastAsia="MS Mincho" w:hAnsi="Arial" w:cs="Arial"/>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0F0ED3"/>
    <w:pPr>
      <w:keepNext/>
      <w:numPr>
        <w:ilvl w:val="3"/>
        <w:numId w:val="1"/>
      </w:numPr>
      <w:spacing w:before="240" w:after="60"/>
      <w:outlineLvl w:val="3"/>
    </w:pPr>
    <w:rPr>
      <w:rFonts w:eastAsia="MS Minch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F0ED3"/>
    <w:rPr>
      <w:rFonts w:ascii="Helvetica" w:eastAsia="MS Mincho" w:hAnsi="Helvetica" w:cs="Arial"/>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semiHidden/>
    <w:rsid w:val="000F0ED3"/>
    <w:rPr>
      <w:rFonts w:ascii="Helvetica" w:eastAsia="MS Mincho" w:hAnsi="Helvetica" w:cs="Arial"/>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0F0ED3"/>
    <w:rPr>
      <w:rFonts w:ascii="Arial" w:eastAsia="MS Mincho" w:hAnsi="Arial" w:cs="Arial"/>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F0ED3"/>
    <w:rPr>
      <w:rFonts w:ascii="Times New Roman" w:eastAsia="MS Mincho" w:hAnsi="Times New Roman" w:cs="Times New Roman"/>
      <w:sz w:val="28"/>
      <w:szCs w:val="2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0F0ED3"/>
    <w:rPr>
      <w:rFonts w:ascii="Arial" w:eastAsia="MS Mincho" w:hAnsi="Arial" w:cs="Times New Roman"/>
      <w:b/>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0F0ED3"/>
    <w:pPr>
      <w:tabs>
        <w:tab w:val="center" w:pos="4536"/>
        <w:tab w:val="right" w:pos="9072"/>
      </w:tabs>
    </w:pPr>
    <w:rPr>
      <w:rFonts w:ascii="Arial" w:eastAsia="MS Mincho" w:hAnsi="Arial"/>
      <w:b/>
    </w:rPr>
  </w:style>
  <w:style w:type="character" w:customStyle="1" w:styleId="HeaderChar1">
    <w:name w:val="Header Char1"/>
    <w:basedOn w:val="DefaultParagraphFont"/>
    <w:uiPriority w:val="99"/>
    <w:semiHidden/>
    <w:rsid w:val="000F0ED3"/>
    <w:rPr>
      <w:rFonts w:ascii="Times New Roman" w:eastAsia="Times New Roman" w:hAnsi="Times New Roman" w:cs="Times New Roman"/>
      <w:sz w:val="20"/>
      <w:szCs w:val="24"/>
      <w:lang w:val="en-US"/>
    </w:rPr>
  </w:style>
  <w:style w:type="paragraph" w:styleId="BodyText">
    <w:name w:val="Body Text"/>
    <w:basedOn w:val="Normal"/>
    <w:link w:val="BodyTextChar"/>
    <w:uiPriority w:val="99"/>
    <w:semiHidden/>
    <w:unhideWhenUsed/>
    <w:rsid w:val="000F0ED3"/>
    <w:pPr>
      <w:spacing w:after="120"/>
    </w:pPr>
  </w:style>
  <w:style w:type="character" w:customStyle="1" w:styleId="BodyTextChar">
    <w:name w:val="Body Text Char"/>
    <w:basedOn w:val="DefaultParagraphFont"/>
    <w:link w:val="BodyText"/>
    <w:uiPriority w:val="99"/>
    <w:semiHidden/>
    <w:rsid w:val="000F0ED3"/>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4566A7"/>
    <w:pPr>
      <w:spacing w:after="200"/>
    </w:pPr>
    <w:rPr>
      <w:i/>
      <w:iCs/>
      <w:color w:val="1F497D" w:themeColor="text2"/>
      <w:sz w:val="18"/>
      <w:szCs w:val="18"/>
    </w:rPr>
  </w:style>
  <w:style w:type="character" w:styleId="CommentReference">
    <w:name w:val="annotation reference"/>
    <w:basedOn w:val="DefaultParagraphFont"/>
    <w:uiPriority w:val="99"/>
    <w:semiHidden/>
    <w:unhideWhenUsed/>
    <w:rsid w:val="00B45314"/>
    <w:rPr>
      <w:sz w:val="16"/>
      <w:szCs w:val="16"/>
    </w:rPr>
  </w:style>
  <w:style w:type="paragraph" w:styleId="CommentText">
    <w:name w:val="annotation text"/>
    <w:basedOn w:val="Normal"/>
    <w:link w:val="CommentTextChar"/>
    <w:uiPriority w:val="99"/>
    <w:semiHidden/>
    <w:unhideWhenUsed/>
    <w:rsid w:val="00B45314"/>
    <w:rPr>
      <w:szCs w:val="20"/>
    </w:rPr>
  </w:style>
  <w:style w:type="character" w:customStyle="1" w:styleId="CommentTextChar">
    <w:name w:val="Comment Text Char"/>
    <w:basedOn w:val="DefaultParagraphFont"/>
    <w:link w:val="CommentText"/>
    <w:uiPriority w:val="99"/>
    <w:semiHidden/>
    <w:rsid w:val="00B4531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5314"/>
    <w:rPr>
      <w:b/>
      <w:bCs/>
    </w:rPr>
  </w:style>
  <w:style w:type="character" w:customStyle="1" w:styleId="CommentSubjectChar">
    <w:name w:val="Comment Subject Char"/>
    <w:basedOn w:val="CommentTextChar"/>
    <w:link w:val="CommentSubject"/>
    <w:uiPriority w:val="99"/>
    <w:semiHidden/>
    <w:rsid w:val="00B45314"/>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B453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31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309E3-7C4F-4ED2-A9EF-1D82AF3F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Efthymios Stathakis</dc:creator>
  <cp:keywords/>
  <dc:description/>
  <cp:lastModifiedBy>Ericsson 1</cp:lastModifiedBy>
  <cp:revision>2</cp:revision>
  <dcterms:created xsi:type="dcterms:W3CDTF">2016-11-05T00:31:00Z</dcterms:created>
  <dcterms:modified xsi:type="dcterms:W3CDTF">2016-11-05T00:31:00Z</dcterms:modified>
</cp:coreProperties>
</file>