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366DDAFB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575E09">
        <w:rPr>
          <w:rFonts w:ascii="Arial" w:hAnsi="Arial" w:cs="Arial"/>
          <w:b/>
          <w:sz w:val="24"/>
          <w:szCs w:val="24"/>
        </w:rPr>
        <w:t>7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EC5B68" w:rsidRPr="00961A61">
        <w:rPr>
          <w:rFonts w:ascii="Arial" w:hAnsi="Arial" w:cs="Arial"/>
          <w:b/>
          <w:sz w:val="24"/>
          <w:szCs w:val="24"/>
        </w:rPr>
        <w:t>1</w:t>
      </w:r>
      <w:r w:rsidR="00EC5B68">
        <w:rPr>
          <w:rFonts w:ascii="Arial" w:hAnsi="Arial" w:cs="Arial"/>
          <w:b/>
          <w:sz w:val="24"/>
          <w:szCs w:val="24"/>
        </w:rPr>
        <w:t>612064</w:t>
      </w:r>
    </w:p>
    <w:p w14:paraId="43B7F879" w14:textId="311A507E" w:rsidR="00D1303E" w:rsidRPr="00FD021C" w:rsidRDefault="00F15CF3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575E09">
        <w:rPr>
          <w:rFonts w:ascii="Arial" w:hAnsi="Arial" w:cs="Arial"/>
          <w:b/>
          <w:sz w:val="24"/>
          <w:szCs w:val="24"/>
        </w:rPr>
        <w:t>4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575E09">
        <w:rPr>
          <w:rFonts w:ascii="Arial" w:hAnsi="Arial" w:cs="Arial"/>
          <w:b/>
          <w:sz w:val="24"/>
          <w:szCs w:val="24"/>
        </w:rPr>
        <w:t>8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575E09">
        <w:rPr>
          <w:rFonts w:ascii="Arial" w:hAnsi="Arial" w:cs="Arial"/>
          <w:b/>
          <w:sz w:val="24"/>
          <w:szCs w:val="24"/>
        </w:rPr>
        <w:t>November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43B7F87A" w14:textId="558CE6CB" w:rsidR="00D1303E" w:rsidRPr="00FD021C" w:rsidRDefault="00575E09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Nevada, USA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2F76AC52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EC5B68">
        <w:rPr>
          <w:rFonts w:ascii="Arial" w:hAnsi="Arial"/>
          <w:sz w:val="24"/>
        </w:rPr>
        <w:t>7.1.4.1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773710FF" w:rsidR="00C10599" w:rsidRPr="00575E09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041D6">
        <w:rPr>
          <w:rFonts w:ascii="Arial" w:hAnsi="Arial"/>
          <w:sz w:val="24"/>
          <w:szCs w:val="24"/>
        </w:rPr>
        <w:t>Subband PDCCH with broadcast/unicast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11E0C239" w14:textId="522CF82A" w:rsidR="00143118" w:rsidRDefault="00143118" w:rsidP="00143118">
      <w:pPr>
        <w:jc w:val="both"/>
        <w:rPr>
          <w:szCs w:val="22"/>
        </w:rPr>
      </w:pPr>
      <w:r>
        <w:rPr>
          <w:szCs w:val="22"/>
        </w:rPr>
        <w:t>This contribution discusses the PDCCH monitoring subband and potential attributes of each subband continuing from [1].</w:t>
      </w:r>
    </w:p>
    <w:p w14:paraId="5EA4EDE1" w14:textId="77777777" w:rsidR="00D33E43" w:rsidRDefault="00D33E43" w:rsidP="00143118">
      <w:pPr>
        <w:jc w:val="both"/>
        <w:rPr>
          <w:szCs w:val="22"/>
        </w:rPr>
      </w:pPr>
    </w:p>
    <w:p w14:paraId="0B3BE98D" w14:textId="0A59A934" w:rsidR="0044173B" w:rsidRDefault="00143118" w:rsidP="0044173B">
      <w:pPr>
        <w:pStyle w:val="Heading1"/>
      </w:pPr>
      <w:r>
        <w:t>Subband for PDCCH monitoring</w:t>
      </w:r>
    </w:p>
    <w:p w14:paraId="58716D58" w14:textId="77777777" w:rsidR="00FC6F9E" w:rsidRDefault="00FC6F9E" w:rsidP="00FC6F9E">
      <w:pPr>
        <w:pStyle w:val="Heading2"/>
      </w:pPr>
      <w:r>
        <w:t>Broadcast/Unicast PDCCH</w:t>
      </w:r>
    </w:p>
    <w:p w14:paraId="127CA489" w14:textId="00DED84C" w:rsidR="00FC6F9E" w:rsidRDefault="00FC6F9E" w:rsidP="00FC6F9E">
      <w:pPr>
        <w:jc w:val="both"/>
        <w:rPr>
          <w:szCs w:val="22"/>
        </w:rPr>
      </w:pPr>
      <w:r>
        <w:rPr>
          <w:szCs w:val="22"/>
        </w:rPr>
        <w:t>RAN2 agreed that minimum SIB (MSIB) needs to be broadcast [</w:t>
      </w:r>
      <w:r w:rsidR="000058EB">
        <w:rPr>
          <w:szCs w:val="22"/>
        </w:rPr>
        <w:t>2</w:t>
      </w:r>
      <w:r>
        <w:rPr>
          <w:szCs w:val="22"/>
        </w:rPr>
        <w:t>]. It implies that NR need to support both broadcast/unicast PDCCH.</w:t>
      </w:r>
    </w:p>
    <w:p w14:paraId="52C0CDE5" w14:textId="483DCABB" w:rsidR="00FC6F9E" w:rsidRDefault="00FC6F9E" w:rsidP="00FC6F9E">
      <w:pPr>
        <w:jc w:val="both"/>
        <w:rPr>
          <w:szCs w:val="22"/>
        </w:rPr>
      </w:pPr>
      <w:r>
        <w:rPr>
          <w:szCs w:val="22"/>
        </w:rPr>
        <w:t xml:space="preserve">For broadcast PDCCH, it is expected that the coverage should </w:t>
      </w:r>
      <w:r w:rsidR="00CE5CFD">
        <w:rPr>
          <w:szCs w:val="22"/>
        </w:rPr>
        <w:t xml:space="preserve">be </w:t>
      </w:r>
      <w:r>
        <w:rPr>
          <w:szCs w:val="22"/>
        </w:rPr>
        <w:t>either omni or pseudo-omni. For unicast PDCCH, it can be omni/pseudo-omni or beamformed for the targeted UE. For both broadcast and unicast PDCCH, it is proposed to consider 2 port SFBC and CDD as a candidate transmit diversity scheme. Reference signals for PDCCH can be assumed to be on the same (virtual) antenna ports as SFBC/CDD.</w:t>
      </w:r>
    </w:p>
    <w:p w14:paraId="49A7B7E3" w14:textId="77777777" w:rsidR="00FC6F9E" w:rsidRPr="0048221C" w:rsidRDefault="00FC6F9E" w:rsidP="00FC6F9E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Broadcast PDCCH</w:t>
      </w:r>
    </w:p>
    <w:p w14:paraId="4246564F" w14:textId="6FF454DD" w:rsidR="00FC6F9E" w:rsidRPr="0048221C" w:rsidRDefault="00FC6F9E" w:rsidP="00FC6F9E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Carries</w:t>
      </w:r>
      <w:r w:rsidR="00EC5B68">
        <w:rPr>
          <w:rFonts w:ascii="Times New Roman" w:hAnsi="Times New Roman"/>
          <w:sz w:val="20"/>
          <w:szCs w:val="20"/>
        </w:rPr>
        <w:t xml:space="preserve"> DL grant for</w:t>
      </w:r>
      <w:r w:rsidRPr="0048221C">
        <w:rPr>
          <w:rFonts w:ascii="Times New Roman" w:hAnsi="Times New Roman"/>
          <w:sz w:val="20"/>
          <w:szCs w:val="20"/>
        </w:rPr>
        <w:t xml:space="preserve"> MSIB</w:t>
      </w:r>
    </w:p>
    <w:p w14:paraId="1F69DC2F" w14:textId="77777777" w:rsidR="00FC6F9E" w:rsidRPr="0048221C" w:rsidRDefault="00FC6F9E" w:rsidP="00FC6F9E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Reference signals can be potentially shared over multiple broadcast PDCCHs.</w:t>
      </w:r>
    </w:p>
    <w:p w14:paraId="3B30B57D" w14:textId="77777777" w:rsidR="00FC6F9E" w:rsidRPr="0048221C" w:rsidRDefault="00FC6F9E" w:rsidP="00FC6F9E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Unicast PDCCH</w:t>
      </w:r>
    </w:p>
    <w:p w14:paraId="56AF6203" w14:textId="0B688BB6" w:rsidR="00FC6F9E" w:rsidRPr="0048221C" w:rsidRDefault="00FC6F9E" w:rsidP="00FC6F9E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 xml:space="preserve">Carries </w:t>
      </w:r>
      <w:r w:rsidR="00EC5B68">
        <w:rPr>
          <w:rFonts w:ascii="Times New Roman" w:hAnsi="Times New Roman"/>
          <w:sz w:val="20"/>
          <w:szCs w:val="20"/>
        </w:rPr>
        <w:t xml:space="preserve">DL grant for </w:t>
      </w:r>
      <w:r w:rsidRPr="0048221C">
        <w:rPr>
          <w:rFonts w:ascii="Times New Roman" w:hAnsi="Times New Roman"/>
          <w:sz w:val="20"/>
          <w:szCs w:val="20"/>
        </w:rPr>
        <w:t>OSIB, data control</w:t>
      </w:r>
    </w:p>
    <w:p w14:paraId="214FF29F" w14:textId="14E84F76" w:rsidR="00FC6F9E" w:rsidRPr="0048221C" w:rsidRDefault="00FC6F9E" w:rsidP="00FC6F9E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Reference signals may not be shared over multiple unicast PDCCHs targeting different UEs, given that they may be on different beams</w:t>
      </w:r>
      <w:r w:rsidR="000058EB">
        <w:rPr>
          <w:rFonts w:ascii="Times New Roman" w:hAnsi="Times New Roman"/>
          <w:sz w:val="20"/>
          <w:szCs w:val="20"/>
        </w:rPr>
        <w:t>, unless UE is informed of shared RS</w:t>
      </w:r>
      <w:r w:rsidRPr="0048221C">
        <w:rPr>
          <w:rFonts w:ascii="Times New Roman" w:hAnsi="Times New Roman"/>
          <w:sz w:val="20"/>
          <w:szCs w:val="20"/>
        </w:rPr>
        <w:t>.</w:t>
      </w:r>
    </w:p>
    <w:p w14:paraId="131B75F6" w14:textId="05973A22" w:rsidR="00FC6F9E" w:rsidRDefault="00FC6F9E" w:rsidP="00FC6F9E">
      <w:r w:rsidRPr="00C17521">
        <w:rPr>
          <w:b/>
          <w:u w:val="single"/>
        </w:rPr>
        <w:t xml:space="preserve">Proposal </w:t>
      </w:r>
      <w:r w:rsidR="000058EB">
        <w:rPr>
          <w:b/>
          <w:u w:val="single"/>
        </w:rPr>
        <w:t>1</w:t>
      </w:r>
      <w:r w:rsidRPr="00C17521">
        <w:rPr>
          <w:b/>
          <w:u w:val="single"/>
        </w:rPr>
        <w:t>:</w:t>
      </w:r>
      <w:r>
        <w:t xml:space="preserve"> Consider 2 port SFBC and CDD as a candidate </w:t>
      </w:r>
      <w:r w:rsidR="00CE5CFD">
        <w:t xml:space="preserve">transmit </w:t>
      </w:r>
      <w:r>
        <w:t>diversity scheme for PDCCH.</w:t>
      </w:r>
    </w:p>
    <w:p w14:paraId="1F891AB0" w14:textId="77777777" w:rsidR="00FC6F9E" w:rsidRDefault="00FC6F9E" w:rsidP="00FC6F9E">
      <w:pPr>
        <w:jc w:val="both"/>
        <w:rPr>
          <w:szCs w:val="22"/>
        </w:rPr>
      </w:pPr>
    </w:p>
    <w:p w14:paraId="69D18DE1" w14:textId="77777777" w:rsidR="00FC6F9E" w:rsidRDefault="00FC6F9E" w:rsidP="00FC6F9E">
      <w:pPr>
        <w:pStyle w:val="Heading2"/>
      </w:pPr>
      <w:r>
        <w:t>Subband PDCCH</w:t>
      </w:r>
    </w:p>
    <w:p w14:paraId="273CD691" w14:textId="347CA292" w:rsidR="00FC6F9E" w:rsidRDefault="00FC6F9E" w:rsidP="00FC6F9E">
      <w:pPr>
        <w:jc w:val="both"/>
        <w:rPr>
          <w:szCs w:val="22"/>
        </w:rPr>
      </w:pPr>
      <w:r>
        <w:rPr>
          <w:szCs w:val="22"/>
        </w:rPr>
        <w:t xml:space="preserve">NR is expected to have a larger system bandwidth (BW) compared to LTE. In LTE, PDCCH spans across the entire system bandwidth. </w:t>
      </w:r>
      <w:r w:rsidRPr="001840D8">
        <w:rPr>
          <w:szCs w:val="22"/>
        </w:rPr>
        <w:t xml:space="preserve">DL control BW that a UE has to process has large implications on processing </w:t>
      </w:r>
      <w:r w:rsidR="00CE5CFD">
        <w:rPr>
          <w:szCs w:val="22"/>
        </w:rPr>
        <w:t xml:space="preserve">complexity </w:t>
      </w:r>
      <w:r w:rsidRPr="001840D8">
        <w:rPr>
          <w:szCs w:val="22"/>
        </w:rPr>
        <w:t>and power</w:t>
      </w:r>
      <w:r w:rsidR="00CE5CFD">
        <w:rPr>
          <w:szCs w:val="22"/>
        </w:rPr>
        <w:t xml:space="preserve"> consumption</w:t>
      </w:r>
      <w:r>
        <w:rPr>
          <w:szCs w:val="22"/>
        </w:rPr>
        <w:t>. NR should allow UE to operate with BW which is smaller than the system BW. In that sense, n</w:t>
      </w:r>
      <w:r w:rsidRPr="001840D8">
        <w:rPr>
          <w:szCs w:val="22"/>
        </w:rPr>
        <w:t xml:space="preserve">ot all UE categories </w:t>
      </w:r>
      <w:r>
        <w:rPr>
          <w:szCs w:val="22"/>
        </w:rPr>
        <w:t>may be</w:t>
      </w:r>
      <w:r w:rsidRPr="001840D8">
        <w:rPr>
          <w:szCs w:val="22"/>
        </w:rPr>
        <w:t xml:space="preserve"> capable of supporting the </w:t>
      </w:r>
      <w:r>
        <w:rPr>
          <w:szCs w:val="22"/>
        </w:rPr>
        <w:t>entire system</w:t>
      </w:r>
      <w:r w:rsidRPr="001840D8">
        <w:rPr>
          <w:szCs w:val="22"/>
        </w:rPr>
        <w:t xml:space="preserve"> BW</w:t>
      </w:r>
      <w:r>
        <w:rPr>
          <w:szCs w:val="22"/>
        </w:rPr>
        <w:t xml:space="preserve"> supported by gNB. Thus, it is proposed that the carrier BW (system BW) be divided into subbands with 5/10/20 MHz </w:t>
      </w:r>
      <w:r w:rsidR="000058EB">
        <w:rPr>
          <w:szCs w:val="22"/>
        </w:rPr>
        <w:t xml:space="preserve">or larger </w:t>
      </w:r>
      <w:r>
        <w:rPr>
          <w:szCs w:val="22"/>
        </w:rPr>
        <w:t xml:space="preserve">granularity. </w:t>
      </w:r>
      <w:r w:rsidR="000058EB">
        <w:rPr>
          <w:szCs w:val="22"/>
        </w:rPr>
        <w:t xml:space="preserve">Subband smaller than 5 MHz may not be needed and also is not desirable from frequency diversity perspective. </w:t>
      </w:r>
      <w:r w:rsidR="008A556D">
        <w:rPr>
          <w:szCs w:val="22"/>
        </w:rPr>
        <w:t xml:space="preserve">A subband should be localized in frequency domain for UE power saving purpose. </w:t>
      </w:r>
      <w:r w:rsidR="000058EB">
        <w:rPr>
          <w:szCs w:val="22"/>
        </w:rPr>
        <w:t xml:space="preserve">Each </w:t>
      </w:r>
      <w:r>
        <w:rPr>
          <w:szCs w:val="22"/>
        </w:rPr>
        <w:t>subband can have different configurations with following attributes.</w:t>
      </w:r>
    </w:p>
    <w:p w14:paraId="64004CBE" w14:textId="625CE3C6" w:rsidR="00FC6F9E" w:rsidRPr="0048221C" w:rsidRDefault="00FC6F9E" w:rsidP="00FC6F9E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 xml:space="preserve">UE specific </w:t>
      </w:r>
      <w:r w:rsidR="00EC5B68">
        <w:rPr>
          <w:rFonts w:ascii="Times New Roman" w:hAnsi="Times New Roman"/>
          <w:sz w:val="20"/>
          <w:szCs w:val="20"/>
        </w:rPr>
        <w:t>control subband</w:t>
      </w:r>
      <w:r w:rsidRPr="0048221C">
        <w:rPr>
          <w:rFonts w:ascii="Times New Roman" w:hAnsi="Times New Roman"/>
          <w:sz w:val="20"/>
          <w:szCs w:val="20"/>
        </w:rPr>
        <w:t xml:space="preserve"> / Common </w:t>
      </w:r>
      <w:r w:rsidR="00EC5B68">
        <w:rPr>
          <w:rFonts w:ascii="Times New Roman" w:hAnsi="Times New Roman"/>
          <w:sz w:val="20"/>
          <w:szCs w:val="20"/>
        </w:rPr>
        <w:t>control subband</w:t>
      </w:r>
    </w:p>
    <w:p w14:paraId="7A8D0D94" w14:textId="77777777" w:rsidR="00FC6F9E" w:rsidRDefault="00FC6F9E" w:rsidP="00FC6F9E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CCE can be localized/distributed within a subband.</w:t>
      </w:r>
    </w:p>
    <w:p w14:paraId="388EF77B" w14:textId="5FB8F8A8" w:rsidR="000058EB" w:rsidRDefault="000058EB" w:rsidP="00FC6F9E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control channel shall not span more than one subband.</w:t>
      </w:r>
    </w:p>
    <w:p w14:paraId="646AF21B" w14:textId="1FECADF2" w:rsidR="008A556D" w:rsidRDefault="008A556D" w:rsidP="00FC6F9E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Common control subband</w:t>
      </w:r>
    </w:p>
    <w:p w14:paraId="75D6EBB5" w14:textId="3F70D893" w:rsidR="008A556D" w:rsidRDefault="008A556D" w:rsidP="008A556D">
      <w:pPr>
        <w:pStyle w:val="ListParagraph"/>
        <w:numPr>
          <w:ilvl w:val="2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Numerology is indicated by MIB.</w:t>
      </w:r>
    </w:p>
    <w:p w14:paraId="27386574" w14:textId="3998DB86" w:rsidR="006150DE" w:rsidRDefault="006150DE" w:rsidP="008A556D">
      <w:pPr>
        <w:pStyle w:val="ListParagraph"/>
        <w:numPr>
          <w:ilvl w:val="2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Can be semi-statically configured, or from MIB/MSIB, or by the specification.</w:t>
      </w:r>
    </w:p>
    <w:p w14:paraId="6FA59C7A" w14:textId="55D9CF91" w:rsidR="008A556D" w:rsidRDefault="008A556D" w:rsidP="008A556D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UE-specific control subband</w:t>
      </w:r>
    </w:p>
    <w:p w14:paraId="67315ABD" w14:textId="1FFCBF6D" w:rsidR="008A556D" w:rsidRDefault="008A556D" w:rsidP="008A556D">
      <w:pPr>
        <w:pStyle w:val="ListParagraph"/>
        <w:numPr>
          <w:ilvl w:val="2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Numerology can be from MIB or RRC configuration.</w:t>
      </w:r>
    </w:p>
    <w:p w14:paraId="7C60FB52" w14:textId="1870B375" w:rsidR="008A556D" w:rsidRDefault="008A556D" w:rsidP="006150DE">
      <w:pPr>
        <w:pStyle w:val="ListParagraph"/>
        <w:numPr>
          <w:ilvl w:val="3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We do not see a good use case for UE-specific control subband has different numerology from common control subband.</w:t>
      </w:r>
    </w:p>
    <w:p w14:paraId="382A68FD" w14:textId="4E0A8C6C" w:rsidR="006150DE" w:rsidRPr="0048221C" w:rsidRDefault="006150DE" w:rsidP="006150DE">
      <w:pPr>
        <w:pStyle w:val="ListParagraph"/>
        <w:numPr>
          <w:ilvl w:val="2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Can be configured via RRC.</w:t>
      </w:r>
    </w:p>
    <w:p w14:paraId="104EF0F0" w14:textId="209B01B7" w:rsidR="00FC6F9E" w:rsidRPr="0048221C" w:rsidRDefault="00EC5B68" w:rsidP="00FC6F9E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Common/Shared PDCCH RS</w:t>
      </w:r>
      <w:r w:rsidRPr="0048221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(Omni)</w:t>
      </w:r>
      <w:r w:rsidR="00FC6F9E" w:rsidRPr="0048221C">
        <w:rPr>
          <w:rFonts w:ascii="Times New Roman" w:hAnsi="Times New Roman"/>
          <w:sz w:val="20"/>
          <w:szCs w:val="20"/>
        </w:rPr>
        <w:t xml:space="preserve">/ </w:t>
      </w:r>
      <w:r>
        <w:rPr>
          <w:rFonts w:ascii="Times New Roman" w:hAnsi="Times New Roman"/>
          <w:sz w:val="20"/>
          <w:szCs w:val="20"/>
        </w:rPr>
        <w:t>UE specific PDCCH RS (</w:t>
      </w:r>
      <w:r w:rsidR="00FC6F9E" w:rsidRPr="0048221C">
        <w:rPr>
          <w:rFonts w:ascii="Times New Roman" w:hAnsi="Times New Roman"/>
          <w:sz w:val="20"/>
          <w:szCs w:val="20"/>
        </w:rPr>
        <w:t>Beamformed</w:t>
      </w:r>
      <w:r>
        <w:rPr>
          <w:rFonts w:ascii="Times New Roman" w:hAnsi="Times New Roman"/>
          <w:sz w:val="20"/>
          <w:szCs w:val="20"/>
        </w:rPr>
        <w:t>)</w:t>
      </w:r>
    </w:p>
    <w:p w14:paraId="3F7DD891" w14:textId="759D9AB3" w:rsidR="00FC6F9E" w:rsidRDefault="00FC6F9E" w:rsidP="00FC6F9E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 xml:space="preserve">For </w:t>
      </w:r>
      <w:r w:rsidR="00EC5B68">
        <w:rPr>
          <w:rFonts w:ascii="Times New Roman" w:hAnsi="Times New Roman"/>
          <w:sz w:val="20"/>
          <w:szCs w:val="20"/>
        </w:rPr>
        <w:t>the</w:t>
      </w:r>
      <w:r w:rsidR="00EC5B68" w:rsidRPr="0048221C">
        <w:rPr>
          <w:rFonts w:ascii="Times New Roman" w:hAnsi="Times New Roman"/>
          <w:sz w:val="20"/>
          <w:szCs w:val="20"/>
        </w:rPr>
        <w:t xml:space="preserve"> </w:t>
      </w:r>
      <w:r w:rsidRPr="0048221C">
        <w:rPr>
          <w:rFonts w:ascii="Times New Roman" w:hAnsi="Times New Roman"/>
          <w:sz w:val="20"/>
          <w:szCs w:val="20"/>
        </w:rPr>
        <w:t>subband</w:t>
      </w:r>
      <w:r w:rsidR="00EC5B68">
        <w:rPr>
          <w:rFonts w:ascii="Times New Roman" w:hAnsi="Times New Roman"/>
          <w:sz w:val="20"/>
          <w:szCs w:val="20"/>
        </w:rPr>
        <w:t xml:space="preserve"> with common/shared PDCCH RS</w:t>
      </w:r>
      <w:r w:rsidRPr="0048221C">
        <w:rPr>
          <w:rFonts w:ascii="Times New Roman" w:hAnsi="Times New Roman"/>
          <w:sz w:val="20"/>
          <w:szCs w:val="20"/>
        </w:rPr>
        <w:t>, UE can have a wideband RS processing over the subband</w:t>
      </w:r>
      <w:r w:rsidR="008A556D">
        <w:rPr>
          <w:rFonts w:ascii="Times New Roman" w:hAnsi="Times New Roman"/>
          <w:sz w:val="20"/>
          <w:szCs w:val="20"/>
        </w:rPr>
        <w:t xml:space="preserve"> assuming shared RS within the subband</w:t>
      </w:r>
      <w:r w:rsidRPr="0048221C">
        <w:rPr>
          <w:rFonts w:ascii="Times New Roman" w:hAnsi="Times New Roman"/>
          <w:sz w:val="20"/>
          <w:szCs w:val="20"/>
        </w:rPr>
        <w:t>.</w:t>
      </w:r>
    </w:p>
    <w:p w14:paraId="28D238C5" w14:textId="23D8AFEA" w:rsidR="006150DE" w:rsidRPr="0048221C" w:rsidRDefault="006150DE" w:rsidP="006150DE">
      <w:pPr>
        <w:pStyle w:val="ListParagraph"/>
        <w:numPr>
          <w:ilvl w:val="2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Phase continuity assumption across slot needs to be discussed.</w:t>
      </w:r>
    </w:p>
    <w:p w14:paraId="59EA010D" w14:textId="3A44C156" w:rsidR="00FC6F9E" w:rsidRPr="0048221C" w:rsidRDefault="00FC6F9E" w:rsidP="00FC6F9E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 xml:space="preserve">For </w:t>
      </w:r>
      <w:r w:rsidR="00EC5B68">
        <w:rPr>
          <w:rFonts w:ascii="Times New Roman" w:hAnsi="Times New Roman"/>
          <w:sz w:val="20"/>
          <w:szCs w:val="20"/>
        </w:rPr>
        <w:t>the</w:t>
      </w:r>
      <w:r w:rsidR="00EC5B68" w:rsidRPr="0048221C">
        <w:rPr>
          <w:rFonts w:ascii="Times New Roman" w:hAnsi="Times New Roman"/>
          <w:sz w:val="20"/>
          <w:szCs w:val="20"/>
        </w:rPr>
        <w:t xml:space="preserve"> </w:t>
      </w:r>
      <w:r w:rsidRPr="0048221C">
        <w:rPr>
          <w:rFonts w:ascii="Times New Roman" w:hAnsi="Times New Roman"/>
          <w:sz w:val="20"/>
          <w:szCs w:val="20"/>
        </w:rPr>
        <w:t>subband</w:t>
      </w:r>
      <w:r w:rsidR="00EC5B68">
        <w:rPr>
          <w:rFonts w:ascii="Times New Roman" w:hAnsi="Times New Roman"/>
          <w:sz w:val="20"/>
          <w:szCs w:val="20"/>
        </w:rPr>
        <w:t xml:space="preserve"> with UE specific PDCCH RS</w:t>
      </w:r>
      <w:r w:rsidRPr="0048221C">
        <w:rPr>
          <w:rFonts w:ascii="Times New Roman" w:hAnsi="Times New Roman"/>
          <w:sz w:val="20"/>
          <w:szCs w:val="20"/>
        </w:rPr>
        <w:t xml:space="preserve">, UE should have per </w:t>
      </w:r>
      <w:r w:rsidR="006150DE">
        <w:rPr>
          <w:rFonts w:ascii="Times New Roman" w:hAnsi="Times New Roman"/>
          <w:sz w:val="20"/>
          <w:szCs w:val="20"/>
        </w:rPr>
        <w:t>PRB/PRB group</w:t>
      </w:r>
      <w:r w:rsidRPr="0048221C">
        <w:rPr>
          <w:rFonts w:ascii="Times New Roman" w:hAnsi="Times New Roman"/>
          <w:sz w:val="20"/>
          <w:szCs w:val="20"/>
        </w:rPr>
        <w:t xml:space="preserve"> level RS processing.</w:t>
      </w:r>
    </w:p>
    <w:p w14:paraId="0137296A" w14:textId="77777777" w:rsidR="00FC6F9E" w:rsidRPr="0048221C" w:rsidRDefault="00FC6F9E" w:rsidP="00FC6F9E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Single / Multi-part control</w:t>
      </w:r>
    </w:p>
    <w:p w14:paraId="3C3C8B3E" w14:textId="7172AE72" w:rsidR="00FC6F9E" w:rsidRPr="001840D8" w:rsidRDefault="00FC6F9E" w:rsidP="00FC6F9E">
      <w:pPr>
        <w:jc w:val="both"/>
      </w:pPr>
      <w:r w:rsidRPr="005861F7">
        <w:t xml:space="preserve">Each UE </w:t>
      </w:r>
      <w:r>
        <w:t>can</w:t>
      </w:r>
      <w:r w:rsidRPr="005861F7">
        <w:t xml:space="preserve"> monitor </w:t>
      </w:r>
      <w:r>
        <w:t xml:space="preserve">only </w:t>
      </w:r>
      <w:r w:rsidR="006150DE">
        <w:t xml:space="preserve">the </w:t>
      </w:r>
      <w:r>
        <w:t>configured</w:t>
      </w:r>
      <w:r w:rsidR="006150DE">
        <w:t xml:space="preserve"> and requested</w:t>
      </w:r>
      <w:r>
        <w:t xml:space="preserve"> </w:t>
      </w:r>
      <w:r w:rsidRPr="005861F7">
        <w:t>subbands</w:t>
      </w:r>
      <w:r>
        <w:t xml:space="preserve"> among the system BW</w:t>
      </w:r>
      <w:r w:rsidRPr="005861F7">
        <w:t xml:space="preserve"> to reduce search complexity</w:t>
      </w:r>
      <w:r w:rsidR="006150DE">
        <w:t xml:space="preserve"> and power consumption</w:t>
      </w:r>
      <w:r>
        <w:t xml:space="preserve">. </w:t>
      </w:r>
      <w:r w:rsidRPr="005861F7">
        <w:t>A common</w:t>
      </w:r>
      <w:r>
        <w:t xml:space="preserve"> </w:t>
      </w:r>
      <w:r w:rsidR="00422B94">
        <w:t>control</w:t>
      </w:r>
      <w:r w:rsidRPr="005861F7">
        <w:t xml:space="preserve"> subband can be set as the default subband upon initial access (indicated by MIB).</w:t>
      </w:r>
    </w:p>
    <w:p w14:paraId="79B6AB27" w14:textId="04FE4F83" w:rsidR="00FC6F9E" w:rsidRDefault="00FC6F9E" w:rsidP="00FC6F9E">
      <w:r>
        <w:rPr>
          <w:b/>
          <w:u w:val="single"/>
        </w:rPr>
        <w:t>Proposal</w:t>
      </w:r>
      <w:r w:rsidRPr="00392F4D">
        <w:rPr>
          <w:b/>
          <w:u w:val="single"/>
        </w:rPr>
        <w:t xml:space="preserve"> </w:t>
      </w:r>
      <w:r w:rsidR="006150DE">
        <w:rPr>
          <w:b/>
          <w:u w:val="single"/>
        </w:rPr>
        <w:t>2</w:t>
      </w:r>
      <w:r w:rsidRPr="00392F4D">
        <w:rPr>
          <w:b/>
          <w:u w:val="single"/>
        </w:rPr>
        <w:t>:</w:t>
      </w:r>
      <w:r w:rsidRPr="00392F4D">
        <w:t xml:space="preserve"> </w:t>
      </w:r>
      <w:r>
        <w:t>NR shall allow a smaller BW UE to operate in the system</w:t>
      </w:r>
      <w:r w:rsidR="006150DE">
        <w:t xml:space="preserve"> than the system BW</w:t>
      </w:r>
      <w:r>
        <w:t xml:space="preserve">. Minimum UE BW can be </w:t>
      </w:r>
      <w:r w:rsidR="006150DE">
        <w:t>20</w:t>
      </w:r>
      <w:r>
        <w:t xml:space="preserve"> MHz</w:t>
      </w:r>
      <w:r w:rsidR="006150DE">
        <w:t xml:space="preserve"> for eMBB</w:t>
      </w:r>
      <w:r>
        <w:t>.</w:t>
      </w:r>
    </w:p>
    <w:p w14:paraId="6FD0F678" w14:textId="579B4BEA" w:rsidR="00FC6F9E" w:rsidRDefault="00FC6F9E" w:rsidP="00FC6F9E">
      <w:r w:rsidRPr="00C17521">
        <w:rPr>
          <w:b/>
          <w:u w:val="single"/>
        </w:rPr>
        <w:t xml:space="preserve">Proposal </w:t>
      </w:r>
      <w:r w:rsidR="006150DE">
        <w:rPr>
          <w:b/>
          <w:u w:val="single"/>
        </w:rPr>
        <w:t>3</w:t>
      </w:r>
      <w:r w:rsidRPr="00C17521">
        <w:rPr>
          <w:b/>
          <w:u w:val="single"/>
        </w:rPr>
        <w:t>:</w:t>
      </w:r>
      <w:r>
        <w:t xml:space="preserve"> Introduce the subband </w:t>
      </w:r>
      <w:r w:rsidR="006150DE">
        <w:t>for PDCCH monitoring</w:t>
      </w:r>
      <w:r>
        <w:t xml:space="preserve"> with the above attributes per subband</w:t>
      </w:r>
      <w:r w:rsidR="00422B94">
        <w:t>.</w:t>
      </w:r>
    </w:p>
    <w:p w14:paraId="3E293906" w14:textId="7DDB5D4E" w:rsidR="0029660E" w:rsidRDefault="0029660E" w:rsidP="00BC4D50"/>
    <w:p w14:paraId="56D28D4B" w14:textId="26018A49" w:rsidR="00067CA8" w:rsidRPr="00226FE2" w:rsidRDefault="004503F9" w:rsidP="00067CA8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4A35DF7F" w14:textId="4BA462ED" w:rsidR="00D33E43" w:rsidRDefault="00D33E43" w:rsidP="00D33E43">
      <w:pPr>
        <w:jc w:val="both"/>
        <w:rPr>
          <w:szCs w:val="22"/>
        </w:rPr>
      </w:pPr>
      <w:r>
        <w:rPr>
          <w:szCs w:val="22"/>
        </w:rPr>
        <w:t>This contribution has discussed the PDCCH monitoring subband and potential attributes of each subband. The following proposals have been made:</w:t>
      </w:r>
    </w:p>
    <w:p w14:paraId="382274BF" w14:textId="77777777" w:rsidR="00D33E43" w:rsidRDefault="00D33E43" w:rsidP="00D33E43">
      <w:r w:rsidRPr="00C17521">
        <w:rPr>
          <w:b/>
          <w:u w:val="single"/>
        </w:rPr>
        <w:t xml:space="preserve">Proposal </w:t>
      </w:r>
      <w:r>
        <w:rPr>
          <w:b/>
          <w:u w:val="single"/>
        </w:rPr>
        <w:t>1</w:t>
      </w:r>
      <w:r w:rsidRPr="00C17521">
        <w:rPr>
          <w:b/>
          <w:u w:val="single"/>
        </w:rPr>
        <w:t>:</w:t>
      </w:r>
      <w:r>
        <w:t xml:space="preserve"> Consider 2 port SFBC and CDD as a candidate diversity scheme for PDCCH.</w:t>
      </w:r>
    </w:p>
    <w:p w14:paraId="29655ACF" w14:textId="77777777" w:rsidR="00D33E43" w:rsidRDefault="00D33E43" w:rsidP="00D33E43">
      <w:r w:rsidRPr="00D33E43">
        <w:rPr>
          <w:b/>
          <w:u w:val="single"/>
        </w:rPr>
        <w:t>Proposal 2:</w:t>
      </w:r>
      <w:r w:rsidRPr="00392F4D">
        <w:t xml:space="preserve"> </w:t>
      </w:r>
      <w:r>
        <w:t>NR shall allow a smaller BW UE to operate in the system than the system BW. Minimum UE BW can be 20 MHz for eMBB.</w:t>
      </w:r>
    </w:p>
    <w:p w14:paraId="30597863" w14:textId="5CF28353" w:rsidR="00D33E43" w:rsidRDefault="00D33E43" w:rsidP="00D33E43">
      <w:r w:rsidRPr="00D33E43">
        <w:rPr>
          <w:b/>
          <w:u w:val="single"/>
        </w:rPr>
        <w:t>Proposal 3:</w:t>
      </w:r>
      <w:r>
        <w:t xml:space="preserve"> Introduce the subband for UE PDCCH monitoring with the above attributes per subband:</w:t>
      </w:r>
    </w:p>
    <w:p w14:paraId="08967E71" w14:textId="77777777" w:rsidR="00683F23" w:rsidRPr="0048221C" w:rsidRDefault="00683F23" w:rsidP="00683F23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 xml:space="preserve">UE specific </w:t>
      </w:r>
      <w:r>
        <w:rPr>
          <w:rFonts w:ascii="Times New Roman" w:hAnsi="Times New Roman"/>
          <w:sz w:val="20"/>
          <w:szCs w:val="20"/>
        </w:rPr>
        <w:t>control subband</w:t>
      </w:r>
      <w:r w:rsidRPr="0048221C">
        <w:rPr>
          <w:rFonts w:ascii="Times New Roman" w:hAnsi="Times New Roman"/>
          <w:sz w:val="20"/>
          <w:szCs w:val="20"/>
        </w:rPr>
        <w:t xml:space="preserve"> / Common </w:t>
      </w:r>
      <w:r>
        <w:rPr>
          <w:rFonts w:ascii="Times New Roman" w:hAnsi="Times New Roman"/>
          <w:sz w:val="20"/>
          <w:szCs w:val="20"/>
        </w:rPr>
        <w:t>control subband</w:t>
      </w:r>
    </w:p>
    <w:p w14:paraId="107D6D1A" w14:textId="77777777" w:rsidR="00683F23" w:rsidRDefault="00683F23" w:rsidP="00683F23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CCE can be localized/distributed within a subband.</w:t>
      </w:r>
    </w:p>
    <w:p w14:paraId="36CF2CD4" w14:textId="77777777" w:rsidR="00683F23" w:rsidRDefault="00683F23" w:rsidP="00683F23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bookmarkStart w:id="2" w:name="_GoBack"/>
      <w:bookmarkEnd w:id="2"/>
      <w:r>
        <w:rPr>
          <w:rFonts w:ascii="Times New Roman" w:hAnsi="Times New Roman"/>
          <w:sz w:val="20"/>
          <w:szCs w:val="20"/>
        </w:rPr>
        <w:t>A control channel shall not span more than one subband.</w:t>
      </w:r>
    </w:p>
    <w:p w14:paraId="44F78533" w14:textId="77777777" w:rsidR="00683F23" w:rsidRDefault="00683F23" w:rsidP="00683F23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Common control subband</w:t>
      </w:r>
    </w:p>
    <w:p w14:paraId="66BDDA9B" w14:textId="77777777" w:rsidR="00683F23" w:rsidRDefault="00683F23" w:rsidP="00683F23">
      <w:pPr>
        <w:pStyle w:val="ListParagraph"/>
        <w:numPr>
          <w:ilvl w:val="2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Numerology is indicated by MIB.</w:t>
      </w:r>
    </w:p>
    <w:p w14:paraId="1C78476D" w14:textId="77777777" w:rsidR="00683F23" w:rsidRDefault="00683F23" w:rsidP="00683F23">
      <w:pPr>
        <w:pStyle w:val="ListParagraph"/>
        <w:numPr>
          <w:ilvl w:val="2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Can be semi-statically configured, or from MIB/MSIB, or by the specification.</w:t>
      </w:r>
    </w:p>
    <w:p w14:paraId="4D58CF47" w14:textId="77777777" w:rsidR="00683F23" w:rsidRDefault="00683F23" w:rsidP="00683F23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UE-specific control subband</w:t>
      </w:r>
    </w:p>
    <w:p w14:paraId="6314B6D9" w14:textId="77777777" w:rsidR="00683F23" w:rsidRDefault="00683F23" w:rsidP="00683F23">
      <w:pPr>
        <w:pStyle w:val="ListParagraph"/>
        <w:numPr>
          <w:ilvl w:val="2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Numerology can be from MIB or RRC configuration.</w:t>
      </w:r>
    </w:p>
    <w:p w14:paraId="2CB79DCA" w14:textId="77777777" w:rsidR="00683F23" w:rsidRDefault="00683F23" w:rsidP="00683F23">
      <w:pPr>
        <w:pStyle w:val="ListParagraph"/>
        <w:numPr>
          <w:ilvl w:val="3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We do not see a good use case for UE-specific control subband has different numerology from common control subband.</w:t>
      </w:r>
    </w:p>
    <w:p w14:paraId="1B2D2AFF" w14:textId="77777777" w:rsidR="00683F23" w:rsidRPr="0048221C" w:rsidRDefault="00683F23" w:rsidP="00683F23">
      <w:pPr>
        <w:pStyle w:val="ListParagraph"/>
        <w:numPr>
          <w:ilvl w:val="2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Can be configured via RRC.</w:t>
      </w:r>
    </w:p>
    <w:p w14:paraId="2ED73F98" w14:textId="77777777" w:rsidR="00683F23" w:rsidRPr="0048221C" w:rsidRDefault="00683F23" w:rsidP="00683F23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Common/Shared PDCCH RS</w:t>
      </w:r>
      <w:r w:rsidRPr="0048221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(Omni)</w:t>
      </w:r>
      <w:r w:rsidRPr="0048221C">
        <w:rPr>
          <w:rFonts w:ascii="Times New Roman" w:hAnsi="Times New Roman"/>
          <w:sz w:val="20"/>
          <w:szCs w:val="20"/>
        </w:rPr>
        <w:t xml:space="preserve">/ </w:t>
      </w:r>
      <w:r>
        <w:rPr>
          <w:rFonts w:ascii="Times New Roman" w:hAnsi="Times New Roman"/>
          <w:sz w:val="20"/>
          <w:szCs w:val="20"/>
        </w:rPr>
        <w:t>UE specific PDCCH RS (</w:t>
      </w:r>
      <w:r w:rsidRPr="0048221C">
        <w:rPr>
          <w:rFonts w:ascii="Times New Roman" w:hAnsi="Times New Roman"/>
          <w:sz w:val="20"/>
          <w:szCs w:val="20"/>
        </w:rPr>
        <w:t>Beamformed</w:t>
      </w:r>
      <w:r>
        <w:rPr>
          <w:rFonts w:ascii="Times New Roman" w:hAnsi="Times New Roman"/>
          <w:sz w:val="20"/>
          <w:szCs w:val="20"/>
        </w:rPr>
        <w:t>)</w:t>
      </w:r>
    </w:p>
    <w:p w14:paraId="12AF8496" w14:textId="77777777" w:rsidR="00683F23" w:rsidRDefault="00683F23" w:rsidP="00683F23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>the</w:t>
      </w:r>
      <w:r w:rsidRPr="0048221C">
        <w:rPr>
          <w:rFonts w:ascii="Times New Roman" w:hAnsi="Times New Roman"/>
          <w:sz w:val="20"/>
          <w:szCs w:val="20"/>
        </w:rPr>
        <w:t xml:space="preserve"> subband</w:t>
      </w:r>
      <w:r>
        <w:rPr>
          <w:rFonts w:ascii="Times New Roman" w:hAnsi="Times New Roman"/>
          <w:sz w:val="20"/>
          <w:szCs w:val="20"/>
        </w:rPr>
        <w:t xml:space="preserve"> with common/shared PDCCH RS</w:t>
      </w:r>
      <w:r w:rsidRPr="0048221C">
        <w:rPr>
          <w:rFonts w:ascii="Times New Roman" w:hAnsi="Times New Roman"/>
          <w:sz w:val="20"/>
          <w:szCs w:val="20"/>
        </w:rPr>
        <w:t>, UE can have a wideband RS processing over the subband</w:t>
      </w:r>
      <w:r>
        <w:rPr>
          <w:rFonts w:ascii="Times New Roman" w:hAnsi="Times New Roman"/>
          <w:sz w:val="20"/>
          <w:szCs w:val="20"/>
        </w:rPr>
        <w:t xml:space="preserve"> assuming shared RS within the subband</w:t>
      </w:r>
      <w:r w:rsidRPr="0048221C">
        <w:rPr>
          <w:rFonts w:ascii="Times New Roman" w:hAnsi="Times New Roman"/>
          <w:sz w:val="20"/>
          <w:szCs w:val="20"/>
        </w:rPr>
        <w:t>.</w:t>
      </w:r>
    </w:p>
    <w:p w14:paraId="727E2437" w14:textId="77777777" w:rsidR="00683F23" w:rsidRPr="0048221C" w:rsidRDefault="00683F23" w:rsidP="00683F23">
      <w:pPr>
        <w:pStyle w:val="ListParagraph"/>
        <w:numPr>
          <w:ilvl w:val="2"/>
          <w:numId w:val="3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Phase continuity assumption across slot needs to be discussed.</w:t>
      </w:r>
    </w:p>
    <w:p w14:paraId="6C4034E2" w14:textId="77777777" w:rsidR="00683F23" w:rsidRPr="0048221C" w:rsidRDefault="00683F23" w:rsidP="00683F23">
      <w:pPr>
        <w:pStyle w:val="ListParagraph"/>
        <w:numPr>
          <w:ilvl w:val="1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>the</w:t>
      </w:r>
      <w:r w:rsidRPr="0048221C">
        <w:rPr>
          <w:rFonts w:ascii="Times New Roman" w:hAnsi="Times New Roman"/>
          <w:sz w:val="20"/>
          <w:szCs w:val="20"/>
        </w:rPr>
        <w:t xml:space="preserve"> subband</w:t>
      </w:r>
      <w:r>
        <w:rPr>
          <w:rFonts w:ascii="Times New Roman" w:hAnsi="Times New Roman"/>
          <w:sz w:val="20"/>
          <w:szCs w:val="20"/>
        </w:rPr>
        <w:t xml:space="preserve"> with UE specific PDCCH RS</w:t>
      </w:r>
      <w:r w:rsidRPr="0048221C">
        <w:rPr>
          <w:rFonts w:ascii="Times New Roman" w:hAnsi="Times New Roman"/>
          <w:sz w:val="20"/>
          <w:szCs w:val="20"/>
        </w:rPr>
        <w:t xml:space="preserve">, UE should have per </w:t>
      </w:r>
      <w:r>
        <w:rPr>
          <w:rFonts w:ascii="Times New Roman" w:hAnsi="Times New Roman"/>
          <w:sz w:val="20"/>
          <w:szCs w:val="20"/>
        </w:rPr>
        <w:t>PRB/PRB group</w:t>
      </w:r>
      <w:r w:rsidRPr="0048221C">
        <w:rPr>
          <w:rFonts w:ascii="Times New Roman" w:hAnsi="Times New Roman"/>
          <w:sz w:val="20"/>
          <w:szCs w:val="20"/>
        </w:rPr>
        <w:t xml:space="preserve"> level RS processing.</w:t>
      </w:r>
    </w:p>
    <w:p w14:paraId="7639B94F" w14:textId="77777777" w:rsidR="00683F23" w:rsidRPr="0048221C" w:rsidRDefault="00683F23" w:rsidP="00683F23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48221C">
        <w:rPr>
          <w:rFonts w:ascii="Times New Roman" w:hAnsi="Times New Roman"/>
          <w:sz w:val="20"/>
          <w:szCs w:val="20"/>
        </w:rPr>
        <w:t>Single / Multi-part control</w:t>
      </w:r>
    </w:p>
    <w:p w14:paraId="0FCBF384" w14:textId="77777777" w:rsidR="00D33E43" w:rsidRPr="00D33E43" w:rsidRDefault="00D33E43" w:rsidP="00D33E43">
      <w:pPr>
        <w:jc w:val="both"/>
      </w:pPr>
    </w:p>
    <w:p w14:paraId="43B7F896" w14:textId="5D50D665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lastRenderedPageBreak/>
        <w:t>References</w:t>
      </w:r>
    </w:p>
    <w:p w14:paraId="3F2F3435" w14:textId="77777777" w:rsidR="002F61EE" w:rsidRPr="001A2F35" w:rsidRDefault="002F61EE" w:rsidP="002F61EE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R1-1610177, “DL control channels overview”, Qualcomm Incorporated, RAN1#86b</w:t>
      </w:r>
    </w:p>
    <w:p w14:paraId="70F21215" w14:textId="0804AD22" w:rsidR="00804B56" w:rsidRPr="00FB4D0E" w:rsidRDefault="000058EB" w:rsidP="00AA0DF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FB4D0E">
        <w:rPr>
          <w:szCs w:val="22"/>
        </w:rPr>
        <w:t>RAN2 chairman’s note, RAN2#95</w:t>
      </w:r>
    </w:p>
    <w:sectPr w:rsidR="00804B56" w:rsidRPr="00FB4D0E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1F760" w14:textId="77777777" w:rsidR="000E4F98" w:rsidRDefault="000E4F98">
      <w:r>
        <w:separator/>
      </w:r>
    </w:p>
  </w:endnote>
  <w:endnote w:type="continuationSeparator" w:id="0">
    <w:p w14:paraId="52D4AC7A" w14:textId="77777777" w:rsidR="000E4F98" w:rsidRDefault="000E4F98">
      <w:r>
        <w:continuationSeparator/>
      </w:r>
    </w:p>
  </w:endnote>
  <w:endnote w:type="continuationNotice" w:id="1">
    <w:p w14:paraId="770BBE0B" w14:textId="77777777" w:rsidR="000E4F98" w:rsidRDefault="000E4F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223847" w:rsidRDefault="00223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223847" w:rsidRDefault="00223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223847" w:rsidRDefault="00223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3F2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3F23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C6601" w14:textId="77777777" w:rsidR="000E4F98" w:rsidRDefault="000E4F98">
      <w:r>
        <w:separator/>
      </w:r>
    </w:p>
  </w:footnote>
  <w:footnote w:type="continuationSeparator" w:id="0">
    <w:p w14:paraId="7804DD17" w14:textId="77777777" w:rsidR="000E4F98" w:rsidRDefault="000E4F98">
      <w:r>
        <w:continuationSeparator/>
      </w:r>
    </w:p>
  </w:footnote>
  <w:footnote w:type="continuationNotice" w:id="1">
    <w:p w14:paraId="17E8245A" w14:textId="77777777" w:rsidR="000E4F98" w:rsidRDefault="000E4F9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223847" w:rsidRDefault="00223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5.6pt;height:15.6pt" o:bullet="t">
        <v:imagedata r:id="rId1" o:title="artA0B3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22D22"/>
    <w:multiLevelType w:val="hybridMultilevel"/>
    <w:tmpl w:val="65D28C7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547AE0"/>
    <w:multiLevelType w:val="hybridMultilevel"/>
    <w:tmpl w:val="168A235E"/>
    <w:lvl w:ilvl="0" w:tplc="C3AC401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B2B0B"/>
    <w:multiLevelType w:val="hybridMultilevel"/>
    <w:tmpl w:val="E04A1B7C"/>
    <w:lvl w:ilvl="0" w:tplc="B13013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29B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B4FD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A85A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343F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9280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089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B0AC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CE32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7F3033A"/>
    <w:multiLevelType w:val="hybridMultilevel"/>
    <w:tmpl w:val="0A2CA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660727"/>
    <w:multiLevelType w:val="hybridMultilevel"/>
    <w:tmpl w:val="32880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B3FDA"/>
    <w:multiLevelType w:val="hybridMultilevel"/>
    <w:tmpl w:val="813413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E4517B"/>
    <w:multiLevelType w:val="hybridMultilevel"/>
    <w:tmpl w:val="578C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8C924E4"/>
    <w:multiLevelType w:val="hybridMultilevel"/>
    <w:tmpl w:val="EA52F806"/>
    <w:lvl w:ilvl="0" w:tplc="92904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C1F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8454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4200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CAB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7405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00BF1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FEA2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642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F6F592C"/>
    <w:multiLevelType w:val="hybridMultilevel"/>
    <w:tmpl w:val="8084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94A81"/>
    <w:multiLevelType w:val="hybridMultilevel"/>
    <w:tmpl w:val="D3EA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211F7"/>
    <w:multiLevelType w:val="hybridMultilevel"/>
    <w:tmpl w:val="CE787A00"/>
    <w:lvl w:ilvl="0" w:tplc="F14EBC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8807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6234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A82C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3CEF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A0C0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CB9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58B4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EA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D7E4A"/>
    <w:multiLevelType w:val="hybridMultilevel"/>
    <w:tmpl w:val="75B6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E01F16"/>
    <w:multiLevelType w:val="hybridMultilevel"/>
    <w:tmpl w:val="9C4A6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362F0F"/>
    <w:multiLevelType w:val="hybridMultilevel"/>
    <w:tmpl w:val="20FEF8B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8C7EDC"/>
    <w:multiLevelType w:val="hybridMultilevel"/>
    <w:tmpl w:val="221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6647B9"/>
    <w:multiLevelType w:val="hybridMultilevel"/>
    <w:tmpl w:val="95AE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18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29"/>
    <w:lvlOverride w:ilvl="0">
      <w:startOverride w:val="1"/>
    </w:lvlOverride>
  </w:num>
  <w:num w:numId="10">
    <w:abstractNumId w:val="20"/>
  </w:num>
  <w:num w:numId="11">
    <w:abstractNumId w:val="23"/>
  </w:num>
  <w:num w:numId="12">
    <w:abstractNumId w:val="24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13"/>
  </w:num>
  <w:num w:numId="18">
    <w:abstractNumId w:val="27"/>
  </w:num>
  <w:num w:numId="19">
    <w:abstractNumId w:val="30"/>
  </w:num>
  <w:num w:numId="20">
    <w:abstractNumId w:val="11"/>
  </w:num>
  <w:num w:numId="21">
    <w:abstractNumId w:val="26"/>
  </w:num>
  <w:num w:numId="22">
    <w:abstractNumId w:val="2"/>
  </w:num>
  <w:num w:numId="23">
    <w:abstractNumId w:val="14"/>
  </w:num>
  <w:num w:numId="24">
    <w:abstractNumId w:val="9"/>
  </w:num>
  <w:num w:numId="25">
    <w:abstractNumId w:val="5"/>
  </w:num>
  <w:num w:numId="26">
    <w:abstractNumId w:val="21"/>
  </w:num>
  <w:num w:numId="27">
    <w:abstractNumId w:val="25"/>
  </w:num>
  <w:num w:numId="28">
    <w:abstractNumId w:val="19"/>
  </w:num>
  <w:num w:numId="29">
    <w:abstractNumId w:val="28"/>
  </w:num>
  <w:num w:numId="30">
    <w:abstractNumId w:val="12"/>
  </w:num>
  <w:num w:numId="3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8E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62A"/>
    <w:rsid w:val="000716FB"/>
    <w:rsid w:val="00071740"/>
    <w:rsid w:val="00072A48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4F98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18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342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98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CB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1EE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688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C"/>
    <w:rsid w:val="00405898"/>
    <w:rsid w:val="00405A9F"/>
    <w:rsid w:val="00405D95"/>
    <w:rsid w:val="00405F90"/>
    <w:rsid w:val="00406108"/>
    <w:rsid w:val="00406412"/>
    <w:rsid w:val="00406D4A"/>
    <w:rsid w:val="00406D9D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B94"/>
    <w:rsid w:val="00422D62"/>
    <w:rsid w:val="00422DB5"/>
    <w:rsid w:val="004232D4"/>
    <w:rsid w:val="00423326"/>
    <w:rsid w:val="0042408B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BE7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E09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424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0DE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3F23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56D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2AE7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0C7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1D6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B3D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1B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026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CFD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3E43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3CE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456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446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579C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5B68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18D"/>
    <w:rsid w:val="00F14FB4"/>
    <w:rsid w:val="00F15CF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70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D0E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6F9E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EC0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HR33RHYHUWRF-4-557</_dlc_DocId>
    <_dlc_DocIdUrl xmlns="c06861ca-3f08-4d07-bff7-bb15bac121f4">
      <Url>https://projects.qualcomm.com/sites/pentari/_layouts/15/DocIdRedir.aspx?ID=HR33RHYHUWRF-4-557</Url>
      <Description>HR33RHYHUWRF-4-557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0093285-CA8A-4718-BBC1-F0DA2FFD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#86bis</vt:lpstr>
    </vt:vector>
  </TitlesOfParts>
  <Company>Qualcomm Inc.</Company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#86bis</dc:title>
  <dc:subject/>
  <dc:creator>Qualcomm Inc.</dc:creator>
  <cp:keywords/>
  <cp:lastModifiedBy>Heechoon Lee</cp:lastModifiedBy>
  <cp:revision>3</cp:revision>
  <cp:lastPrinted>2014-11-07T05:38:00Z</cp:lastPrinted>
  <dcterms:created xsi:type="dcterms:W3CDTF">2016-11-05T05:40:00Z</dcterms:created>
  <dcterms:modified xsi:type="dcterms:W3CDTF">2016-11-05T05:42:00Z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d61e779a-ab6d-4d3f-b973-76560b697a3a</vt:lpwstr>
  </property>
  <property fmtid="{D5CDD505-2E9C-101B-9397-08002B2CF9AE}" pid="4" name="_AdHocReviewCycleID">
    <vt:i4>-142651373</vt:i4>
  </property>
  <property fmtid="{D5CDD505-2E9C-101B-9397-08002B2CF9AE}" pid="5" name="_NewReviewCycle">
    <vt:lpwstr/>
  </property>
  <property fmtid="{D5CDD505-2E9C-101B-9397-08002B2CF9AE}" pid="6" name="_EmailSubject">
    <vt:lpwstr>Control channel contributions for RAN1#87</vt:lpwstr>
  </property>
  <property fmtid="{D5CDD505-2E9C-101B-9397-08002B2CF9AE}" pid="7" name="_AuthorEmail">
    <vt:lpwstr>jingsun@qti.qualcomm.com</vt:lpwstr>
  </property>
  <property fmtid="{D5CDD505-2E9C-101B-9397-08002B2CF9AE}" pid="8" name="_AuthorEmailDisplayName">
    <vt:lpwstr>Sun, Jing</vt:lpwstr>
  </property>
  <property fmtid="{D5CDD505-2E9C-101B-9397-08002B2CF9AE}" pid="9" name="_ReviewingToolsShownOnce">
    <vt:lpwstr/>
  </property>
</Properties>
</file>