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93EA8" w14:textId="369A1E15" w:rsidR="00D660DA" w:rsidRPr="00D77ACE" w:rsidRDefault="00D660DA" w:rsidP="00D660DA">
      <w:pPr>
        <w:tabs>
          <w:tab w:val="right" w:pos="9360"/>
        </w:tabs>
        <w:spacing w:after="0"/>
        <w:rPr>
          <w:rFonts w:ascii="Arial" w:hAnsi="Arial" w:cs="Arial"/>
          <w:b/>
          <w:sz w:val="24"/>
          <w:szCs w:val="24"/>
          <w:lang w:val="en-US"/>
        </w:rPr>
      </w:pPr>
      <w:r>
        <w:rPr>
          <w:rFonts w:ascii="Arial" w:hAnsi="Arial" w:cs="Arial"/>
          <w:b/>
          <w:sz w:val="24"/>
          <w:szCs w:val="24"/>
          <w:lang w:val="en-US"/>
        </w:rPr>
        <w:t>3GPP TSG-RAN WG1 #8</w:t>
      </w:r>
      <w:r w:rsidR="00995160">
        <w:rPr>
          <w:rFonts w:ascii="Arial" w:hAnsi="Arial" w:cs="Arial"/>
          <w:b/>
          <w:sz w:val="24"/>
          <w:szCs w:val="24"/>
          <w:lang w:val="en-US"/>
        </w:rPr>
        <w:t>7</w:t>
      </w:r>
      <w:r>
        <w:rPr>
          <w:rFonts w:ascii="Arial" w:hAnsi="Arial" w:cs="Arial"/>
          <w:b/>
          <w:sz w:val="24"/>
          <w:szCs w:val="24"/>
          <w:lang w:val="en-US"/>
        </w:rPr>
        <w:t xml:space="preserve">                                                          </w:t>
      </w:r>
      <w:r>
        <w:rPr>
          <w:rFonts w:ascii="Arial" w:hAnsi="Arial" w:cs="Arial"/>
          <w:b/>
          <w:sz w:val="24"/>
          <w:szCs w:val="24"/>
          <w:lang w:val="en-US"/>
        </w:rPr>
        <w:tab/>
        <w:t xml:space="preserve">            </w:t>
      </w:r>
      <w:r w:rsidR="00995160" w:rsidRPr="00995160">
        <w:rPr>
          <w:rFonts w:ascii="Arial" w:hAnsi="Arial" w:cs="Arial"/>
          <w:b/>
          <w:sz w:val="24"/>
          <w:szCs w:val="24"/>
          <w:lang w:val="en-US"/>
        </w:rPr>
        <w:t>R1-1611594</w:t>
      </w:r>
    </w:p>
    <w:p w14:paraId="15251CEF" w14:textId="77777777" w:rsidR="00995160" w:rsidRPr="001033C9" w:rsidRDefault="00995160" w:rsidP="00995160">
      <w:pPr>
        <w:tabs>
          <w:tab w:val="right" w:pos="9360"/>
        </w:tabs>
        <w:spacing w:after="0"/>
        <w:rPr>
          <w:rFonts w:ascii="Arial" w:hAnsi="Arial" w:cs="Arial"/>
          <w:b/>
          <w:sz w:val="24"/>
          <w:szCs w:val="24"/>
          <w:lang w:val="en-US"/>
        </w:rPr>
      </w:pPr>
      <w:r>
        <w:rPr>
          <w:rFonts w:ascii="Arial" w:hAnsi="Arial" w:cs="Arial"/>
          <w:b/>
          <w:sz w:val="24"/>
          <w:szCs w:val="24"/>
          <w:lang w:val="en-US"/>
        </w:rPr>
        <w:t>14th – 18th November</w:t>
      </w:r>
      <w:r w:rsidRPr="001033C9">
        <w:rPr>
          <w:rFonts w:ascii="Arial" w:hAnsi="Arial" w:cs="Arial"/>
          <w:b/>
          <w:sz w:val="24"/>
          <w:szCs w:val="24"/>
          <w:lang w:val="en-US"/>
        </w:rPr>
        <w:t>, 2016</w:t>
      </w:r>
    </w:p>
    <w:p w14:paraId="4BD3BC4A" w14:textId="77777777" w:rsidR="00995160" w:rsidRDefault="00995160" w:rsidP="00995160">
      <w:pPr>
        <w:tabs>
          <w:tab w:val="right" w:pos="9360"/>
        </w:tabs>
        <w:spacing w:after="0"/>
        <w:rPr>
          <w:rFonts w:ascii="Arial" w:hAnsi="Arial" w:cs="Arial"/>
          <w:b/>
          <w:sz w:val="24"/>
          <w:szCs w:val="24"/>
          <w:lang w:val="en-US"/>
        </w:rPr>
      </w:pPr>
      <w:r>
        <w:rPr>
          <w:rFonts w:ascii="Arial" w:hAnsi="Arial" w:cs="Arial"/>
          <w:b/>
          <w:sz w:val="24"/>
          <w:szCs w:val="24"/>
          <w:lang w:val="en-US"/>
        </w:rPr>
        <w:t>Reno, U.S.A.</w:t>
      </w:r>
    </w:p>
    <w:p w14:paraId="4283AD23" w14:textId="77777777" w:rsidR="00DB74FF" w:rsidRDefault="00DB74FF" w:rsidP="00317899">
      <w:pPr>
        <w:tabs>
          <w:tab w:val="right" w:pos="10000"/>
        </w:tabs>
        <w:spacing w:after="0"/>
        <w:rPr>
          <w:rFonts w:ascii="Arial" w:hAnsi="Arial" w:cs="Arial"/>
          <w:b/>
          <w:sz w:val="24"/>
          <w:szCs w:val="24"/>
          <w:lang w:val="en-US"/>
        </w:rPr>
      </w:pPr>
    </w:p>
    <w:p w14:paraId="5095F84C" w14:textId="393FD420"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0" w:name="Source"/>
      <w:bookmarkEnd w:id="0"/>
      <w:r w:rsidR="00995160" w:rsidRPr="00995160">
        <w:rPr>
          <w:rFonts w:ascii="Arial" w:hAnsi="Arial"/>
          <w:sz w:val="24"/>
          <w:lang w:val="en-US"/>
        </w:rPr>
        <w:t>6.2.1.4.1</w:t>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12984587" w14:textId="35064FC7" w:rsidR="00317899" w:rsidRPr="005D0F9B" w:rsidRDefault="00317899" w:rsidP="00317899">
      <w:pPr>
        <w:ind w:left="1988" w:hanging="1988"/>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D660DA">
        <w:rPr>
          <w:rFonts w:ascii="Arial" w:hAnsi="Arial"/>
          <w:sz w:val="24"/>
          <w:lang w:val="en-US"/>
        </w:rPr>
        <w:t>C</w:t>
      </w:r>
      <w:r w:rsidR="00326062" w:rsidRPr="00C672E4">
        <w:rPr>
          <w:rFonts w:ascii="Arial" w:hAnsi="Arial"/>
          <w:sz w:val="24"/>
          <w:lang w:val="en-US"/>
        </w:rPr>
        <w:t>ongestion control</w:t>
      </w:r>
      <w:r w:rsidR="00D660DA">
        <w:rPr>
          <w:rFonts w:ascii="Arial" w:hAnsi="Arial"/>
          <w:sz w:val="24"/>
          <w:lang w:val="en-US"/>
        </w:rPr>
        <w:t xml:space="preserve"> for V2V</w:t>
      </w:r>
    </w:p>
    <w:p w14:paraId="76B0159F" w14:textId="77777777" w:rsidR="00317899" w:rsidRPr="00E21680" w:rsidRDefault="00317899" w:rsidP="00317899">
      <w:pPr>
        <w:jc w:val="both"/>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5C3A5CD6" w14:textId="77777777" w:rsidR="00410201" w:rsidRDefault="00317899" w:rsidP="008D11BD">
      <w:pPr>
        <w:pStyle w:val="Heading1"/>
      </w:pPr>
      <w:r>
        <w:t>1</w:t>
      </w:r>
      <w:r>
        <w:tab/>
        <w:t>Introduction</w:t>
      </w:r>
    </w:p>
    <w:p w14:paraId="4608631F" w14:textId="7A681C61" w:rsidR="00BB13CC" w:rsidRDefault="00054B46" w:rsidP="00F873E4">
      <w:pPr>
        <w:jc w:val="both"/>
      </w:pPr>
      <w:r>
        <w:t>In RAN1 #86bis, the following agreements were reached regarding congestion control for PC5-based V2X</w:t>
      </w:r>
      <w:r w:rsidR="008F6C86">
        <w:t>:</w:t>
      </w:r>
    </w:p>
    <w:p w14:paraId="30C0E44A" w14:textId="77777777" w:rsidR="00054B46" w:rsidRPr="00054B46" w:rsidRDefault="00054B46" w:rsidP="00054B46">
      <w:pPr>
        <w:rPr>
          <w:i/>
          <w:lang w:val="en-US" w:eastAsia="ko-KR"/>
        </w:rPr>
      </w:pPr>
      <w:r w:rsidRPr="00054B46">
        <w:rPr>
          <w:i/>
          <w:highlight w:val="green"/>
          <w:lang w:eastAsia="ko-KR"/>
        </w:rPr>
        <w:t>Agreements:</w:t>
      </w:r>
    </w:p>
    <w:p w14:paraId="7302C7CB" w14:textId="77777777" w:rsidR="00054B46" w:rsidRPr="00F35BD9" w:rsidRDefault="00054B46" w:rsidP="00054B46">
      <w:pPr>
        <w:numPr>
          <w:ilvl w:val="0"/>
          <w:numId w:val="37"/>
        </w:numPr>
        <w:overflowPunct/>
        <w:autoSpaceDE/>
        <w:autoSpaceDN/>
        <w:adjustRightInd/>
        <w:spacing w:after="0"/>
        <w:textAlignment w:val="auto"/>
        <w:rPr>
          <w:i/>
          <w:lang w:eastAsia="ko-KR"/>
        </w:rPr>
      </w:pPr>
      <w:r w:rsidRPr="00F35BD9">
        <w:rPr>
          <w:i/>
          <w:lang w:eastAsia="ko-KR"/>
        </w:rPr>
        <w:t>Channel busy ratio (CBR) is defined for the congestion measurement over PC5 in V-UEs</w:t>
      </w:r>
    </w:p>
    <w:p w14:paraId="4CB79993"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CBR is the portion of sub-channels whose S-RSSI exceed a (pre-)configured threshold observed during (</w:t>
      </w:r>
      <w:r w:rsidRPr="00F35BD9">
        <w:rPr>
          <w:i/>
          <w:highlight w:val="darkYellow"/>
          <w:lang w:eastAsia="ko-KR"/>
        </w:rPr>
        <w:t>working assumption</w:t>
      </w:r>
      <w:r w:rsidRPr="00F35BD9">
        <w:rPr>
          <w:i/>
          <w:lang w:eastAsia="ko-KR"/>
        </w:rPr>
        <w:t xml:space="preserve">: 100 </w:t>
      </w:r>
      <w:proofErr w:type="spellStart"/>
      <w:r w:rsidRPr="00F35BD9">
        <w:rPr>
          <w:i/>
          <w:lang w:eastAsia="ko-KR"/>
        </w:rPr>
        <w:t>ms</w:t>
      </w:r>
      <w:proofErr w:type="spellEnd"/>
      <w:r w:rsidRPr="00F35BD9">
        <w:rPr>
          <w:i/>
          <w:lang w:eastAsia="ko-KR"/>
        </w:rPr>
        <w:t>).</w:t>
      </w:r>
    </w:p>
    <w:p w14:paraId="3A8B8CB8"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Only the sub-channels included in the resource pool are used for the measurement.</w:t>
      </w:r>
    </w:p>
    <w:p w14:paraId="16A25366"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FFS whether additional separated measurement is needed for SA pool.</w:t>
      </w:r>
    </w:p>
    <w:p w14:paraId="6C6640C0"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 xml:space="preserve">For a UE in Mode 3, the </w:t>
      </w:r>
      <w:proofErr w:type="spellStart"/>
      <w:r w:rsidRPr="00F35BD9">
        <w:rPr>
          <w:i/>
          <w:lang w:eastAsia="ko-KR"/>
        </w:rPr>
        <w:t>eNB</w:t>
      </w:r>
      <w:proofErr w:type="spellEnd"/>
      <w:r w:rsidRPr="00F35BD9">
        <w:rPr>
          <w:i/>
          <w:lang w:eastAsia="ko-KR"/>
        </w:rPr>
        <w:t xml:space="preserve"> indicates a set of resources on which the UE perform this measurement</w:t>
      </w:r>
    </w:p>
    <w:p w14:paraId="29CEF7A5"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For a UE in Mode 4, the measurement is pool-specific.</w:t>
      </w:r>
    </w:p>
    <w:p w14:paraId="03FF2C05"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A UE measures at least on its current TX pool(s).</w:t>
      </w:r>
    </w:p>
    <w:p w14:paraId="6F485C55" w14:textId="77777777" w:rsidR="00054B46" w:rsidRPr="00F35BD9" w:rsidRDefault="00054B46" w:rsidP="00054B46">
      <w:pPr>
        <w:numPr>
          <w:ilvl w:val="3"/>
          <w:numId w:val="37"/>
        </w:numPr>
        <w:overflowPunct/>
        <w:autoSpaceDE/>
        <w:autoSpaceDN/>
        <w:adjustRightInd/>
        <w:spacing w:after="0"/>
        <w:textAlignment w:val="auto"/>
        <w:rPr>
          <w:i/>
          <w:lang w:eastAsia="ko-KR"/>
        </w:rPr>
      </w:pPr>
      <w:r w:rsidRPr="00F35BD9">
        <w:rPr>
          <w:i/>
          <w:lang w:eastAsia="ko-KR"/>
        </w:rPr>
        <w:t>FFS whether a UE measures on a pool which is not its current transmission pool.</w:t>
      </w:r>
    </w:p>
    <w:p w14:paraId="460B22A3" w14:textId="77777777" w:rsidR="00054B46" w:rsidRPr="00F35BD9" w:rsidRDefault="00054B46" w:rsidP="00054B46">
      <w:pPr>
        <w:numPr>
          <w:ilvl w:val="2"/>
          <w:numId w:val="37"/>
        </w:numPr>
        <w:overflowPunct/>
        <w:autoSpaceDE/>
        <w:autoSpaceDN/>
        <w:adjustRightInd/>
        <w:spacing w:after="0"/>
        <w:textAlignment w:val="auto"/>
        <w:rPr>
          <w:i/>
          <w:lang w:eastAsia="ko-KR"/>
        </w:rPr>
      </w:pPr>
      <w:r w:rsidRPr="00F35BD9">
        <w:rPr>
          <w:i/>
          <w:lang w:eastAsia="ko-KR"/>
        </w:rPr>
        <w:t>RAN1 will not optimize this measurement to address the case of multiple TX pools</w:t>
      </w:r>
    </w:p>
    <w:p w14:paraId="343CA780" w14:textId="77777777" w:rsidR="00054B46" w:rsidRPr="00F35BD9" w:rsidRDefault="00054B46" w:rsidP="00054B46">
      <w:pPr>
        <w:numPr>
          <w:ilvl w:val="0"/>
          <w:numId w:val="37"/>
        </w:numPr>
        <w:overflowPunct/>
        <w:autoSpaceDE/>
        <w:autoSpaceDN/>
        <w:adjustRightInd/>
        <w:spacing w:after="0"/>
        <w:textAlignment w:val="auto"/>
        <w:rPr>
          <w:i/>
          <w:lang w:eastAsia="ko-KR"/>
        </w:rPr>
      </w:pPr>
      <w:r w:rsidRPr="00F35BD9">
        <w:rPr>
          <w:i/>
          <w:lang w:eastAsia="ko-KR"/>
        </w:rPr>
        <w:t xml:space="preserve">UE Reporting of CBR to </w:t>
      </w:r>
      <w:proofErr w:type="spellStart"/>
      <w:r w:rsidRPr="00F35BD9">
        <w:rPr>
          <w:i/>
          <w:lang w:eastAsia="ko-KR"/>
        </w:rPr>
        <w:t>eNB</w:t>
      </w:r>
      <w:proofErr w:type="spellEnd"/>
      <w:r w:rsidRPr="00F35BD9">
        <w:rPr>
          <w:i/>
          <w:lang w:eastAsia="ko-KR"/>
        </w:rPr>
        <w:t xml:space="preserve"> is supported</w:t>
      </w:r>
    </w:p>
    <w:p w14:paraId="15F29CA3" w14:textId="77777777" w:rsidR="00054B46" w:rsidRPr="00F35BD9" w:rsidRDefault="00054B46" w:rsidP="00054B46">
      <w:pPr>
        <w:numPr>
          <w:ilvl w:val="1"/>
          <w:numId w:val="37"/>
        </w:numPr>
        <w:overflowPunct/>
        <w:autoSpaceDE/>
        <w:autoSpaceDN/>
        <w:adjustRightInd/>
        <w:spacing w:after="0"/>
        <w:textAlignment w:val="auto"/>
        <w:rPr>
          <w:i/>
          <w:lang w:eastAsia="ko-KR"/>
        </w:rPr>
      </w:pPr>
      <w:r w:rsidRPr="00F35BD9">
        <w:rPr>
          <w:i/>
          <w:lang w:eastAsia="ko-KR"/>
        </w:rPr>
        <w:t>Details up to RAN2 including any possible additional averaging at higher layer</w:t>
      </w:r>
    </w:p>
    <w:p w14:paraId="176FE977" w14:textId="77777777" w:rsidR="00054B46" w:rsidRPr="00F35BD9" w:rsidRDefault="00054B46" w:rsidP="00054B46">
      <w:pPr>
        <w:numPr>
          <w:ilvl w:val="0"/>
          <w:numId w:val="37"/>
        </w:numPr>
        <w:overflowPunct/>
        <w:autoSpaceDE/>
        <w:autoSpaceDN/>
        <w:adjustRightInd/>
        <w:spacing w:after="0"/>
        <w:textAlignment w:val="auto"/>
        <w:rPr>
          <w:i/>
          <w:lang w:eastAsia="ko-KR"/>
        </w:rPr>
      </w:pPr>
      <w:r w:rsidRPr="00F35BD9">
        <w:rPr>
          <w:i/>
          <w:lang w:eastAsia="ko-KR"/>
        </w:rPr>
        <w:t>Send LS to RAN2/4 to inform this agreement.</w:t>
      </w:r>
    </w:p>
    <w:p w14:paraId="069191B9" w14:textId="77777777" w:rsidR="00847C11" w:rsidRDefault="00847C11" w:rsidP="00847C11">
      <w:pPr>
        <w:pStyle w:val="LGTdoc"/>
        <w:spacing w:afterLines="0" w:after="0" w:line="240" w:lineRule="atLeast"/>
        <w:rPr>
          <w:sz w:val="20"/>
          <w:szCs w:val="20"/>
          <w:lang w:val="en-US"/>
        </w:rPr>
      </w:pPr>
    </w:p>
    <w:p w14:paraId="1CC4B14A" w14:textId="07037A20" w:rsidR="00714963" w:rsidRDefault="00BA30AA" w:rsidP="00BA30AA">
      <w:pPr>
        <w:pStyle w:val="LGTdoc"/>
        <w:spacing w:afterLines="0" w:after="0" w:line="240" w:lineRule="atLeast"/>
        <w:rPr>
          <w:sz w:val="20"/>
          <w:szCs w:val="20"/>
          <w:lang w:val="en-US"/>
        </w:rPr>
      </w:pPr>
      <w:r>
        <w:rPr>
          <w:sz w:val="20"/>
          <w:szCs w:val="20"/>
          <w:lang w:val="en-US"/>
        </w:rPr>
        <w:t xml:space="preserve">In this paper, we address the remaining aspects for congestion measurements and propose a simplified congestion control mechanism for PC5-based V2X. This paper builds upon the basic proposal for congestion control as presented in our prior contribution </w:t>
      </w:r>
      <w:r w:rsidR="002A09A5" w:rsidRPr="002A09A5">
        <w:rPr>
          <w:sz w:val="20"/>
          <w:szCs w:val="20"/>
          <w:lang w:val="en-US"/>
        </w:rPr>
        <w:t>R1-1609960</w:t>
      </w:r>
      <w:r w:rsidR="004549F3">
        <w:rPr>
          <w:sz w:val="20"/>
          <w:szCs w:val="20"/>
          <w:lang w:val="en-US"/>
        </w:rPr>
        <w:t>.</w:t>
      </w:r>
    </w:p>
    <w:p w14:paraId="40D22BE4" w14:textId="77777777" w:rsidR="00714963" w:rsidRDefault="00714963" w:rsidP="00847C11">
      <w:pPr>
        <w:pStyle w:val="LGTdoc"/>
        <w:spacing w:afterLines="0" w:after="0" w:line="240" w:lineRule="atLeast"/>
        <w:rPr>
          <w:sz w:val="20"/>
          <w:szCs w:val="20"/>
          <w:lang w:val="en-US"/>
        </w:rPr>
      </w:pPr>
    </w:p>
    <w:p w14:paraId="59EA92A8" w14:textId="77777777" w:rsidR="00714963" w:rsidRDefault="00714963" w:rsidP="00847C11">
      <w:pPr>
        <w:pStyle w:val="LGTdoc"/>
        <w:spacing w:afterLines="0" w:after="0" w:line="240" w:lineRule="atLeast"/>
        <w:rPr>
          <w:sz w:val="20"/>
          <w:szCs w:val="20"/>
          <w:lang w:val="en-US"/>
        </w:rPr>
      </w:pPr>
      <w:r>
        <w:rPr>
          <w:sz w:val="20"/>
          <w:szCs w:val="20"/>
          <w:lang w:val="en-US"/>
        </w:rPr>
        <w:t>The paper is organized as follows:</w:t>
      </w:r>
    </w:p>
    <w:p w14:paraId="53800E52" w14:textId="0595CA5C" w:rsidR="000F0D1B" w:rsidRDefault="00714963"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CA5F2A">
        <w:rPr>
          <w:sz w:val="20"/>
          <w:szCs w:val="20"/>
          <w:lang w:val="en-US"/>
        </w:rPr>
        <w:t>2</w:t>
      </w:r>
      <w:r>
        <w:rPr>
          <w:sz w:val="20"/>
          <w:szCs w:val="20"/>
          <w:lang w:val="en-US"/>
        </w:rPr>
        <w:t xml:space="preserve"> </w:t>
      </w:r>
      <w:r w:rsidR="00CA5F2A">
        <w:rPr>
          <w:sz w:val="20"/>
          <w:szCs w:val="20"/>
          <w:lang w:val="en-US"/>
        </w:rPr>
        <w:t>discusses the open aspects in CBR measurement</w:t>
      </w:r>
      <w:r w:rsidR="000F0D1B">
        <w:rPr>
          <w:sz w:val="20"/>
          <w:szCs w:val="20"/>
          <w:lang w:val="en-US"/>
        </w:rPr>
        <w:t>,</w:t>
      </w:r>
    </w:p>
    <w:p w14:paraId="0B9A547E" w14:textId="4F48E16A" w:rsidR="00F873E4" w:rsidRDefault="00F873E4"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B35EF7">
        <w:rPr>
          <w:sz w:val="20"/>
          <w:szCs w:val="20"/>
          <w:lang w:val="en-US"/>
        </w:rPr>
        <w:t>3</w:t>
      </w:r>
      <w:r>
        <w:rPr>
          <w:sz w:val="20"/>
          <w:szCs w:val="20"/>
          <w:lang w:val="en-US"/>
        </w:rPr>
        <w:t xml:space="preserve"> provides o</w:t>
      </w:r>
      <w:r w:rsidR="00B35EF7">
        <w:rPr>
          <w:sz w:val="20"/>
          <w:szCs w:val="20"/>
          <w:lang w:val="en-US"/>
        </w:rPr>
        <w:t>ur proposals on DCC for LTE-V2V. The background discussion on generalized framework for DCC is also summarized in this section, with the details captured in Appendix A.</w:t>
      </w:r>
    </w:p>
    <w:p w14:paraId="4DC3855A" w14:textId="2868BEBE" w:rsidR="00CA5F2A" w:rsidRDefault="00CA5F2A"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B35EF7">
        <w:rPr>
          <w:sz w:val="20"/>
          <w:szCs w:val="20"/>
          <w:lang w:val="en-US"/>
        </w:rPr>
        <w:t>4</w:t>
      </w:r>
      <w:r>
        <w:rPr>
          <w:sz w:val="20"/>
          <w:szCs w:val="20"/>
          <w:lang w:val="en-US"/>
        </w:rPr>
        <w:t xml:space="preserve"> provides discussion on decentralized vs localized CBR measurements (i.e. sharing of CBR measurements with other UEs)</w:t>
      </w:r>
    </w:p>
    <w:p w14:paraId="64E5E7E9" w14:textId="4AEB0BB4" w:rsidR="0047496A" w:rsidRDefault="00F873E4" w:rsidP="00714963">
      <w:pPr>
        <w:pStyle w:val="LGTdoc"/>
        <w:numPr>
          <w:ilvl w:val="0"/>
          <w:numId w:val="29"/>
        </w:numPr>
        <w:spacing w:afterLines="0" w:after="0" w:line="240" w:lineRule="atLeast"/>
        <w:rPr>
          <w:sz w:val="20"/>
          <w:szCs w:val="20"/>
          <w:lang w:val="en-US"/>
        </w:rPr>
      </w:pPr>
      <w:r>
        <w:rPr>
          <w:sz w:val="20"/>
          <w:szCs w:val="20"/>
          <w:lang w:val="en-US"/>
        </w:rPr>
        <w:t xml:space="preserve">Section </w:t>
      </w:r>
      <w:r w:rsidR="00B35EF7">
        <w:rPr>
          <w:sz w:val="20"/>
          <w:szCs w:val="20"/>
          <w:lang w:val="en-US"/>
        </w:rPr>
        <w:t>5</w:t>
      </w:r>
      <w:r w:rsidR="0047496A">
        <w:rPr>
          <w:sz w:val="20"/>
          <w:szCs w:val="20"/>
          <w:lang w:val="en-US"/>
        </w:rPr>
        <w:t xml:space="preserve"> </w:t>
      </w:r>
      <w:r>
        <w:rPr>
          <w:sz w:val="20"/>
          <w:szCs w:val="20"/>
          <w:lang w:val="en-US"/>
        </w:rPr>
        <w:t>provides a brief discussion on congestion control / load balancing across multiple channels</w:t>
      </w:r>
    </w:p>
    <w:p w14:paraId="3CC8CA2E" w14:textId="7D33129A" w:rsidR="00F873E4" w:rsidRPr="00F873E4" w:rsidRDefault="00F873E4" w:rsidP="00896A2F">
      <w:pPr>
        <w:pStyle w:val="LGTdoc"/>
        <w:numPr>
          <w:ilvl w:val="0"/>
          <w:numId w:val="29"/>
        </w:numPr>
        <w:spacing w:afterLines="0" w:after="0" w:line="240" w:lineRule="atLeast"/>
        <w:rPr>
          <w:sz w:val="20"/>
          <w:szCs w:val="20"/>
        </w:rPr>
      </w:pPr>
      <w:r w:rsidRPr="00F873E4">
        <w:rPr>
          <w:sz w:val="20"/>
          <w:szCs w:val="20"/>
        </w:rPr>
        <w:t xml:space="preserve">Section </w:t>
      </w:r>
      <w:r w:rsidR="00B35EF7">
        <w:rPr>
          <w:sz w:val="20"/>
          <w:szCs w:val="20"/>
        </w:rPr>
        <w:t>6</w:t>
      </w:r>
      <w:r w:rsidRPr="00F873E4">
        <w:rPr>
          <w:sz w:val="20"/>
          <w:szCs w:val="20"/>
        </w:rPr>
        <w:t xml:space="preserve"> </w:t>
      </w:r>
      <w:r>
        <w:rPr>
          <w:sz w:val="20"/>
          <w:szCs w:val="20"/>
        </w:rPr>
        <w:t>provides the simulation results</w:t>
      </w:r>
    </w:p>
    <w:p w14:paraId="6253BA8D" w14:textId="4791EC82" w:rsidR="00896A2F" w:rsidRDefault="00896A2F" w:rsidP="00896A2F">
      <w:pPr>
        <w:pStyle w:val="LGTdoc"/>
        <w:spacing w:afterLines="0" w:after="0" w:line="240" w:lineRule="atLeast"/>
      </w:pPr>
    </w:p>
    <w:p w14:paraId="442B1E41" w14:textId="77777777" w:rsidR="00D77B73" w:rsidRDefault="00D77B73" w:rsidP="00896A2F">
      <w:pPr>
        <w:pStyle w:val="LGTdoc"/>
        <w:spacing w:afterLines="0" w:after="0" w:line="240" w:lineRule="atLeast"/>
      </w:pPr>
    </w:p>
    <w:p w14:paraId="10FFDED4" w14:textId="5F46FA4A" w:rsidR="00BA30AA" w:rsidRDefault="00CA5F2A" w:rsidP="00BA30AA">
      <w:pPr>
        <w:pStyle w:val="Heading1"/>
      </w:pPr>
      <w:r>
        <w:t>2</w:t>
      </w:r>
      <w:r w:rsidR="00BA30AA">
        <w:tab/>
        <w:t>Channel Busy Ratio (CBR) measurement</w:t>
      </w:r>
    </w:p>
    <w:p w14:paraId="24FCBFA3" w14:textId="77777777" w:rsidR="00BA30AA" w:rsidRDefault="00BA30AA" w:rsidP="00B61E8D">
      <w:pPr>
        <w:jc w:val="both"/>
      </w:pPr>
      <w:r>
        <w:t>In RAN1 #86bis, the following agreement was reached on the CBR measurement:</w:t>
      </w:r>
    </w:p>
    <w:p w14:paraId="637AF4EE" w14:textId="77777777" w:rsidR="00BA30AA" w:rsidRPr="00F35BD9" w:rsidRDefault="00BA30AA" w:rsidP="00BA30AA">
      <w:pPr>
        <w:numPr>
          <w:ilvl w:val="0"/>
          <w:numId w:val="37"/>
        </w:numPr>
        <w:overflowPunct/>
        <w:autoSpaceDE/>
        <w:autoSpaceDN/>
        <w:adjustRightInd/>
        <w:spacing w:after="0"/>
        <w:textAlignment w:val="auto"/>
        <w:rPr>
          <w:i/>
          <w:lang w:eastAsia="ko-KR"/>
        </w:rPr>
      </w:pPr>
      <w:r>
        <w:lastRenderedPageBreak/>
        <w:t xml:space="preserve"> </w:t>
      </w:r>
      <w:r w:rsidRPr="00F35BD9">
        <w:rPr>
          <w:i/>
          <w:lang w:eastAsia="ko-KR"/>
        </w:rPr>
        <w:t>CBR is the portion of sub-channels whose S-RSSI exceed a (pre-)configured threshold observed during (</w:t>
      </w:r>
      <w:r w:rsidRPr="00F35BD9">
        <w:rPr>
          <w:i/>
          <w:highlight w:val="darkYellow"/>
          <w:lang w:eastAsia="ko-KR"/>
        </w:rPr>
        <w:t>working assumption</w:t>
      </w:r>
      <w:r w:rsidRPr="00F35BD9">
        <w:rPr>
          <w:i/>
          <w:lang w:eastAsia="ko-KR"/>
        </w:rPr>
        <w:t xml:space="preserve">: 100 </w:t>
      </w:r>
      <w:proofErr w:type="spellStart"/>
      <w:r w:rsidRPr="00F35BD9">
        <w:rPr>
          <w:i/>
          <w:lang w:eastAsia="ko-KR"/>
        </w:rPr>
        <w:t>ms</w:t>
      </w:r>
      <w:proofErr w:type="spellEnd"/>
      <w:r w:rsidRPr="00F35BD9">
        <w:rPr>
          <w:i/>
          <w:lang w:eastAsia="ko-KR"/>
        </w:rPr>
        <w:t>).</w:t>
      </w:r>
    </w:p>
    <w:p w14:paraId="7F134BBD" w14:textId="77777777" w:rsidR="00BA30AA" w:rsidRPr="00F35BD9" w:rsidRDefault="00BA30AA" w:rsidP="00BA30AA">
      <w:pPr>
        <w:numPr>
          <w:ilvl w:val="1"/>
          <w:numId w:val="37"/>
        </w:numPr>
        <w:overflowPunct/>
        <w:autoSpaceDE/>
        <w:autoSpaceDN/>
        <w:adjustRightInd/>
        <w:spacing w:after="0"/>
        <w:textAlignment w:val="auto"/>
        <w:rPr>
          <w:i/>
          <w:lang w:eastAsia="ko-KR"/>
        </w:rPr>
      </w:pPr>
      <w:r w:rsidRPr="00F35BD9">
        <w:rPr>
          <w:i/>
          <w:lang w:eastAsia="ko-KR"/>
        </w:rPr>
        <w:t>Only the sub-channels included in the resource pool are used for the measurement.</w:t>
      </w:r>
    </w:p>
    <w:p w14:paraId="224D867A" w14:textId="23308B82" w:rsidR="00BA30AA" w:rsidRDefault="00BA30AA" w:rsidP="00BA30AA">
      <w:pPr>
        <w:numPr>
          <w:ilvl w:val="1"/>
          <w:numId w:val="37"/>
        </w:numPr>
        <w:overflowPunct/>
        <w:autoSpaceDE/>
        <w:autoSpaceDN/>
        <w:adjustRightInd/>
        <w:spacing w:after="0"/>
        <w:textAlignment w:val="auto"/>
        <w:rPr>
          <w:lang w:eastAsia="ko-KR"/>
        </w:rPr>
      </w:pPr>
      <w:r w:rsidRPr="00F35BD9">
        <w:rPr>
          <w:i/>
          <w:lang w:eastAsia="ko-KR"/>
        </w:rPr>
        <w:t>FFS whether additional separated measurement is needed for SA pool</w:t>
      </w:r>
      <w:r>
        <w:rPr>
          <w:lang w:eastAsia="ko-KR"/>
        </w:rPr>
        <w:t>.</w:t>
      </w:r>
    </w:p>
    <w:p w14:paraId="1864AEFB" w14:textId="0E3585D8" w:rsidR="00BA30AA" w:rsidRDefault="00BA30AA" w:rsidP="00BA30AA">
      <w:pPr>
        <w:overflowPunct/>
        <w:autoSpaceDE/>
        <w:autoSpaceDN/>
        <w:adjustRightInd/>
        <w:spacing w:after="0"/>
        <w:textAlignment w:val="auto"/>
        <w:rPr>
          <w:lang w:eastAsia="ko-KR"/>
        </w:rPr>
      </w:pPr>
      <w:r>
        <w:rPr>
          <w:lang w:eastAsia="ko-KR"/>
        </w:rPr>
        <w:br/>
        <w:t xml:space="preserve">In this subsection, we address </w:t>
      </w:r>
      <w:r w:rsidR="00870376">
        <w:rPr>
          <w:lang w:eastAsia="ko-KR"/>
        </w:rPr>
        <w:t>the FFS aspects above.</w:t>
      </w:r>
    </w:p>
    <w:p w14:paraId="365C6FAF" w14:textId="1335599B" w:rsidR="00870376" w:rsidRDefault="00870376" w:rsidP="00870376">
      <w:pPr>
        <w:overflowPunct/>
        <w:autoSpaceDE/>
        <w:autoSpaceDN/>
        <w:adjustRightInd/>
        <w:spacing w:after="0"/>
        <w:jc w:val="both"/>
        <w:textAlignment w:val="auto"/>
        <w:rPr>
          <w:lang w:eastAsia="ko-KR"/>
        </w:rPr>
      </w:pPr>
    </w:p>
    <w:p w14:paraId="00BB384C" w14:textId="19ACC75B" w:rsidR="00870376" w:rsidRDefault="00870376" w:rsidP="00870376">
      <w:pPr>
        <w:overflowPunct/>
        <w:autoSpaceDE/>
        <w:autoSpaceDN/>
        <w:adjustRightInd/>
        <w:spacing w:after="0"/>
        <w:jc w:val="both"/>
        <w:textAlignment w:val="auto"/>
        <w:rPr>
          <w:lang w:eastAsia="ko-KR"/>
        </w:rPr>
      </w:pPr>
      <w:r w:rsidRPr="00870376">
        <w:rPr>
          <w:u w:val="single"/>
          <w:lang w:eastAsia="ko-KR"/>
        </w:rPr>
        <w:t>Measurement interval of 100ms:</w:t>
      </w:r>
      <w:r>
        <w:rPr>
          <w:lang w:eastAsia="ko-KR"/>
        </w:rPr>
        <w:t xml:space="preserve"> We propose to confirm the working agreement of 100ms to be consistent with the harmonized standard EN 302 571.</w:t>
      </w:r>
    </w:p>
    <w:p w14:paraId="1468B252" w14:textId="0F8DB97A" w:rsidR="00870376" w:rsidRDefault="00870376" w:rsidP="00870376">
      <w:pPr>
        <w:overflowPunct/>
        <w:autoSpaceDE/>
        <w:autoSpaceDN/>
        <w:adjustRightInd/>
        <w:spacing w:after="0"/>
        <w:jc w:val="both"/>
        <w:textAlignment w:val="auto"/>
        <w:rPr>
          <w:lang w:eastAsia="ko-KR"/>
        </w:rPr>
      </w:pPr>
    </w:p>
    <w:p w14:paraId="4B112DF3" w14:textId="66FED1F2" w:rsidR="00870376" w:rsidRDefault="00870376" w:rsidP="00870376">
      <w:pPr>
        <w:overflowPunct/>
        <w:autoSpaceDE/>
        <w:autoSpaceDN/>
        <w:adjustRightInd/>
        <w:spacing w:after="0"/>
        <w:jc w:val="both"/>
        <w:textAlignment w:val="auto"/>
        <w:rPr>
          <w:lang w:eastAsia="ko-KR"/>
        </w:rPr>
      </w:pPr>
      <w:r w:rsidRPr="00870376">
        <w:rPr>
          <w:u w:val="single"/>
          <w:lang w:eastAsia="ko-KR"/>
        </w:rPr>
        <w:t>Separate CBR measurement for SA pool:</w:t>
      </w:r>
      <w:r>
        <w:rPr>
          <w:lang w:eastAsia="ko-KR"/>
        </w:rPr>
        <w:t xml:space="preserve"> We propose to use separate measurements over the set of resources SA and Data, respectively. </w:t>
      </w:r>
    </w:p>
    <w:p w14:paraId="58C9273A" w14:textId="04275CB9" w:rsidR="00870376" w:rsidRDefault="00870376" w:rsidP="00870376">
      <w:pPr>
        <w:overflowPunct/>
        <w:autoSpaceDE/>
        <w:autoSpaceDN/>
        <w:adjustRightInd/>
        <w:spacing w:after="0"/>
        <w:jc w:val="both"/>
        <w:textAlignment w:val="auto"/>
        <w:rPr>
          <w:lang w:eastAsia="ko-KR"/>
        </w:rPr>
      </w:pPr>
    </w:p>
    <w:p w14:paraId="751CE8A4" w14:textId="7C8B729B" w:rsidR="00870376" w:rsidRDefault="00870376" w:rsidP="00870376">
      <w:pPr>
        <w:overflowPunct/>
        <w:autoSpaceDE/>
        <w:autoSpaceDN/>
        <w:adjustRightInd/>
        <w:spacing w:after="0"/>
        <w:jc w:val="both"/>
        <w:textAlignment w:val="auto"/>
        <w:rPr>
          <w:lang w:eastAsia="ko-KR"/>
        </w:rPr>
      </w:pPr>
      <w:r>
        <w:rPr>
          <w:lang w:eastAsia="ko-KR"/>
        </w:rPr>
        <w:t xml:space="preserve">The main motivation for this proposal is that congestion </w:t>
      </w:r>
      <w:r w:rsidR="009D002E">
        <w:rPr>
          <w:lang w:eastAsia="ko-KR"/>
        </w:rPr>
        <w:t>measurement</w:t>
      </w:r>
      <w:r>
        <w:rPr>
          <w:lang w:eastAsia="ko-KR"/>
        </w:rPr>
        <w:t xml:space="preserve"> / congestion </w:t>
      </w:r>
      <w:r w:rsidR="009D002E">
        <w:rPr>
          <w:lang w:eastAsia="ko-KR"/>
        </w:rPr>
        <w:t xml:space="preserve">control </w:t>
      </w:r>
      <w:r>
        <w:rPr>
          <w:lang w:eastAsia="ko-KR"/>
        </w:rPr>
        <w:t xml:space="preserve">cannot be based on measurement over only a part of the channel (or resource pool in our case). There can be cases when SA resources are congested, while the data resources (or even the overall set of data + SA resources) are not congested. Hence separate measurements over SA resource and Data resources, respectively, should be done. </w:t>
      </w:r>
    </w:p>
    <w:p w14:paraId="575E4334" w14:textId="77777777" w:rsidR="00870376" w:rsidRDefault="00870376" w:rsidP="00870376">
      <w:pPr>
        <w:overflowPunct/>
        <w:autoSpaceDE/>
        <w:autoSpaceDN/>
        <w:adjustRightInd/>
        <w:spacing w:after="0"/>
        <w:jc w:val="both"/>
        <w:textAlignment w:val="auto"/>
        <w:rPr>
          <w:lang w:eastAsia="ko-KR"/>
        </w:rPr>
      </w:pPr>
    </w:p>
    <w:p w14:paraId="3C65306F" w14:textId="499D4D6C" w:rsidR="00BA30AA" w:rsidRDefault="00870376" w:rsidP="009D002E">
      <w:pPr>
        <w:overflowPunct/>
        <w:autoSpaceDE/>
        <w:autoSpaceDN/>
        <w:adjustRightInd/>
        <w:spacing w:after="0"/>
        <w:jc w:val="both"/>
        <w:textAlignment w:val="auto"/>
        <w:rPr>
          <w:lang w:eastAsia="ko-KR"/>
        </w:rPr>
      </w:pPr>
      <w:r>
        <w:rPr>
          <w:lang w:eastAsia="ko-KR"/>
        </w:rPr>
        <w:t xml:space="preserve">For the case of non-adjacent SA and Data, if we define the CBR measurements over data resources only, then we are using congestion information from only part of the channel. This is not </w:t>
      </w:r>
      <w:r w:rsidR="009D002E">
        <w:rPr>
          <w:lang w:eastAsia="ko-KR"/>
        </w:rPr>
        <w:t xml:space="preserve">desired from congestion control mechanism viewpoint, and moreover looking at partial channel will be inconsistent with the approach used in EN 302 571. </w:t>
      </w:r>
    </w:p>
    <w:p w14:paraId="32B00FF0" w14:textId="510B137B" w:rsidR="009D002E" w:rsidRDefault="009D002E" w:rsidP="009D002E">
      <w:pPr>
        <w:overflowPunct/>
        <w:autoSpaceDE/>
        <w:autoSpaceDN/>
        <w:adjustRightInd/>
        <w:spacing w:after="0"/>
        <w:jc w:val="both"/>
        <w:textAlignment w:val="auto"/>
        <w:rPr>
          <w:lang w:eastAsia="ko-KR"/>
        </w:rPr>
      </w:pPr>
    </w:p>
    <w:p w14:paraId="30F7487A" w14:textId="602A0D1D" w:rsidR="009D002E" w:rsidRDefault="009D002E" w:rsidP="009D002E">
      <w:pPr>
        <w:overflowPunct/>
        <w:autoSpaceDE/>
        <w:autoSpaceDN/>
        <w:adjustRightInd/>
        <w:spacing w:after="0"/>
        <w:jc w:val="both"/>
        <w:textAlignment w:val="auto"/>
        <w:rPr>
          <w:lang w:eastAsia="ko-KR"/>
        </w:rPr>
      </w:pPr>
      <w:r>
        <w:rPr>
          <w:lang w:eastAsia="ko-KR"/>
        </w:rPr>
        <w:t xml:space="preserve">For the case of adjacent SA and Data, CBR measurement over the entire sub-channel (including SA + Data) can be done. However, this does not reflect the case when SA is congested, while overall the resource pool for </w:t>
      </w:r>
      <w:proofErr w:type="spellStart"/>
      <w:r>
        <w:rPr>
          <w:lang w:eastAsia="ko-KR"/>
        </w:rPr>
        <w:t>SA+Data</w:t>
      </w:r>
      <w:proofErr w:type="spellEnd"/>
      <w:r>
        <w:rPr>
          <w:lang w:eastAsia="ko-KR"/>
        </w:rPr>
        <w:t xml:space="preserve"> is not congested. Furthermore, given that we should define separate CBR measurement over SA pool for the case of non-adjacent SA and data transmission, we propose we can use the separate measurements over SA pool for both adjacent and non-adjacent SA and data transmission scenarios.</w:t>
      </w:r>
    </w:p>
    <w:p w14:paraId="4845F018" w14:textId="3E18AB66" w:rsidR="009D002E" w:rsidRDefault="009D002E" w:rsidP="009D002E">
      <w:pPr>
        <w:overflowPunct/>
        <w:autoSpaceDE/>
        <w:autoSpaceDN/>
        <w:adjustRightInd/>
        <w:spacing w:after="0"/>
        <w:jc w:val="both"/>
        <w:textAlignment w:val="auto"/>
        <w:rPr>
          <w:lang w:eastAsia="ko-KR"/>
        </w:rPr>
      </w:pPr>
    </w:p>
    <w:p w14:paraId="53744A5C" w14:textId="117ACD71" w:rsidR="009D002E" w:rsidRDefault="009D002E" w:rsidP="009D002E">
      <w:pPr>
        <w:overflowPunct/>
        <w:autoSpaceDE/>
        <w:autoSpaceDN/>
        <w:adjustRightInd/>
        <w:spacing w:after="0"/>
        <w:jc w:val="both"/>
        <w:textAlignment w:val="auto"/>
        <w:rPr>
          <w:i/>
          <w:lang w:eastAsia="ko-KR"/>
        </w:rPr>
      </w:pPr>
      <w:r w:rsidRPr="009D002E">
        <w:rPr>
          <w:b/>
          <w:i/>
          <w:lang w:eastAsia="ko-KR"/>
        </w:rPr>
        <w:t xml:space="preserve">Observation </w:t>
      </w:r>
      <w:r w:rsidR="00CA5F2A">
        <w:rPr>
          <w:b/>
          <w:i/>
          <w:lang w:eastAsia="ko-KR"/>
        </w:rPr>
        <w:t>1</w:t>
      </w:r>
      <w:r w:rsidRPr="009D002E">
        <w:rPr>
          <w:b/>
          <w:i/>
          <w:lang w:eastAsia="ko-KR"/>
        </w:rPr>
        <w:t xml:space="preserve">: </w:t>
      </w:r>
      <w:r w:rsidRPr="009D002E">
        <w:rPr>
          <w:i/>
          <w:lang w:eastAsia="ko-KR"/>
        </w:rPr>
        <w:t>Congestion control should not be based on congestion measurement over only a part of the resource pool, i.e., only the data resource pool.</w:t>
      </w:r>
    </w:p>
    <w:p w14:paraId="3BEA0E69" w14:textId="31C8CF4D" w:rsidR="009D002E" w:rsidRPr="009D002E" w:rsidRDefault="009D002E" w:rsidP="009D002E">
      <w:pPr>
        <w:overflowPunct/>
        <w:autoSpaceDE/>
        <w:autoSpaceDN/>
        <w:adjustRightInd/>
        <w:spacing w:after="0"/>
        <w:jc w:val="both"/>
        <w:textAlignment w:val="auto"/>
        <w:rPr>
          <w:i/>
          <w:lang w:eastAsia="ko-KR"/>
        </w:rPr>
      </w:pPr>
      <w:r w:rsidRPr="009D002E">
        <w:rPr>
          <w:b/>
          <w:i/>
          <w:lang w:eastAsia="ko-KR"/>
        </w:rPr>
        <w:t xml:space="preserve">Observation </w:t>
      </w:r>
      <w:r w:rsidR="00CA5F2A">
        <w:rPr>
          <w:b/>
          <w:i/>
          <w:lang w:eastAsia="ko-KR"/>
        </w:rPr>
        <w:t>2</w:t>
      </w:r>
      <w:r w:rsidRPr="009D002E">
        <w:rPr>
          <w:b/>
          <w:i/>
          <w:lang w:eastAsia="ko-KR"/>
        </w:rPr>
        <w:t>:</w:t>
      </w:r>
      <w:r>
        <w:rPr>
          <w:i/>
          <w:lang w:eastAsia="ko-KR"/>
        </w:rPr>
        <w:t xml:space="preserve"> It is possible for SA resources to be congested, while data and/or the entire set of resources (for data and SA together) are not congested. </w:t>
      </w:r>
    </w:p>
    <w:p w14:paraId="4700879C" w14:textId="704320AF" w:rsidR="009D002E" w:rsidRDefault="009D002E" w:rsidP="009D002E">
      <w:pPr>
        <w:overflowPunct/>
        <w:autoSpaceDE/>
        <w:autoSpaceDN/>
        <w:adjustRightInd/>
        <w:spacing w:after="0"/>
        <w:jc w:val="both"/>
        <w:textAlignment w:val="auto"/>
      </w:pPr>
    </w:p>
    <w:p w14:paraId="5A49BE0D" w14:textId="51A03346" w:rsidR="009D002E" w:rsidRPr="002C7ECF" w:rsidRDefault="009D002E" w:rsidP="009D002E">
      <w:pPr>
        <w:overflowPunct/>
        <w:autoSpaceDE/>
        <w:autoSpaceDN/>
        <w:adjustRightInd/>
        <w:spacing w:after="0"/>
        <w:jc w:val="both"/>
        <w:textAlignment w:val="auto"/>
        <w:rPr>
          <w:i/>
        </w:rPr>
      </w:pPr>
      <w:r w:rsidRPr="002C7ECF">
        <w:rPr>
          <w:b/>
          <w:i/>
        </w:rPr>
        <w:t>Proposal 1</w:t>
      </w:r>
      <w:r w:rsidRPr="002C7ECF">
        <w:rPr>
          <w:i/>
        </w:rPr>
        <w:t xml:space="preserve">: Confirm the </w:t>
      </w:r>
      <w:r w:rsidR="002C7ECF" w:rsidRPr="002C7ECF">
        <w:rPr>
          <w:i/>
        </w:rPr>
        <w:t>working agreement of 100ms as CBR measurement interval.</w:t>
      </w:r>
    </w:p>
    <w:p w14:paraId="28AFC097" w14:textId="77777777" w:rsidR="002C7ECF" w:rsidRPr="002C7ECF" w:rsidRDefault="002C7ECF" w:rsidP="009D002E">
      <w:pPr>
        <w:overflowPunct/>
        <w:autoSpaceDE/>
        <w:autoSpaceDN/>
        <w:adjustRightInd/>
        <w:spacing w:after="0"/>
        <w:jc w:val="both"/>
        <w:textAlignment w:val="auto"/>
        <w:rPr>
          <w:i/>
        </w:rPr>
      </w:pPr>
    </w:p>
    <w:p w14:paraId="09DBF760" w14:textId="61B7462D" w:rsidR="002C7ECF" w:rsidRPr="002C7ECF" w:rsidRDefault="002C7ECF" w:rsidP="009D002E">
      <w:pPr>
        <w:overflowPunct/>
        <w:autoSpaceDE/>
        <w:autoSpaceDN/>
        <w:adjustRightInd/>
        <w:spacing w:after="0"/>
        <w:jc w:val="both"/>
        <w:textAlignment w:val="auto"/>
        <w:rPr>
          <w:i/>
        </w:rPr>
      </w:pPr>
      <w:r w:rsidRPr="002C7ECF">
        <w:rPr>
          <w:b/>
          <w:i/>
        </w:rPr>
        <w:t>Proposal 2:</w:t>
      </w:r>
      <w:r w:rsidRPr="002C7ECF">
        <w:rPr>
          <w:i/>
        </w:rPr>
        <w:t xml:space="preserve"> Define separate CBR measurement for SA pool.</w:t>
      </w:r>
    </w:p>
    <w:p w14:paraId="6DDE07C1" w14:textId="28A54F50" w:rsidR="006F2146" w:rsidRDefault="00CA5F2A" w:rsidP="006F2146">
      <w:pPr>
        <w:pStyle w:val="Heading1"/>
      </w:pPr>
      <w:r>
        <w:t>3</w:t>
      </w:r>
      <w:r w:rsidR="00D44DCB">
        <w:tab/>
      </w:r>
      <w:r w:rsidR="00870376">
        <w:t>C</w:t>
      </w:r>
      <w:r w:rsidR="0055685D">
        <w:t xml:space="preserve">ongestion </w:t>
      </w:r>
      <w:r w:rsidR="00717D46">
        <w:t>c</w:t>
      </w:r>
      <w:r w:rsidR="0055685D">
        <w:t>ontrol</w:t>
      </w:r>
      <w:r w:rsidR="00717D46">
        <w:t xml:space="preserve"> </w:t>
      </w:r>
      <w:r w:rsidR="00870376">
        <w:t>mechanism</w:t>
      </w:r>
      <w:r w:rsidR="00A549CB" w:rsidRPr="00A549CB">
        <w:t xml:space="preserve"> </w:t>
      </w:r>
      <w:r w:rsidR="00A549CB">
        <w:t>for LTE-V2V</w:t>
      </w:r>
    </w:p>
    <w:p w14:paraId="68E08089" w14:textId="1FC4CE6D" w:rsidR="00A549CB" w:rsidRDefault="00A549CB" w:rsidP="00A549CB">
      <w:pPr>
        <w:pStyle w:val="Heading2"/>
      </w:pPr>
      <w:r>
        <w:t xml:space="preserve">3.1 </w:t>
      </w:r>
      <w:r>
        <w:tab/>
        <w:t>Generalized formulation for decentralized congestion control (DCC)</w:t>
      </w:r>
    </w:p>
    <w:p w14:paraId="5C2FF4A7" w14:textId="513C51C3" w:rsidR="00A549CB" w:rsidRDefault="00A549CB" w:rsidP="00A549CB">
      <w:pPr>
        <w:jc w:val="both"/>
        <w:rPr>
          <w:lang w:val="en-US"/>
        </w:rPr>
      </w:pPr>
      <w:r>
        <w:t xml:space="preserve">In our prior contribution </w:t>
      </w:r>
      <w:r w:rsidRPr="002A09A5">
        <w:rPr>
          <w:lang w:val="en-US"/>
        </w:rPr>
        <w:t>R1-1609960</w:t>
      </w:r>
      <w:r>
        <w:rPr>
          <w:lang w:val="en-US"/>
        </w:rPr>
        <w:t xml:space="preserve">, we derived the generalized framework for DCC that is used in EN 302 571. Further we provided discussion on the specializations to that formulation for 802.11p based on which the existing requirements are specified. </w:t>
      </w:r>
    </w:p>
    <w:p w14:paraId="121993D6" w14:textId="40C156AA" w:rsidR="00765481" w:rsidRDefault="00765481" w:rsidP="00A549CB">
      <w:pPr>
        <w:jc w:val="both"/>
        <w:rPr>
          <w:lang w:val="en-US"/>
        </w:rPr>
      </w:pPr>
      <w:r>
        <w:rPr>
          <w:lang w:val="en-US"/>
        </w:rPr>
        <w:t>For brevity, we have moved that discussion to the Appendix A and simply capture the key observations made in the discussion below.</w:t>
      </w:r>
    </w:p>
    <w:p w14:paraId="194B0758" w14:textId="77777777" w:rsidR="00A549CB" w:rsidRDefault="00A549CB" w:rsidP="00A549CB">
      <w:pPr>
        <w:jc w:val="both"/>
        <w:rPr>
          <w:i/>
        </w:rPr>
      </w:pPr>
      <w:r>
        <w:rPr>
          <w:b/>
          <w:i/>
        </w:rPr>
        <w:t>Observation 3</w:t>
      </w:r>
      <w:r w:rsidRPr="00150194">
        <w:rPr>
          <w:b/>
          <w:i/>
        </w:rPr>
        <w:t xml:space="preserve">: </w:t>
      </w:r>
      <w:r>
        <w:rPr>
          <w:i/>
        </w:rPr>
        <w:t>The existing DCC requirements in EN 302 571 are based on the following (generalized) principle</w:t>
      </w:r>
    </w:p>
    <w:p w14:paraId="6E65770F" w14:textId="77777777" w:rsidR="00A549CB" w:rsidRDefault="00A549CB" w:rsidP="00A549CB">
      <w:pPr>
        <w:pStyle w:val="ListParagraph"/>
        <w:numPr>
          <w:ilvl w:val="0"/>
          <w:numId w:val="33"/>
        </w:numPr>
        <w:jc w:val="both"/>
        <w:rPr>
          <w:i/>
        </w:rPr>
      </w:pPr>
      <w:r>
        <w:rPr>
          <w:i/>
        </w:rPr>
        <w:t>Measure channel busy ratio (CBR) as the ratio of resource utilized over a measurement period</w:t>
      </w:r>
    </w:p>
    <w:p w14:paraId="45956E37" w14:textId="77777777" w:rsidR="00A549CB" w:rsidRDefault="00A549CB" w:rsidP="00A549CB">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10B1FFE3" w14:textId="77777777" w:rsidR="00A549CB" w:rsidRDefault="00A549CB" w:rsidP="00A549CB">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17B25B05" w14:textId="77777777" w:rsidR="00A549CB" w:rsidRPr="00F873E4" w:rsidRDefault="00A549CB" w:rsidP="00A549CB">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305A8118" w14:textId="77777777" w:rsidR="00A549CB" w:rsidRDefault="00A549CB" w:rsidP="00A549CB">
      <w:pPr>
        <w:jc w:val="both"/>
        <w:rPr>
          <w:i/>
        </w:rPr>
      </w:pPr>
      <w:r>
        <w:rPr>
          <w:b/>
          <w:i/>
        </w:rPr>
        <w:lastRenderedPageBreak/>
        <w:t>Observation 4</w:t>
      </w:r>
      <w:r w:rsidRPr="00150194">
        <w:rPr>
          <w:b/>
          <w:i/>
        </w:rPr>
        <w:t xml:space="preserve">: </w:t>
      </w:r>
      <w:r>
        <w:rPr>
          <w:i/>
        </w:rPr>
        <w:t>The existing DCC requirements in EN 302 571 are based on the following specialization of the generalized formulation:</w:t>
      </w:r>
    </w:p>
    <w:p w14:paraId="1B174AFD" w14:textId="77777777" w:rsidR="00A549CB" w:rsidRDefault="00A549CB" w:rsidP="00A549CB">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w:t>
      </w:r>
      <w:proofErr w:type="gramStart"/>
      <w:r>
        <w:rPr>
          <w:i/>
        </w:rPr>
        <w:t>/(</w:t>
      </w:r>
      <w:proofErr w:type="gramEnd"/>
      <w:r>
        <w:rPr>
          <w:i/>
        </w:rPr>
        <w:t>Ton + Toff))</w:t>
      </w:r>
    </w:p>
    <w:p w14:paraId="67A49A82" w14:textId="77777777" w:rsidR="00A549CB" w:rsidRDefault="00A549CB" w:rsidP="00A549CB">
      <w:pPr>
        <w:pStyle w:val="ListParagraph"/>
        <w:numPr>
          <w:ilvl w:val="0"/>
          <w:numId w:val="34"/>
        </w:numPr>
        <w:jc w:val="both"/>
        <w:rPr>
          <w:i/>
        </w:rPr>
      </w:pPr>
      <w:proofErr w:type="gramStart"/>
      <w:r>
        <w:rPr>
          <w:i/>
        </w:rPr>
        <w:t>f(</w:t>
      </w:r>
      <w:proofErr w:type="gramEnd"/>
      <w:r>
        <w:rPr>
          <w:i/>
        </w:rPr>
        <w:t xml:space="preserve">) is assumed to be linear (i.e. CBR = a * </w:t>
      </w:r>
      <w:proofErr w:type="spellStart"/>
      <w:r>
        <w:rPr>
          <w:i/>
        </w:rPr>
        <w:t>Nsta</w:t>
      </w:r>
      <w:proofErr w:type="spellEnd"/>
      <w:r>
        <w:rPr>
          <w:i/>
        </w:rPr>
        <w:t xml:space="preserve"> + b)</w:t>
      </w:r>
    </w:p>
    <w:p w14:paraId="30C85BD2" w14:textId="77777777" w:rsidR="00A549CB" w:rsidRPr="00CD3FF7" w:rsidRDefault="00A549CB" w:rsidP="00A549CB">
      <w:pPr>
        <w:jc w:val="both"/>
        <w:rPr>
          <w:i/>
        </w:rPr>
      </w:pPr>
      <w:r w:rsidRPr="00CD3FF7">
        <w:rPr>
          <w:b/>
          <w:i/>
        </w:rPr>
        <w:t xml:space="preserve">Observation 5: </w:t>
      </w:r>
      <w:r w:rsidRPr="00CD3FF7">
        <w:rPr>
          <w:i/>
        </w:rPr>
        <w:t xml:space="preserve">Linear mapping from </w:t>
      </w:r>
      <w:proofErr w:type="spellStart"/>
      <w:r w:rsidRPr="00CD3FF7">
        <w:rPr>
          <w:i/>
        </w:rPr>
        <w:t>N</w:t>
      </w:r>
      <w:r w:rsidRPr="00CD3FF7">
        <w:rPr>
          <w:i/>
          <w:vertAlign w:val="subscript"/>
        </w:rPr>
        <w:t>sta</w:t>
      </w:r>
      <w:proofErr w:type="spellEnd"/>
      <w:r w:rsidRPr="00CD3FF7">
        <w:rPr>
          <w:i/>
        </w:rPr>
        <w:t xml:space="preserve"> to CBR</w:t>
      </w:r>
      <w:r>
        <w:t xml:space="preserve"> </w:t>
      </w:r>
      <w:r w:rsidRPr="00CD3FF7">
        <w:rPr>
          <w:i/>
        </w:rPr>
        <w:t xml:space="preserve">as used in EN 302.571 is not sufficient for LTE-V2V. For LTE-V2V the mapping between CBR and </w:t>
      </w:r>
      <w:proofErr w:type="spellStart"/>
      <w:r w:rsidRPr="00CD3FF7">
        <w:rPr>
          <w:i/>
        </w:rPr>
        <w:t>N</w:t>
      </w:r>
      <w:r w:rsidRPr="00CD3FF7">
        <w:rPr>
          <w:i/>
          <w:vertAlign w:val="subscript"/>
        </w:rPr>
        <w:t>sta</w:t>
      </w:r>
      <w:proofErr w:type="spellEnd"/>
      <w:r w:rsidRPr="00CD3FF7">
        <w:rPr>
          <w:i/>
          <w:vertAlign w:val="subscript"/>
        </w:rPr>
        <w:t xml:space="preserve"> </w:t>
      </w:r>
      <w:r w:rsidRPr="00CD3FF7">
        <w:rPr>
          <w:i/>
        </w:rPr>
        <w:t>should be (pre-) configurable.</w:t>
      </w:r>
    </w:p>
    <w:p w14:paraId="11776507" w14:textId="77777777" w:rsidR="00A549CB" w:rsidRDefault="00A549CB" w:rsidP="00A549CB">
      <w:pPr>
        <w:jc w:val="both"/>
      </w:pPr>
      <w:r w:rsidRPr="00585034">
        <w:rPr>
          <w:b/>
          <w:i/>
        </w:rPr>
        <w:t xml:space="preserve">Observation </w:t>
      </w:r>
      <w:r>
        <w:rPr>
          <w:b/>
          <w:i/>
        </w:rPr>
        <w:t>6</w:t>
      </w:r>
      <w:r w:rsidRPr="00585034">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2C6B79F0" w14:textId="77777777" w:rsidR="00A549CB" w:rsidRPr="001129AD" w:rsidRDefault="00A549CB" w:rsidP="00A549CB">
      <w:pPr>
        <w:jc w:val="both"/>
        <w:rPr>
          <w:b/>
          <w:i/>
        </w:rPr>
      </w:pPr>
      <w:r>
        <w:rPr>
          <w:b/>
          <w:i/>
        </w:rPr>
        <w:t>Observation 7</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40FBDC9B" w14:textId="77777777" w:rsidR="00A549CB" w:rsidRPr="00A549CB" w:rsidRDefault="00A549CB" w:rsidP="00A549CB"/>
    <w:p w14:paraId="3B2185BF" w14:textId="7D076544" w:rsidR="00A549CB" w:rsidRPr="00A549CB" w:rsidRDefault="00A549CB" w:rsidP="00A549CB">
      <w:pPr>
        <w:pStyle w:val="Heading2"/>
      </w:pPr>
      <w:r>
        <w:t xml:space="preserve">3.2 </w:t>
      </w:r>
      <w:r>
        <w:tab/>
        <w:t>Proposal on DCC for LTE-V2V</w:t>
      </w:r>
    </w:p>
    <w:p w14:paraId="3E93C86E" w14:textId="65A1D18C" w:rsidR="00442BF7" w:rsidRDefault="00442BF7" w:rsidP="00442BF7">
      <w:pPr>
        <w:jc w:val="both"/>
      </w:pPr>
      <w:r>
        <w:t xml:space="preserve">Based on the </w:t>
      </w:r>
      <w:r w:rsidR="00A549CB">
        <w:t>observations</w:t>
      </w:r>
      <w:r>
        <w:t xml:space="preserve"> in the previous subsection, we formulate the following proposal for </w:t>
      </w:r>
      <w:r w:rsidR="008171F1">
        <w:t>congestion control mechanism for LTE-V2V.</w:t>
      </w:r>
    </w:p>
    <w:p w14:paraId="3F540B9F" w14:textId="4CC38057" w:rsidR="008171F1" w:rsidRDefault="008171F1" w:rsidP="00442BF7">
      <w:pPr>
        <w:jc w:val="both"/>
      </w:pPr>
      <w:r>
        <w:t xml:space="preserve">From the previous subsection, a generalized proposal </w:t>
      </w:r>
      <w:r w:rsidR="00724973">
        <w:t>is to limit the resource utilization (CR) when the channel is congested as follows:</w:t>
      </w:r>
    </w:p>
    <w:p w14:paraId="06478173" w14:textId="510210DB" w:rsidR="008171F1" w:rsidRDefault="008171F1" w:rsidP="008171F1">
      <w:pPr>
        <w:ind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0CD4EA21" w14:textId="51E315A4" w:rsidR="008171F1" w:rsidRPr="008171F1" w:rsidRDefault="008171F1" w:rsidP="008171F1">
      <w:pPr>
        <w:ind w:left="1440" w:firstLine="720"/>
        <w:jc w:val="both"/>
      </w:pPr>
      <m:oMathPara>
        <m:oMathParaPr>
          <m:jc m:val="left"/>
        </m:oMathParaPr>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574D8BBB" w14:textId="59117011" w:rsidR="008171F1" w:rsidRDefault="008171F1" w:rsidP="00442BF7">
      <w:pPr>
        <w:jc w:val="both"/>
      </w:pPr>
      <w:r>
        <w:t>where</w:t>
      </w:r>
    </w:p>
    <w:p w14:paraId="4BBBFE15" w14:textId="79A3FC38" w:rsidR="008171F1" w:rsidRPr="00724973" w:rsidRDefault="008171F1" w:rsidP="008171F1">
      <w:pPr>
        <w:pStyle w:val="ListParagraph"/>
        <w:numPr>
          <w:ilvl w:val="0"/>
          <w:numId w:val="34"/>
        </w:numPr>
        <w:jc w:val="both"/>
      </w:pPr>
      <w:proofErr w:type="gramStart"/>
      <w:r>
        <w:t>f(</w:t>
      </w:r>
      <w:proofErr w:type="gramEnd"/>
      <w:r>
        <w:t xml:space="preserve">) is </w:t>
      </w:r>
      <w:r w:rsidR="00724973">
        <w:t>(</w:t>
      </w:r>
      <w:r>
        <w:t>pre</w:t>
      </w:r>
      <w:r w:rsidR="00724973">
        <w:t>)</w:t>
      </w:r>
      <w:r>
        <w:t>configured</w:t>
      </w:r>
    </w:p>
    <w:p w14:paraId="26F64E84" w14:textId="7D06918F" w:rsidR="008171F1" w:rsidRPr="00724973" w:rsidRDefault="008171F1" w:rsidP="008171F1">
      <w:pPr>
        <w:pStyle w:val="ListParagraph"/>
        <w:numPr>
          <w:ilvl w:val="0"/>
          <w:numId w:val="34"/>
        </w:numPr>
        <w:jc w:val="both"/>
        <w:rPr>
          <w:vertAlign w:val="subscript"/>
        </w:rPr>
      </w:pPr>
      <w:proofErr w:type="spellStart"/>
      <w:r w:rsidRPr="00724973">
        <w:t>CB</w:t>
      </w:r>
      <w:r>
        <w:t>R</w:t>
      </w:r>
      <w:r w:rsidRPr="008171F1">
        <w:rPr>
          <w:vertAlign w:val="subscript"/>
        </w:rPr>
        <w:t>limit</w:t>
      </w:r>
      <w:proofErr w:type="spellEnd"/>
      <w:r>
        <w:t xml:space="preserve"> is </w:t>
      </w:r>
      <w:r w:rsidR="00724973">
        <w:t>(pre)</w:t>
      </w:r>
      <w:r>
        <w:t>configured, and can be different for different PPPPs.</w:t>
      </w:r>
    </w:p>
    <w:p w14:paraId="6437351B" w14:textId="29F352AA" w:rsidR="00724973" w:rsidRDefault="00724973" w:rsidP="00724973">
      <w:pPr>
        <w:jc w:val="both"/>
      </w:pPr>
      <w:proofErr w:type="spellStart"/>
      <w:r w:rsidRPr="00724973">
        <w:t>CR</w:t>
      </w:r>
      <w:r w:rsidRPr="00724973">
        <w:rPr>
          <w:vertAlign w:val="subscript"/>
        </w:rPr>
        <w:t>limit</w:t>
      </w:r>
      <w:proofErr w:type="spellEnd"/>
      <w:r w:rsidRPr="00724973">
        <w:t xml:space="preserve"> </w:t>
      </w:r>
      <w:r>
        <w:t xml:space="preserve">is the limit on the fraction of radio resources that the UE can be utilized for its transmissions over a measurement period of </w:t>
      </w:r>
      <w:proofErr w:type="spellStart"/>
      <w:r>
        <w:t>Xms</w:t>
      </w:r>
      <w:proofErr w:type="spellEnd"/>
      <w:r>
        <w:t xml:space="preserve"> (where X should be larger than CBR measurement period of 100ms to avoid oscillations, and X=1000ms was observed to work well in our simulations).</w:t>
      </w:r>
    </w:p>
    <w:p w14:paraId="76B6FB6D" w14:textId="77F4FBDE" w:rsidR="00724973" w:rsidRDefault="00724973" w:rsidP="00724973">
      <w:pPr>
        <w:jc w:val="both"/>
      </w:pPr>
      <w:r>
        <w:t xml:space="preserve">The benefit of the above formulation is that the (pre)configuration is minimized – only one </w:t>
      </w:r>
      <w:proofErr w:type="gramStart"/>
      <w:r>
        <w:t>f(</w:t>
      </w:r>
      <w:proofErr w:type="gramEnd"/>
      <w:r>
        <w:t>) needs to be preconfigured independent of the PPPP, while multiple CBR limits can be (pre)configured for different PPPPs.</w:t>
      </w:r>
    </w:p>
    <w:p w14:paraId="30FF22C7" w14:textId="3706D2D6" w:rsidR="00724973" w:rsidRDefault="00724973" w:rsidP="00724973">
      <w:pPr>
        <w:jc w:val="both"/>
      </w:pPr>
      <w:r>
        <w:t xml:space="preserve">However, a simplification of the above formulation is also possible by abstracting </w:t>
      </w:r>
      <m:oMath>
        <m:r>
          <m:rPr>
            <m:sty m:val="p"/>
          </m:rPr>
          <w:rPr>
            <w:rFonts w:ascii="Cambria Math" w:hAnsi="Cambria Math"/>
          </w:rPr>
          <w:br/>
        </m:r>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r>
          <w:rPr>
            <w:rFonts w:ascii="Cambria Math" w:hAnsi="Cambria Math"/>
          </w:rPr>
          <m:t>=F(CB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m:t>
        </m:r>
      </m:oMath>
      <w:r>
        <w:t>. The only drawback of this abstraction is increased (pre)configuration since F() will then have to be different for different PPPPs (to achieve different CBR limit for different PPPP). With the simplified formulation, the proposal is then summarized below.</w:t>
      </w:r>
      <w:bookmarkStart w:id="2" w:name="_GoBack"/>
      <w:bookmarkEnd w:id="2"/>
    </w:p>
    <w:p w14:paraId="59038E68" w14:textId="2B9C0BB4" w:rsidR="00724973" w:rsidRPr="00707D21" w:rsidRDefault="00724973" w:rsidP="00724973">
      <w:pPr>
        <w:jc w:val="both"/>
        <w:rPr>
          <w:i/>
        </w:rPr>
      </w:pPr>
      <w:r w:rsidRPr="00707D21">
        <w:rPr>
          <w:b/>
          <w:i/>
        </w:rPr>
        <w:t>Proposal 3:</w:t>
      </w:r>
      <w:r w:rsidRPr="00707D21">
        <w:rPr>
          <w:i/>
        </w:rPr>
        <w:t xml:space="preserve"> The UE is (pre)configured with the </w:t>
      </w:r>
      <w:r w:rsidR="00707D21" w:rsidRPr="00707D21">
        <w:rPr>
          <w:i/>
        </w:rPr>
        <w:t>limit on the fraction of radio resources as a function of the CBR measurement, e.g.</w:t>
      </w:r>
    </w:p>
    <w:tbl>
      <w:tblPr>
        <w:tblStyle w:val="TableGrid"/>
        <w:tblW w:w="0" w:type="auto"/>
        <w:tblInd w:w="1165" w:type="dxa"/>
        <w:tblLook w:val="04A0" w:firstRow="1" w:lastRow="0" w:firstColumn="1" w:lastColumn="0" w:noHBand="0" w:noVBand="1"/>
      </w:tblPr>
      <w:tblGrid>
        <w:gridCol w:w="2517"/>
        <w:gridCol w:w="3600"/>
      </w:tblGrid>
      <w:tr w:rsidR="00707D21" w:rsidRPr="00707D21" w14:paraId="58A2B39D" w14:textId="77777777" w:rsidTr="00707D21">
        <w:tc>
          <w:tcPr>
            <w:tcW w:w="2517" w:type="dxa"/>
          </w:tcPr>
          <w:p w14:paraId="5B49062A" w14:textId="15E4BB72" w:rsidR="00707D21" w:rsidRPr="00707D21" w:rsidRDefault="00707D21" w:rsidP="00707D21">
            <w:pPr>
              <w:spacing w:after="0"/>
              <w:jc w:val="center"/>
              <w:rPr>
                <w:b/>
                <w:i/>
              </w:rPr>
            </w:pPr>
            <w:proofErr w:type="spellStart"/>
            <w:r w:rsidRPr="00707D21">
              <w:rPr>
                <w:b/>
                <w:i/>
              </w:rPr>
              <w:t>CBRmeasured</w:t>
            </w:r>
            <w:proofErr w:type="spellEnd"/>
          </w:p>
        </w:tc>
        <w:tc>
          <w:tcPr>
            <w:tcW w:w="3600" w:type="dxa"/>
          </w:tcPr>
          <w:p w14:paraId="1B7E557F" w14:textId="5D722375" w:rsidR="00707D21" w:rsidRPr="00707D21" w:rsidRDefault="00707D21" w:rsidP="00707D21">
            <w:pPr>
              <w:spacing w:after="0"/>
              <w:jc w:val="center"/>
              <w:rPr>
                <w:b/>
                <w:i/>
              </w:rPr>
            </w:pPr>
            <w:proofErr w:type="spellStart"/>
            <w:r w:rsidRPr="00707D21">
              <w:rPr>
                <w:b/>
                <w:i/>
              </w:rPr>
              <w:t>CRlimit</w:t>
            </w:r>
            <w:proofErr w:type="spellEnd"/>
          </w:p>
        </w:tc>
      </w:tr>
      <w:tr w:rsidR="00707D21" w:rsidRPr="00707D21" w14:paraId="01A020EC" w14:textId="77777777" w:rsidTr="00707D21">
        <w:tc>
          <w:tcPr>
            <w:tcW w:w="2517" w:type="dxa"/>
          </w:tcPr>
          <w:p w14:paraId="74D17D00" w14:textId="1960E888" w:rsidR="00707D21" w:rsidRPr="00707D21" w:rsidRDefault="00707D21" w:rsidP="00707D21">
            <w:pPr>
              <w:spacing w:after="0"/>
              <w:jc w:val="center"/>
              <w:rPr>
                <w:b/>
                <w:i/>
              </w:rPr>
            </w:pPr>
            <w:proofErr w:type="spellStart"/>
            <w:r w:rsidRPr="00707D21">
              <w:rPr>
                <w:i/>
              </w:rPr>
              <w:t>CBRmeasured</w:t>
            </w:r>
            <w:proofErr w:type="spellEnd"/>
            <w:r w:rsidRPr="00707D21">
              <w:rPr>
                <w:i/>
              </w:rPr>
              <w:t xml:space="preserve"> ≤ 0.6</w:t>
            </w:r>
            <w:r>
              <w:rPr>
                <w:i/>
              </w:rPr>
              <w:t>5</w:t>
            </w:r>
          </w:p>
        </w:tc>
        <w:tc>
          <w:tcPr>
            <w:tcW w:w="3600" w:type="dxa"/>
          </w:tcPr>
          <w:p w14:paraId="23B56994" w14:textId="43FE10AE" w:rsidR="00707D21" w:rsidRPr="00707D21" w:rsidRDefault="00707D21" w:rsidP="00707D21">
            <w:pPr>
              <w:spacing w:after="0"/>
              <w:jc w:val="center"/>
              <w:rPr>
                <w:i/>
              </w:rPr>
            </w:pPr>
            <w:r w:rsidRPr="00707D21">
              <w:rPr>
                <w:i/>
              </w:rPr>
              <w:t>no limit</w:t>
            </w:r>
          </w:p>
        </w:tc>
      </w:tr>
      <w:tr w:rsidR="00707D21" w:rsidRPr="00707D21" w14:paraId="06675E9D" w14:textId="77777777" w:rsidTr="00707D21">
        <w:tc>
          <w:tcPr>
            <w:tcW w:w="2517" w:type="dxa"/>
          </w:tcPr>
          <w:p w14:paraId="771B9C27" w14:textId="49D0D159" w:rsidR="00707D21" w:rsidRPr="00707D21" w:rsidRDefault="00707D21" w:rsidP="00707D21">
            <w:pPr>
              <w:spacing w:after="0"/>
              <w:jc w:val="center"/>
              <w:rPr>
                <w:b/>
                <w:i/>
              </w:rPr>
            </w:pPr>
            <w:r w:rsidRPr="00707D21">
              <w:rPr>
                <w:i/>
              </w:rPr>
              <w:t>0.6</w:t>
            </w:r>
            <w:r>
              <w:rPr>
                <w:i/>
              </w:rPr>
              <w:t>5&lt;</w:t>
            </w:r>
            <w:proofErr w:type="spellStart"/>
            <w:r w:rsidRPr="00707D21">
              <w:rPr>
                <w:i/>
              </w:rPr>
              <w:t>CBRmeasured</w:t>
            </w:r>
            <w:proofErr w:type="spellEnd"/>
            <w:r>
              <w:rPr>
                <w:i/>
              </w:rPr>
              <w:t xml:space="preserve"> ≤ 0.7</w:t>
            </w:r>
          </w:p>
        </w:tc>
        <w:tc>
          <w:tcPr>
            <w:tcW w:w="3600" w:type="dxa"/>
          </w:tcPr>
          <w:p w14:paraId="79427AA1" w14:textId="78BEA77B" w:rsidR="00707D21" w:rsidRPr="00707D21" w:rsidRDefault="00106B4D" w:rsidP="00707D21">
            <w:pPr>
              <w:spacing w:after="0"/>
              <w:jc w:val="center"/>
              <w:rPr>
                <w:i/>
              </w:rPr>
            </w:pPr>
            <w:r>
              <w:rPr>
                <w:i/>
              </w:rPr>
              <w:t>1.7e-3</w:t>
            </w:r>
          </w:p>
        </w:tc>
      </w:tr>
      <w:tr w:rsidR="00707D21" w:rsidRPr="00707D21" w14:paraId="3EC6321B" w14:textId="77777777" w:rsidTr="00707D21">
        <w:trPr>
          <w:trHeight w:val="152"/>
        </w:trPr>
        <w:tc>
          <w:tcPr>
            <w:tcW w:w="2517" w:type="dxa"/>
          </w:tcPr>
          <w:p w14:paraId="0A9559C6" w14:textId="760EB433" w:rsidR="00707D21" w:rsidRPr="00707D21" w:rsidRDefault="00707D21" w:rsidP="00707D21">
            <w:pPr>
              <w:spacing w:after="0"/>
              <w:jc w:val="center"/>
              <w:rPr>
                <w:i/>
              </w:rPr>
            </w:pPr>
            <w:r w:rsidRPr="00707D21">
              <w:rPr>
                <w:i/>
              </w:rPr>
              <w:t>0.</w:t>
            </w:r>
            <w:r>
              <w:rPr>
                <w:i/>
              </w:rPr>
              <w:t>7&lt;</w:t>
            </w:r>
            <w:proofErr w:type="spellStart"/>
            <w:r w:rsidRPr="00707D21">
              <w:rPr>
                <w:i/>
              </w:rPr>
              <w:t>CBRmeasured</w:t>
            </w:r>
            <w:proofErr w:type="spellEnd"/>
            <w:r w:rsidRPr="00707D21">
              <w:rPr>
                <w:i/>
              </w:rPr>
              <w:t xml:space="preserve"> ≤ 0.</w:t>
            </w:r>
            <w:r>
              <w:rPr>
                <w:i/>
              </w:rPr>
              <w:t>75</w:t>
            </w:r>
          </w:p>
        </w:tc>
        <w:tc>
          <w:tcPr>
            <w:tcW w:w="3600" w:type="dxa"/>
          </w:tcPr>
          <w:p w14:paraId="1EA1C318" w14:textId="57563695" w:rsidR="00707D21" w:rsidRPr="00707D21" w:rsidRDefault="00106B4D" w:rsidP="00707D21">
            <w:pPr>
              <w:spacing w:after="0"/>
              <w:jc w:val="center"/>
              <w:rPr>
                <w:i/>
              </w:rPr>
            </w:pPr>
            <w:r>
              <w:rPr>
                <w:i/>
              </w:rPr>
              <w:t>1.5e-3</w:t>
            </w:r>
          </w:p>
        </w:tc>
      </w:tr>
      <w:tr w:rsidR="00707D21" w:rsidRPr="00707D21" w14:paraId="13765CFD" w14:textId="77777777" w:rsidTr="00707D21">
        <w:tc>
          <w:tcPr>
            <w:tcW w:w="2517" w:type="dxa"/>
          </w:tcPr>
          <w:p w14:paraId="7B1EBF52" w14:textId="6DE29131" w:rsidR="00707D21" w:rsidRPr="00707D21" w:rsidRDefault="00707D21" w:rsidP="00707D21">
            <w:pPr>
              <w:spacing w:after="0"/>
              <w:jc w:val="center"/>
              <w:rPr>
                <w:i/>
              </w:rPr>
            </w:pPr>
            <w:r>
              <w:rPr>
                <w:i/>
              </w:rPr>
              <w:t>…</w:t>
            </w:r>
          </w:p>
        </w:tc>
        <w:tc>
          <w:tcPr>
            <w:tcW w:w="3600" w:type="dxa"/>
          </w:tcPr>
          <w:p w14:paraId="659EAD97" w14:textId="197901E3" w:rsidR="00707D21" w:rsidRPr="00707D21" w:rsidRDefault="00707D21" w:rsidP="00707D21">
            <w:pPr>
              <w:spacing w:after="0"/>
              <w:jc w:val="center"/>
              <w:rPr>
                <w:b/>
                <w:i/>
              </w:rPr>
            </w:pPr>
            <w:r>
              <w:rPr>
                <w:b/>
                <w:i/>
              </w:rPr>
              <w:t>…</w:t>
            </w:r>
          </w:p>
        </w:tc>
      </w:tr>
    </w:tbl>
    <w:p w14:paraId="090261F7" w14:textId="54221281" w:rsidR="00707D21" w:rsidRPr="00707D21" w:rsidRDefault="00707D21" w:rsidP="00724973">
      <w:pPr>
        <w:jc w:val="both"/>
        <w:rPr>
          <w:i/>
        </w:rPr>
      </w:pPr>
      <w:r>
        <w:rPr>
          <w:i/>
        </w:rPr>
        <w:t>w</w:t>
      </w:r>
      <w:r w:rsidRPr="00707D21">
        <w:rPr>
          <w:i/>
        </w:rPr>
        <w:t>here</w:t>
      </w:r>
    </w:p>
    <w:p w14:paraId="6AE51D92" w14:textId="77777777" w:rsidR="00B14857" w:rsidRDefault="00707D21" w:rsidP="00707D21">
      <w:pPr>
        <w:pStyle w:val="ListParagraph"/>
        <w:numPr>
          <w:ilvl w:val="0"/>
          <w:numId w:val="34"/>
        </w:numPr>
        <w:jc w:val="both"/>
        <w:rPr>
          <w:i/>
        </w:rPr>
      </w:pPr>
      <w:r w:rsidRPr="00707D21">
        <w:rPr>
          <w:i/>
        </w:rPr>
        <w:t>CR limit is the limit on the fraction of radio resources that the UE can be utilized for its transmissions</w:t>
      </w:r>
      <w:r w:rsidR="00B14857">
        <w:rPr>
          <w:i/>
        </w:rPr>
        <w:t>.</w:t>
      </w:r>
    </w:p>
    <w:p w14:paraId="04F18DA3" w14:textId="63605CFC" w:rsidR="00B14857" w:rsidRDefault="00B14857" w:rsidP="00707D21">
      <w:pPr>
        <w:pStyle w:val="ListParagraph"/>
        <w:numPr>
          <w:ilvl w:val="0"/>
          <w:numId w:val="34"/>
        </w:numPr>
        <w:jc w:val="both"/>
        <w:rPr>
          <w:i/>
        </w:rPr>
      </w:pPr>
      <w:r>
        <w:rPr>
          <w:i/>
        </w:rPr>
        <w:t xml:space="preserve">For a transmission on </w:t>
      </w:r>
      <w:proofErr w:type="spellStart"/>
      <w:r>
        <w:rPr>
          <w:i/>
        </w:rPr>
        <w:t>subframe</w:t>
      </w:r>
      <w:proofErr w:type="spellEnd"/>
      <w:r>
        <w:rPr>
          <w:i/>
        </w:rPr>
        <w:t xml:space="preserve"> ‘n’,</w:t>
      </w:r>
      <w:r w:rsidR="007678E6">
        <w:rPr>
          <w:i/>
        </w:rPr>
        <w:t xml:space="preserve"> the CR limit applies using the measurements:</w:t>
      </w:r>
    </w:p>
    <w:p w14:paraId="757C4454" w14:textId="77777777" w:rsidR="00B14857" w:rsidRDefault="00B14857" w:rsidP="00B14857">
      <w:pPr>
        <w:pStyle w:val="ListParagraph"/>
        <w:numPr>
          <w:ilvl w:val="1"/>
          <w:numId w:val="34"/>
        </w:numPr>
        <w:jc w:val="both"/>
        <w:rPr>
          <w:i/>
        </w:rPr>
      </w:pPr>
      <w:r>
        <w:rPr>
          <w:i/>
        </w:rPr>
        <w:t xml:space="preserve">CBR is measured over (n-a-100, n-a] </w:t>
      </w:r>
      <w:proofErr w:type="spellStart"/>
      <w:r>
        <w:rPr>
          <w:i/>
        </w:rPr>
        <w:t>subframes</w:t>
      </w:r>
      <w:proofErr w:type="spellEnd"/>
    </w:p>
    <w:p w14:paraId="6FAAD28E" w14:textId="540A1973" w:rsidR="00707D21" w:rsidRPr="00707D21" w:rsidRDefault="00B14857" w:rsidP="00B14857">
      <w:pPr>
        <w:pStyle w:val="ListParagraph"/>
        <w:numPr>
          <w:ilvl w:val="1"/>
          <w:numId w:val="34"/>
        </w:numPr>
        <w:jc w:val="both"/>
        <w:rPr>
          <w:i/>
        </w:rPr>
      </w:pPr>
      <w:r>
        <w:rPr>
          <w:i/>
        </w:rPr>
        <w:lastRenderedPageBreak/>
        <w:t>CR usage of the UE is measured over (n-a-1000, n-a]</w:t>
      </w:r>
    </w:p>
    <w:p w14:paraId="1CD07872" w14:textId="32A74726" w:rsidR="00707D21" w:rsidRPr="00707D21" w:rsidRDefault="00707D21" w:rsidP="00707D21">
      <w:pPr>
        <w:pStyle w:val="ListParagraph"/>
        <w:numPr>
          <w:ilvl w:val="0"/>
          <w:numId w:val="34"/>
        </w:numPr>
        <w:jc w:val="both"/>
        <w:rPr>
          <w:i/>
        </w:rPr>
      </w:pPr>
      <w:r w:rsidRPr="00707D21">
        <w:rPr>
          <w:i/>
        </w:rPr>
        <w:t>The Table is (pre)configured per PPPP</w:t>
      </w:r>
    </w:p>
    <w:p w14:paraId="770DE334" w14:textId="77777777" w:rsidR="002F0C15" w:rsidRDefault="002F0C15" w:rsidP="00724973">
      <w:pPr>
        <w:jc w:val="both"/>
        <w:rPr>
          <w:b/>
          <w:i/>
        </w:rPr>
      </w:pPr>
    </w:p>
    <w:p w14:paraId="3F10D59C" w14:textId="43DFD4DB" w:rsidR="007D0BEB" w:rsidRPr="00F873E4" w:rsidRDefault="00015C65" w:rsidP="007D0BEB">
      <w:pPr>
        <w:jc w:val="both"/>
        <w:rPr>
          <w:i/>
        </w:rPr>
      </w:pPr>
      <w:r>
        <w:rPr>
          <w:b/>
          <w:i/>
        </w:rPr>
        <w:t>Proposal 4</w:t>
      </w:r>
      <w:r w:rsidR="007D0BEB" w:rsidRPr="00F873E4">
        <w:rPr>
          <w:b/>
          <w:i/>
        </w:rPr>
        <w:t>:</w:t>
      </w:r>
      <w:r w:rsidR="007D0BEB" w:rsidRPr="00F873E4">
        <w:rPr>
          <w:i/>
        </w:rPr>
        <w:t xml:space="preserve"> Additionally, the UE can be (pre)configured with limits on </w:t>
      </w:r>
      <w:r w:rsidR="007D0BEB">
        <w:rPr>
          <w:i/>
        </w:rPr>
        <w:t xml:space="preserve">MCS and/or </w:t>
      </w:r>
      <w:r w:rsidR="007D0BEB" w:rsidRPr="00F873E4">
        <w:rPr>
          <w:i/>
        </w:rPr>
        <w:t>number of HARQ transmissions based on the CBR</w:t>
      </w:r>
      <w:r w:rsidR="007D0BEB">
        <w:rPr>
          <w:i/>
        </w:rPr>
        <w:t xml:space="preserve"> measured</w:t>
      </w:r>
      <w:r w:rsidR="007D0BEB" w:rsidRPr="00F873E4">
        <w:rPr>
          <w:i/>
        </w:rPr>
        <w:t>.</w:t>
      </w:r>
    </w:p>
    <w:p w14:paraId="1CA81180" w14:textId="77777777" w:rsidR="002F0C15" w:rsidRDefault="002F0C15" w:rsidP="002F0C15">
      <w:pPr>
        <w:jc w:val="both"/>
      </w:pPr>
    </w:p>
    <w:p w14:paraId="67B68231" w14:textId="5FAD7681" w:rsidR="002F0C15" w:rsidRDefault="002F0C15" w:rsidP="002F0C15">
      <w:pPr>
        <w:jc w:val="both"/>
      </w:pPr>
      <w:r>
        <w:t xml:space="preserve">Note that the essence of the proposal is as envisioned in EN 302 571 – CBR measurement reflect the ratio of resource utilized, so a direct </w:t>
      </w:r>
      <w:proofErr w:type="spellStart"/>
      <w:r>
        <w:t>backoff</w:t>
      </w:r>
      <w:proofErr w:type="spellEnd"/>
      <w:r>
        <w:t xml:space="preserve"> method to reduce congestion is to limit the amount of resources a UE can utilize if the channel is observed to be congested. </w:t>
      </w:r>
    </w:p>
    <w:p w14:paraId="10E5756B" w14:textId="2A3CFE1D" w:rsidR="00724973" w:rsidRDefault="006A3032" w:rsidP="00724973">
      <w:pPr>
        <w:jc w:val="both"/>
      </w:pPr>
      <w:r>
        <w:t xml:space="preserve">It should be also noted that including transmit power as one of the transmission control parameters (to reduce congestion) may not help with the system performance. This is because congestion control is enabled when the system is interference limited, and hence reducing transmit power will not help improve the SINR at the receiver UEs. </w:t>
      </w:r>
    </w:p>
    <w:p w14:paraId="517D12A6" w14:textId="4353742E" w:rsidR="00486FEC" w:rsidRDefault="00B35EF7" w:rsidP="00486FEC">
      <w:pPr>
        <w:pStyle w:val="Heading1"/>
        <w:ind w:left="0" w:firstLine="0"/>
      </w:pPr>
      <w:r>
        <w:t>4</w:t>
      </w:r>
      <w:r w:rsidR="00486FEC">
        <w:t xml:space="preserve"> </w:t>
      </w:r>
      <w:r w:rsidR="00486FEC">
        <w:tab/>
        <w:t>Decentralized vs Localized CBR measurement</w:t>
      </w:r>
    </w:p>
    <w:p w14:paraId="200A982F" w14:textId="476CAF50" w:rsidR="00486FEC" w:rsidRDefault="00DE787C" w:rsidP="00724973">
      <w:pPr>
        <w:jc w:val="both"/>
      </w:pPr>
      <w:r>
        <w:t>In the discussion so far in 3GPP, we looked at decentralized congestion control. One drawback with decentralized congestion mechanism is that it’s difficult to guarantee fairness in the system. For example, consider the intersection scenario depicted below.</w:t>
      </w:r>
    </w:p>
    <w:p w14:paraId="18317472" w14:textId="77777777" w:rsidR="00DE787C" w:rsidRDefault="00DE787C" w:rsidP="00DE787C">
      <w:pPr>
        <w:keepNext/>
        <w:jc w:val="center"/>
      </w:pPr>
      <w:r>
        <w:object w:dxaOrig="8611" w:dyaOrig="7339" w14:anchorId="0A5C7E47">
          <v:shape id="_x0000_i1026" type="#_x0000_t75" style="width:254.5pt;height:217.25pt" o:ole="">
            <v:imagedata r:id="rId11" o:title=""/>
          </v:shape>
          <o:OLEObject Type="Embed" ProgID="Visio.Drawing.11" ShapeID="_x0000_i1026" DrawAspect="Content" ObjectID="_1539789992" r:id="rId12"/>
        </w:object>
      </w:r>
    </w:p>
    <w:p w14:paraId="2F8E5DB1" w14:textId="07D94A4E" w:rsidR="00DE787C" w:rsidRDefault="00DE787C" w:rsidP="00DE787C">
      <w:pPr>
        <w:pStyle w:val="Caption"/>
        <w:jc w:val="center"/>
      </w:pPr>
      <w:r>
        <w:t xml:space="preserve">Figure </w:t>
      </w:r>
      <w:r>
        <w:fldChar w:fldCharType="begin"/>
      </w:r>
      <w:r>
        <w:instrText xml:space="preserve"> SEQ Figure \* ARABIC </w:instrText>
      </w:r>
      <w:r>
        <w:fldChar w:fldCharType="separate"/>
      </w:r>
      <w:r w:rsidR="00765481">
        <w:rPr>
          <w:noProof/>
        </w:rPr>
        <w:t>1</w:t>
      </w:r>
      <w:r>
        <w:fldChar w:fldCharType="end"/>
      </w:r>
      <w:r>
        <w:t xml:space="preserve">: Example intersection scenario to show that fairness may not be possible to achieve with decentralized congestion </w:t>
      </w:r>
      <w:r w:rsidR="002E2A00">
        <w:t>measurements (i.e. own CBR measurement only)</w:t>
      </w:r>
      <w:r>
        <w:t>.</w:t>
      </w:r>
    </w:p>
    <w:p w14:paraId="59F59133" w14:textId="3CD02958" w:rsidR="00DE787C" w:rsidRDefault="00DE787C" w:rsidP="00DE787C"/>
    <w:p w14:paraId="18CEEA51" w14:textId="34B82FFD" w:rsidR="00DE787C" w:rsidRDefault="00DE787C" w:rsidP="00F61DEF">
      <w:pPr>
        <w:jc w:val="both"/>
      </w:pPr>
      <w:r>
        <w:t xml:space="preserve">The cars in the intersection will observe a CBR higher than the cars on the lanes (to which other lanes are shadowed) </w:t>
      </w:r>
      <w:r w:rsidR="00F61DEF">
        <w:t xml:space="preserve">and will thus </w:t>
      </w:r>
      <w:proofErr w:type="spellStart"/>
      <w:r w:rsidR="00F61DEF">
        <w:t>backoff</w:t>
      </w:r>
      <w:proofErr w:type="spellEnd"/>
      <w:r w:rsidR="00F61DEF">
        <w:t xml:space="preserve"> more due to the DCC mechanism. This leads to unfair utilization, where the cars in the lanes get to occupy a higher fraction of resources as compared to the cars in the intersection. Furthermore, the performance also degrades since the cars in the lanes are causing more interference to the cars in the intersection.</w:t>
      </w:r>
    </w:p>
    <w:p w14:paraId="1915D374" w14:textId="1406285B" w:rsidR="00F61DEF" w:rsidRDefault="00F61DEF" w:rsidP="00F61DEF">
      <w:pPr>
        <w:jc w:val="both"/>
      </w:pPr>
      <w:r>
        <w:t xml:space="preserve">An alternate mechanism is to use localized CBR measurements, where each UE includes the observed CBR along with its packet transmission. All the UEs then base its estimate of CBR of the channel based on its own measurement, and also the measurements received from other UEs. In the above example, this will lead to the UEs in the lanes to </w:t>
      </w:r>
      <w:r>
        <w:lastRenderedPageBreak/>
        <w:t xml:space="preserve">know that the UEs in the vicinity (in the intersection) are observing a higher CBR, and should thus </w:t>
      </w:r>
      <w:proofErr w:type="spellStart"/>
      <w:r>
        <w:t>backoff</w:t>
      </w:r>
      <w:proofErr w:type="spellEnd"/>
      <w:r>
        <w:t xml:space="preserve"> more than as suggested by its own measurement alone.</w:t>
      </w:r>
    </w:p>
    <w:p w14:paraId="4B46E6C7" w14:textId="45C4C46F" w:rsidR="00F61DEF" w:rsidRDefault="00F61DEF" w:rsidP="00F61DEF">
      <w:pPr>
        <w:jc w:val="both"/>
      </w:pPr>
      <w:r>
        <w:t xml:space="preserve">As a proof of concept, the results below </w:t>
      </w:r>
      <w:r w:rsidR="00A014A3">
        <w:t>(</w:t>
      </w:r>
      <w:r w:rsidR="00A014A3">
        <w:fldChar w:fldCharType="begin"/>
      </w:r>
      <w:r w:rsidR="00A014A3">
        <w:instrText xml:space="preserve"> REF _Ref466029114 \h </w:instrText>
      </w:r>
      <w:r w:rsidR="00A014A3">
        <w:fldChar w:fldCharType="separate"/>
      </w:r>
      <w:r w:rsidR="00765481" w:rsidRPr="00306164">
        <w:t xml:space="preserve">Figure </w:t>
      </w:r>
      <w:r w:rsidR="00765481">
        <w:rPr>
          <w:noProof/>
        </w:rPr>
        <w:t>2</w:t>
      </w:r>
      <w:r w:rsidR="00A014A3">
        <w:fldChar w:fldCharType="end"/>
      </w:r>
      <w:r w:rsidR="00A014A3">
        <w:t xml:space="preserve"> and </w:t>
      </w:r>
      <w:r w:rsidR="00A014A3">
        <w:fldChar w:fldCharType="begin"/>
      </w:r>
      <w:r w:rsidR="00A014A3">
        <w:instrText xml:space="preserve"> REF _Ref466029115 \h </w:instrText>
      </w:r>
      <w:r w:rsidR="00A014A3">
        <w:fldChar w:fldCharType="separate"/>
      </w:r>
      <w:r w:rsidR="00765481">
        <w:t xml:space="preserve">Figure </w:t>
      </w:r>
      <w:r w:rsidR="00765481">
        <w:rPr>
          <w:noProof/>
        </w:rPr>
        <w:t>3</w:t>
      </w:r>
      <w:r w:rsidR="00A014A3">
        <w:fldChar w:fldCharType="end"/>
      </w:r>
      <w:r w:rsidR="00A014A3">
        <w:t xml:space="preserve">) </w:t>
      </w:r>
      <w:r>
        <w:t>show the improvement of localized congestion measurement over decentralized measurement. It can be observed that the performance (PRR vs distance) improves</w:t>
      </w:r>
      <w:r w:rsidR="00A014A3">
        <w:t xml:space="preserve"> (</w:t>
      </w:r>
      <w:r w:rsidR="00A014A3">
        <w:fldChar w:fldCharType="begin"/>
      </w:r>
      <w:r w:rsidR="00A014A3">
        <w:instrText xml:space="preserve"> REF _Ref466029114 \h </w:instrText>
      </w:r>
      <w:r w:rsidR="00A014A3">
        <w:fldChar w:fldCharType="separate"/>
      </w:r>
      <w:r w:rsidR="00765481" w:rsidRPr="00306164">
        <w:t xml:space="preserve">Figure </w:t>
      </w:r>
      <w:r w:rsidR="00765481">
        <w:rPr>
          <w:noProof/>
        </w:rPr>
        <w:t>2</w:t>
      </w:r>
      <w:r w:rsidR="00A014A3">
        <w:fldChar w:fldCharType="end"/>
      </w:r>
      <w:r w:rsidR="00A014A3">
        <w:t>)</w:t>
      </w:r>
      <w:r>
        <w:t>. The fairness advantage can be seen by covering the CDF of the CBR measured at the UEs</w:t>
      </w:r>
      <w:r w:rsidR="00A014A3">
        <w:t xml:space="preserve"> (</w:t>
      </w:r>
      <w:r w:rsidR="00A014A3">
        <w:fldChar w:fldCharType="begin"/>
      </w:r>
      <w:r w:rsidR="00A014A3">
        <w:instrText xml:space="preserve"> REF _Ref466029115 \h </w:instrText>
      </w:r>
      <w:r w:rsidR="00A014A3">
        <w:fldChar w:fldCharType="separate"/>
      </w:r>
      <w:r w:rsidR="00765481">
        <w:t xml:space="preserve">Figure </w:t>
      </w:r>
      <w:r w:rsidR="00765481">
        <w:rPr>
          <w:noProof/>
        </w:rPr>
        <w:t>3</w:t>
      </w:r>
      <w:r w:rsidR="00A014A3">
        <w:fldChar w:fldCharType="end"/>
      </w:r>
      <w:r w:rsidR="00A014A3">
        <w:t>)</w:t>
      </w:r>
      <w:r>
        <w:t xml:space="preserve">. In the decentralized measurement case, the CBR measured is above CBR limit (0.65) with a strong tail with higher CBRs due to UEs at the intersection. In the localized case, it can be observed that some UEs now observe even lower CBR (i.e. in the lanes) and the tail corresponding to the UEs in the intersection improve. Note that the improvement is a function of the averaging used (e.g., results used average CBR over all UEs. If </w:t>
      </w:r>
      <w:proofErr w:type="gramStart"/>
      <w:r>
        <w:t>max{</w:t>
      </w:r>
      <w:proofErr w:type="gramEnd"/>
      <w:r>
        <w:t xml:space="preserve">} is used instead, tails will improve further).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675"/>
      </w:tblGrid>
      <w:tr w:rsidR="00306164" w14:paraId="67761A06" w14:textId="77777777" w:rsidTr="00CA5F2A">
        <w:tc>
          <w:tcPr>
            <w:tcW w:w="4685" w:type="dxa"/>
          </w:tcPr>
          <w:p w14:paraId="7B9DE0C5" w14:textId="77777777" w:rsidR="00306164" w:rsidRDefault="00306164" w:rsidP="00306164">
            <w:pPr>
              <w:keepNext/>
              <w:jc w:val="both"/>
            </w:pPr>
            <w:r w:rsidRPr="00306164">
              <w:rPr>
                <w:noProof/>
                <w:lang w:val="en-US"/>
              </w:rPr>
              <w:drawing>
                <wp:inline distT="0" distB="0" distL="0" distR="0" wp14:anchorId="5B1AF9E2" wp14:editId="7F15D7CD">
                  <wp:extent cx="2981472" cy="2237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8983" cy="2250244"/>
                          </a:xfrm>
                          <a:prstGeom prst="rect">
                            <a:avLst/>
                          </a:prstGeom>
                          <a:noFill/>
                          <a:ln>
                            <a:noFill/>
                          </a:ln>
                        </pic:spPr>
                      </pic:pic>
                    </a:graphicData>
                  </a:graphic>
                </wp:inline>
              </w:drawing>
            </w:r>
          </w:p>
          <w:p w14:paraId="3E63F79C" w14:textId="1424524B" w:rsidR="00C4655D" w:rsidRPr="00306164" w:rsidRDefault="00306164" w:rsidP="00306164">
            <w:pPr>
              <w:pStyle w:val="Caption"/>
              <w:jc w:val="center"/>
              <w:rPr>
                <w:b w:val="0"/>
              </w:rPr>
            </w:pPr>
            <w:bookmarkStart w:id="3" w:name="_Ref466029114"/>
            <w:r w:rsidRPr="00306164">
              <w:t xml:space="preserve">Figure </w:t>
            </w:r>
            <w:r w:rsidRPr="00306164">
              <w:fldChar w:fldCharType="begin"/>
            </w:r>
            <w:r w:rsidRPr="00306164">
              <w:instrText xml:space="preserve"> SEQ Figure \* ARABIC </w:instrText>
            </w:r>
            <w:r w:rsidRPr="00306164">
              <w:fldChar w:fldCharType="separate"/>
            </w:r>
            <w:r w:rsidR="00765481">
              <w:rPr>
                <w:noProof/>
              </w:rPr>
              <w:t>2</w:t>
            </w:r>
            <w:r w:rsidRPr="00306164">
              <w:fldChar w:fldCharType="end"/>
            </w:r>
            <w:bookmarkEnd w:id="3"/>
            <w:r w:rsidRPr="00306164">
              <w:t>:</w:t>
            </w:r>
            <w:r w:rsidRPr="00306164">
              <w:rPr>
                <w:b w:val="0"/>
              </w:rPr>
              <w:t xml:space="preserve"> PRR vs distance performance for Urban 15kmphr scenario, comparing decentralized vs. localized CBR measurement.</w:t>
            </w:r>
          </w:p>
        </w:tc>
        <w:tc>
          <w:tcPr>
            <w:tcW w:w="4675" w:type="dxa"/>
          </w:tcPr>
          <w:p w14:paraId="1D4B226D" w14:textId="77777777" w:rsidR="00306164" w:rsidRDefault="00306164" w:rsidP="00306164">
            <w:pPr>
              <w:keepNext/>
              <w:jc w:val="both"/>
            </w:pPr>
            <w:r w:rsidRPr="00306164">
              <w:rPr>
                <w:noProof/>
                <w:lang w:val="en-US"/>
              </w:rPr>
              <w:drawing>
                <wp:inline distT="0" distB="0" distL="0" distR="0" wp14:anchorId="54AF30EA" wp14:editId="755F52E6">
                  <wp:extent cx="2974686" cy="2237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6199" cy="2245764"/>
                          </a:xfrm>
                          <a:prstGeom prst="rect">
                            <a:avLst/>
                          </a:prstGeom>
                          <a:noFill/>
                          <a:ln>
                            <a:noFill/>
                          </a:ln>
                        </pic:spPr>
                      </pic:pic>
                    </a:graphicData>
                  </a:graphic>
                </wp:inline>
              </w:drawing>
            </w:r>
          </w:p>
          <w:p w14:paraId="1C1EDFA2" w14:textId="2F51BABB" w:rsidR="00C4655D" w:rsidRDefault="00306164" w:rsidP="00306164">
            <w:pPr>
              <w:pStyle w:val="Caption"/>
              <w:jc w:val="both"/>
            </w:pPr>
            <w:bookmarkStart w:id="4" w:name="_Ref466029115"/>
            <w:r>
              <w:t xml:space="preserve">Figure </w:t>
            </w:r>
            <w:r>
              <w:fldChar w:fldCharType="begin"/>
            </w:r>
            <w:r>
              <w:instrText xml:space="preserve"> SEQ Figure \* ARABIC </w:instrText>
            </w:r>
            <w:r>
              <w:fldChar w:fldCharType="separate"/>
            </w:r>
            <w:r w:rsidR="00765481">
              <w:rPr>
                <w:noProof/>
              </w:rPr>
              <w:t>3</w:t>
            </w:r>
            <w:r>
              <w:fldChar w:fldCharType="end"/>
            </w:r>
            <w:bookmarkEnd w:id="4"/>
            <w:r>
              <w:t xml:space="preserve">: </w:t>
            </w:r>
            <w:r w:rsidRPr="00306164">
              <w:rPr>
                <w:b w:val="0"/>
              </w:rPr>
              <w:t>CDF of CBR measured at UEs with DCC, comparing decentralized vs. localized CBR measurement</w:t>
            </w:r>
          </w:p>
        </w:tc>
      </w:tr>
    </w:tbl>
    <w:p w14:paraId="710A0F20" w14:textId="0C8AC46B" w:rsidR="00FC6EE9" w:rsidRDefault="00FC6EE9" w:rsidP="00F61DEF">
      <w:pPr>
        <w:jc w:val="both"/>
      </w:pPr>
    </w:p>
    <w:p w14:paraId="4214413E" w14:textId="77777777" w:rsidR="00CA5F2A" w:rsidRPr="00FC6EE9" w:rsidRDefault="00CA5F2A" w:rsidP="00CA5F2A">
      <w:pPr>
        <w:jc w:val="both"/>
        <w:rPr>
          <w:i/>
        </w:rPr>
      </w:pPr>
      <w:r w:rsidRPr="00FC6EE9">
        <w:rPr>
          <w:b/>
          <w:i/>
        </w:rPr>
        <w:t>Proposal 5:</w:t>
      </w:r>
      <w:r w:rsidRPr="00FC6EE9">
        <w:rPr>
          <w:i/>
        </w:rPr>
        <w:t xml:space="preserve"> Support sharing of CBR measurement as a part of UEs transmissions, and FFS how to combine the CBR received from other UEs with own CBR measurement for congestion control.</w:t>
      </w:r>
    </w:p>
    <w:p w14:paraId="429DFD89" w14:textId="77777777" w:rsidR="00CA5F2A" w:rsidRDefault="00CA5F2A" w:rsidP="00F61DEF">
      <w:pPr>
        <w:jc w:val="both"/>
      </w:pPr>
    </w:p>
    <w:p w14:paraId="370588D0" w14:textId="6422131A" w:rsidR="001A7B56" w:rsidRDefault="00B35EF7" w:rsidP="001A7B56">
      <w:pPr>
        <w:pStyle w:val="Heading1"/>
        <w:ind w:left="0" w:firstLine="0"/>
      </w:pPr>
      <w:r>
        <w:t>5</w:t>
      </w:r>
      <w:r w:rsidR="001A7B56">
        <w:t xml:space="preserve"> </w:t>
      </w:r>
      <w:r w:rsidR="001A7B56">
        <w:tab/>
      </w:r>
      <w:r w:rsidR="00486FEC">
        <w:t xml:space="preserve">Load balancing across </w:t>
      </w:r>
      <w:r w:rsidR="001A7B56">
        <w:t>multiple V2V channels</w:t>
      </w:r>
    </w:p>
    <w:p w14:paraId="5306C5A7" w14:textId="25AF2BB8" w:rsidR="001A7B56" w:rsidRDefault="001A7B56" w:rsidP="00F873E4">
      <w:pPr>
        <w:jc w:val="both"/>
      </w:pPr>
      <w:r>
        <w:t xml:space="preserve">In this section, we briefly discuss the case of control </w:t>
      </w:r>
      <w:r w:rsidR="00CE7978">
        <w:t>across</w:t>
      </w:r>
      <w:r>
        <w:t xml:space="preserve"> multiple V2V channels. </w:t>
      </w:r>
      <w:r w:rsidR="00893CF6">
        <w:t xml:space="preserve">We consider the case when the UE is receiving on multiple ITS channels, and transmitting on </w:t>
      </w:r>
      <w:r w:rsidR="00810453">
        <w:t xml:space="preserve">at least </w:t>
      </w:r>
      <w:r w:rsidR="00893CF6">
        <w:t xml:space="preserve">one of them. </w:t>
      </w:r>
      <w:r w:rsidR="00810453">
        <w:t>Congestion control across the channels can then be implemented in two ways:</w:t>
      </w:r>
    </w:p>
    <w:p w14:paraId="020A3FCC" w14:textId="7B8AFE86" w:rsidR="00893CF6" w:rsidRDefault="00A513AE" w:rsidP="00F873E4">
      <w:pPr>
        <w:pStyle w:val="ListParagraph"/>
        <w:numPr>
          <w:ilvl w:val="0"/>
          <w:numId w:val="30"/>
        </w:numPr>
        <w:jc w:val="both"/>
      </w:pPr>
      <w:r>
        <w:t xml:space="preserve">Option 1 (Long term): </w:t>
      </w:r>
      <w:r w:rsidR="00810453">
        <w:t xml:space="preserve">Here the UE measures the CBR on the multiple ITS channels being monitored, and then selects a channel less loaded for its transmission. Channel selection is done over multiple </w:t>
      </w:r>
      <w:r>
        <w:t>packets.</w:t>
      </w:r>
    </w:p>
    <w:p w14:paraId="61C91DD9" w14:textId="376E3B31" w:rsidR="00A513AE" w:rsidRDefault="00A513AE" w:rsidP="00F873E4">
      <w:pPr>
        <w:pStyle w:val="ListParagraph"/>
        <w:numPr>
          <w:ilvl w:val="0"/>
          <w:numId w:val="30"/>
        </w:numPr>
        <w:jc w:val="both"/>
      </w:pPr>
      <w:r>
        <w:t>Option 2 (Short term): Here the UE measures the CBR on the multiple ITS channels being monitored, and selects a channel less loaded on a per-packet basis. Moreover, even though both channels maybe non-congested, the UE can use the channel that offers the best resource for transmission (i.e. rank resources across channels and select the best resource).</w:t>
      </w:r>
    </w:p>
    <w:p w14:paraId="1AE192EE" w14:textId="11DAA5BF" w:rsidR="00AB4E36" w:rsidRPr="00F873E4" w:rsidRDefault="00AB4E36" w:rsidP="00AB4E36">
      <w:pPr>
        <w:jc w:val="both"/>
      </w:pPr>
      <w:r>
        <w:t xml:space="preserve">We propose </w:t>
      </w:r>
      <w:r w:rsidR="00486FEC">
        <w:t>to use long term approach for congestion control / load balancing over multiple channels.</w:t>
      </w:r>
    </w:p>
    <w:p w14:paraId="08CA5F76" w14:textId="4E1F515C" w:rsidR="00A513AE" w:rsidRDefault="00A513AE">
      <w:pPr>
        <w:jc w:val="both"/>
        <w:rPr>
          <w:i/>
        </w:rPr>
      </w:pPr>
      <w:r w:rsidRPr="00F873E4">
        <w:rPr>
          <w:b/>
          <w:i/>
        </w:rPr>
        <w:t xml:space="preserve">Proposal </w:t>
      </w:r>
      <w:r w:rsidR="00486FEC">
        <w:rPr>
          <w:b/>
          <w:i/>
        </w:rPr>
        <w:t>6</w:t>
      </w:r>
      <w:r w:rsidRPr="00F873E4">
        <w:rPr>
          <w:b/>
          <w:i/>
        </w:rPr>
        <w:t>:</w:t>
      </w:r>
      <w:r w:rsidRPr="00F873E4">
        <w:rPr>
          <w:i/>
        </w:rPr>
        <w:t xml:space="preserve"> </w:t>
      </w:r>
      <w:r w:rsidR="00486FEC">
        <w:rPr>
          <w:i/>
        </w:rPr>
        <w:t>Consider long-term (over multiple packet transmission) approach for congestion control / load balancing across multiple V2V channels.</w:t>
      </w:r>
    </w:p>
    <w:p w14:paraId="228106E6" w14:textId="77777777" w:rsidR="002E7F99" w:rsidRPr="00F873E4" w:rsidRDefault="002E7F99">
      <w:pPr>
        <w:jc w:val="both"/>
        <w:rPr>
          <w:i/>
        </w:rPr>
      </w:pPr>
    </w:p>
    <w:p w14:paraId="28922AD6" w14:textId="6129865C" w:rsidR="00B97A3A" w:rsidRDefault="00B35EF7" w:rsidP="00B97A3A">
      <w:pPr>
        <w:pStyle w:val="Heading1"/>
      </w:pPr>
      <w:r>
        <w:t>6</w:t>
      </w:r>
      <w:r w:rsidR="00B97A3A">
        <w:tab/>
        <w:t xml:space="preserve">Simulation Results </w:t>
      </w:r>
    </w:p>
    <w:p w14:paraId="777FFA05" w14:textId="6B8AFACF" w:rsidR="00B97A3A" w:rsidRDefault="00B97A3A" w:rsidP="00B97A3A">
      <w:pPr>
        <w:jc w:val="both"/>
      </w:pPr>
      <w:r>
        <w:t>In this section, we provide some simulation results with and without DCC for LTE-V2V. We use the generalized formulation as developed in the previous section. A naïve form of DCC is implemented wherein the channel utilization (</w:t>
      </w:r>
      <w:r w:rsidRPr="006C3381">
        <w:rPr>
          <w:i/>
        </w:rPr>
        <w:t>CR</w:t>
      </w:r>
      <w:r>
        <w:t xml:space="preserve">) is kept below </w:t>
      </w:r>
      <w:proofErr w:type="spellStart"/>
      <w:r w:rsidRPr="006C3381">
        <w:rPr>
          <w:i/>
        </w:rPr>
        <w:t>CR</w:t>
      </w:r>
      <w:r w:rsidRPr="006C3381">
        <w:rPr>
          <w:i/>
          <w:vertAlign w:val="subscript"/>
        </w:rPr>
        <w:t>limit</w:t>
      </w:r>
      <w:proofErr w:type="spellEnd"/>
      <w:r>
        <w:t xml:space="preserve"> by simply dropping packets when required</w:t>
      </w:r>
      <w:r w:rsidR="00526E79">
        <w:t>.</w:t>
      </w:r>
    </w:p>
    <w:p w14:paraId="549FA2B1" w14:textId="198F0CF7" w:rsidR="00526E79" w:rsidRDefault="00526E79" w:rsidP="00B97A3A">
      <w:pPr>
        <w:jc w:val="both"/>
      </w:pPr>
      <w:r>
        <w:t>Simulation assumptions</w:t>
      </w:r>
      <w:r w:rsidR="00523912">
        <w:t>:</w:t>
      </w:r>
    </w:p>
    <w:p w14:paraId="0B313546" w14:textId="1B0A3C1A" w:rsidR="00526E79" w:rsidRDefault="00526E79" w:rsidP="00F873E4">
      <w:pPr>
        <w:pStyle w:val="ListParagraph"/>
        <w:numPr>
          <w:ilvl w:val="0"/>
          <w:numId w:val="30"/>
        </w:numPr>
        <w:jc w:val="both"/>
      </w:pPr>
      <w:r>
        <w:t>CBR measurement window: 100ms</w:t>
      </w:r>
      <w:r w:rsidR="00AB4E36">
        <w:t xml:space="preserve"> (same as Proposal 3)</w:t>
      </w:r>
    </w:p>
    <w:p w14:paraId="1A3756C5" w14:textId="584E12C6" w:rsidR="00AB4E36" w:rsidRDefault="00AB4E36" w:rsidP="00AB4E36">
      <w:pPr>
        <w:pStyle w:val="ListParagraph"/>
        <w:numPr>
          <w:ilvl w:val="0"/>
          <w:numId w:val="30"/>
        </w:numPr>
        <w:jc w:val="both"/>
      </w:pPr>
      <w:r>
        <w:t>CR averaging window at the UE: 1sec (same as Proposal 3)</w:t>
      </w:r>
    </w:p>
    <w:p w14:paraId="636A2D5A" w14:textId="799875C3" w:rsidR="00526E79" w:rsidRDefault="00526E79" w:rsidP="00F873E4">
      <w:pPr>
        <w:pStyle w:val="ListParagraph"/>
        <w:numPr>
          <w:ilvl w:val="0"/>
          <w:numId w:val="30"/>
        </w:numPr>
        <w:jc w:val="both"/>
      </w:pPr>
      <w:r>
        <w:t xml:space="preserve">CBR resource busy threshold: </w:t>
      </w:r>
      <w:r w:rsidR="00510AE5">
        <w:t>-107dBm/180kHz</w:t>
      </w:r>
    </w:p>
    <w:p w14:paraId="50345041" w14:textId="0C02C2A7" w:rsidR="00C35D7E" w:rsidRDefault="00C35D7E" w:rsidP="00F873E4">
      <w:pPr>
        <w:pStyle w:val="ListParagraph"/>
        <w:numPr>
          <w:ilvl w:val="0"/>
          <w:numId w:val="30"/>
        </w:numPr>
        <w:jc w:val="both"/>
      </w:pPr>
      <w:r>
        <w:t xml:space="preserve">18RBs for both 190byte and 300byte packets. 1 HARQ </w:t>
      </w:r>
      <w:proofErr w:type="spellStart"/>
      <w:r>
        <w:t>Tx</w:t>
      </w:r>
      <w:proofErr w:type="spellEnd"/>
      <w:r>
        <w:t>.</w:t>
      </w:r>
    </w:p>
    <w:p w14:paraId="6BEA065B" w14:textId="2E43969C" w:rsidR="00C35D7E" w:rsidRDefault="00C35D7E" w:rsidP="00F873E4">
      <w:pPr>
        <w:pStyle w:val="ListParagraph"/>
        <w:numPr>
          <w:ilvl w:val="0"/>
          <w:numId w:val="30"/>
        </w:numPr>
        <w:jc w:val="both"/>
      </w:pPr>
      <w:r>
        <w:t>Other assumptions as per agreed RAN1 assumptions and specification, expect for number of UEs that varied to check the performance of DCC under varying congestion.</w:t>
      </w:r>
    </w:p>
    <w:p w14:paraId="780B09E9" w14:textId="2E37ECED" w:rsidR="00AB4E36" w:rsidRDefault="00AB4E36" w:rsidP="00AB4E36">
      <w:pPr>
        <w:pStyle w:val="ListParagraph"/>
        <w:numPr>
          <w:ilvl w:val="0"/>
          <w:numId w:val="30"/>
        </w:numPr>
        <w:jc w:val="both"/>
      </w:pPr>
      <w:r>
        <w:t xml:space="preserve">CBR limit: 0.65 with the </w:t>
      </w:r>
      <w:proofErr w:type="spellStart"/>
      <w:r>
        <w:t>CRlimit</w:t>
      </w:r>
      <w:proofErr w:type="spellEnd"/>
      <w:r>
        <w:t xml:space="preserve"> Table as below:</w:t>
      </w:r>
    </w:p>
    <w:tbl>
      <w:tblPr>
        <w:tblStyle w:val="TableGrid"/>
        <w:tblW w:w="0" w:type="auto"/>
        <w:tblInd w:w="1440" w:type="dxa"/>
        <w:tblLook w:val="04A0" w:firstRow="1" w:lastRow="0" w:firstColumn="1" w:lastColumn="0" w:noHBand="0" w:noVBand="1"/>
      </w:tblPr>
      <w:tblGrid>
        <w:gridCol w:w="2617"/>
        <w:gridCol w:w="1011"/>
      </w:tblGrid>
      <w:tr w:rsidR="00AB4E36" w14:paraId="6C6D6E43" w14:textId="77777777" w:rsidTr="00AB4E36">
        <w:tc>
          <w:tcPr>
            <w:tcW w:w="2617" w:type="dxa"/>
          </w:tcPr>
          <w:p w14:paraId="7A16AC5F" w14:textId="4B44FCFE" w:rsidR="00AB4E36" w:rsidRPr="00AB4E36" w:rsidRDefault="00AB4E36" w:rsidP="00AB4E36">
            <w:pPr>
              <w:spacing w:after="0"/>
              <w:jc w:val="center"/>
              <w:rPr>
                <w:b/>
              </w:rPr>
            </w:pPr>
            <w:r w:rsidRPr="00AB4E36">
              <w:rPr>
                <w:b/>
              </w:rPr>
              <w:t>CBR measured</w:t>
            </w:r>
          </w:p>
        </w:tc>
        <w:tc>
          <w:tcPr>
            <w:tcW w:w="1011" w:type="dxa"/>
          </w:tcPr>
          <w:p w14:paraId="52DFBD49" w14:textId="75FB7318" w:rsidR="00AB4E36" w:rsidRPr="00AB4E36" w:rsidRDefault="00AB4E36" w:rsidP="00AB4E36">
            <w:pPr>
              <w:spacing w:after="0"/>
              <w:jc w:val="center"/>
              <w:rPr>
                <w:b/>
              </w:rPr>
            </w:pPr>
            <w:r w:rsidRPr="00AB4E36">
              <w:rPr>
                <w:b/>
              </w:rPr>
              <w:t>CR limit</w:t>
            </w:r>
          </w:p>
        </w:tc>
      </w:tr>
      <w:tr w:rsidR="00AB4E36" w14:paraId="7B04CE59" w14:textId="77777777" w:rsidTr="00AB4E36">
        <w:tc>
          <w:tcPr>
            <w:tcW w:w="2617" w:type="dxa"/>
          </w:tcPr>
          <w:p w14:paraId="3D2BEAE3" w14:textId="5D4DADD9" w:rsidR="00AB4E36" w:rsidRDefault="00AB4E36" w:rsidP="00AB4E36">
            <w:pPr>
              <w:spacing w:after="0"/>
              <w:jc w:val="center"/>
            </w:pPr>
            <w:proofErr w:type="spellStart"/>
            <w:r w:rsidRPr="00707D21">
              <w:rPr>
                <w:i/>
              </w:rPr>
              <w:t>CBRmeasured</w:t>
            </w:r>
            <w:proofErr w:type="spellEnd"/>
            <w:r w:rsidRPr="00707D21">
              <w:rPr>
                <w:i/>
              </w:rPr>
              <w:t xml:space="preserve"> ≤ 0.6</w:t>
            </w:r>
            <w:r>
              <w:rPr>
                <w:i/>
              </w:rPr>
              <w:t>5</w:t>
            </w:r>
          </w:p>
        </w:tc>
        <w:tc>
          <w:tcPr>
            <w:tcW w:w="1011" w:type="dxa"/>
          </w:tcPr>
          <w:p w14:paraId="58DEEBB1" w14:textId="08135353" w:rsidR="00AB4E36" w:rsidRDefault="00AB4E36" w:rsidP="00AB4E36">
            <w:pPr>
              <w:spacing w:after="0"/>
              <w:jc w:val="center"/>
            </w:pPr>
            <w:r w:rsidRPr="00707D21">
              <w:rPr>
                <w:i/>
              </w:rPr>
              <w:t>no limit</w:t>
            </w:r>
          </w:p>
        </w:tc>
      </w:tr>
      <w:tr w:rsidR="00AB4E36" w14:paraId="4ACB9056" w14:textId="77777777" w:rsidTr="00AB4E36">
        <w:tc>
          <w:tcPr>
            <w:tcW w:w="2617" w:type="dxa"/>
          </w:tcPr>
          <w:p w14:paraId="026D1F80" w14:textId="7A87D652" w:rsidR="00AB4E36" w:rsidRDefault="00AB4E36" w:rsidP="00AB4E36">
            <w:pPr>
              <w:spacing w:after="0"/>
              <w:jc w:val="center"/>
            </w:pPr>
            <w:r w:rsidRPr="00707D21">
              <w:rPr>
                <w:i/>
              </w:rPr>
              <w:t>0.6</w:t>
            </w:r>
            <w:r>
              <w:rPr>
                <w:i/>
              </w:rPr>
              <w:t>5&lt;</w:t>
            </w:r>
            <w:proofErr w:type="spellStart"/>
            <w:r w:rsidRPr="00707D21">
              <w:rPr>
                <w:i/>
              </w:rPr>
              <w:t>CBRmeasured</w:t>
            </w:r>
            <w:proofErr w:type="spellEnd"/>
            <w:r>
              <w:rPr>
                <w:i/>
              </w:rPr>
              <w:t xml:space="preserve"> ≤ 0.675</w:t>
            </w:r>
          </w:p>
        </w:tc>
        <w:tc>
          <w:tcPr>
            <w:tcW w:w="1011" w:type="dxa"/>
          </w:tcPr>
          <w:p w14:paraId="2F5E2C05" w14:textId="6FD81DB0" w:rsidR="00AB4E36" w:rsidRDefault="00AB4E36" w:rsidP="0043533D">
            <w:pPr>
              <w:spacing w:after="0"/>
              <w:jc w:val="center"/>
            </w:pPr>
            <w:r>
              <w:rPr>
                <w:i/>
              </w:rPr>
              <w:t>1.</w:t>
            </w:r>
            <w:r w:rsidR="0043533D">
              <w:rPr>
                <w:i/>
              </w:rPr>
              <w:t>6</w:t>
            </w:r>
            <w:r>
              <w:rPr>
                <w:i/>
              </w:rPr>
              <w:t>e-3</w:t>
            </w:r>
          </w:p>
        </w:tc>
      </w:tr>
      <w:tr w:rsidR="00AB4E36" w14:paraId="66D125FE" w14:textId="77777777" w:rsidTr="00AB4E36">
        <w:tc>
          <w:tcPr>
            <w:tcW w:w="2617" w:type="dxa"/>
          </w:tcPr>
          <w:p w14:paraId="7E6D1FE2" w14:textId="27EC7B31" w:rsidR="00AB4E36" w:rsidRDefault="00AB4E36" w:rsidP="00AB4E36">
            <w:pPr>
              <w:spacing w:after="0"/>
              <w:jc w:val="center"/>
            </w:pPr>
            <w:r>
              <w:rPr>
                <w:i/>
              </w:rPr>
              <w:t>0.675&lt;</w:t>
            </w:r>
            <w:proofErr w:type="spellStart"/>
            <w:r w:rsidRPr="00707D21">
              <w:rPr>
                <w:i/>
              </w:rPr>
              <w:t>CBRmeasured</w:t>
            </w:r>
            <w:proofErr w:type="spellEnd"/>
            <w:r w:rsidRPr="00707D21">
              <w:rPr>
                <w:i/>
              </w:rPr>
              <w:t xml:space="preserve"> ≤ 0.</w:t>
            </w:r>
            <w:r>
              <w:rPr>
                <w:i/>
              </w:rPr>
              <w:t>7</w:t>
            </w:r>
          </w:p>
        </w:tc>
        <w:tc>
          <w:tcPr>
            <w:tcW w:w="1011" w:type="dxa"/>
          </w:tcPr>
          <w:p w14:paraId="3B6D2FD7" w14:textId="515EBFC2" w:rsidR="00AB4E36" w:rsidRDefault="00AB4E36" w:rsidP="0043533D">
            <w:pPr>
              <w:spacing w:after="0"/>
              <w:jc w:val="center"/>
            </w:pPr>
            <w:r>
              <w:rPr>
                <w:i/>
              </w:rPr>
              <w:t>1.</w:t>
            </w:r>
            <w:r w:rsidR="0043533D">
              <w:rPr>
                <w:i/>
              </w:rPr>
              <w:t>5</w:t>
            </w:r>
            <w:r>
              <w:rPr>
                <w:i/>
              </w:rPr>
              <w:t>e-3</w:t>
            </w:r>
          </w:p>
        </w:tc>
      </w:tr>
      <w:tr w:rsidR="00AB4E36" w14:paraId="36C2672B" w14:textId="77777777" w:rsidTr="00AB4E36">
        <w:tc>
          <w:tcPr>
            <w:tcW w:w="2617" w:type="dxa"/>
          </w:tcPr>
          <w:p w14:paraId="00AB67C8" w14:textId="170219AA" w:rsidR="00AB4E36" w:rsidRDefault="00AB4E36" w:rsidP="00AB4E36">
            <w:pPr>
              <w:spacing w:after="0"/>
              <w:jc w:val="center"/>
            </w:pPr>
            <w:r>
              <w:rPr>
                <w:i/>
              </w:rPr>
              <w:t>0.7&lt;</w:t>
            </w:r>
            <w:proofErr w:type="spellStart"/>
            <w:r w:rsidRPr="00707D21">
              <w:rPr>
                <w:i/>
              </w:rPr>
              <w:t>CBRmeasured</w:t>
            </w:r>
            <w:proofErr w:type="spellEnd"/>
            <w:r w:rsidRPr="00707D21">
              <w:rPr>
                <w:i/>
              </w:rPr>
              <w:t xml:space="preserve"> ≤ 0.</w:t>
            </w:r>
            <w:r>
              <w:rPr>
                <w:i/>
              </w:rPr>
              <w:t>725</w:t>
            </w:r>
          </w:p>
        </w:tc>
        <w:tc>
          <w:tcPr>
            <w:tcW w:w="1011" w:type="dxa"/>
          </w:tcPr>
          <w:p w14:paraId="4AB9035A" w14:textId="0B973305" w:rsidR="00AB4E36" w:rsidRDefault="00AB4E36" w:rsidP="0043533D">
            <w:pPr>
              <w:spacing w:after="0"/>
              <w:jc w:val="center"/>
            </w:pPr>
            <w:r>
              <w:rPr>
                <w:i/>
              </w:rPr>
              <w:t>1.</w:t>
            </w:r>
            <w:r w:rsidR="0043533D">
              <w:rPr>
                <w:i/>
              </w:rPr>
              <w:t>4</w:t>
            </w:r>
            <w:r>
              <w:rPr>
                <w:i/>
              </w:rPr>
              <w:t>e-3</w:t>
            </w:r>
          </w:p>
        </w:tc>
      </w:tr>
      <w:tr w:rsidR="00AB4E36" w14:paraId="51360F50" w14:textId="77777777" w:rsidTr="00AB4E36">
        <w:tc>
          <w:tcPr>
            <w:tcW w:w="2617" w:type="dxa"/>
          </w:tcPr>
          <w:p w14:paraId="5AFCA8E6" w14:textId="08E73AE6" w:rsidR="00AB4E36" w:rsidRDefault="00AB4E36" w:rsidP="00AB4E36">
            <w:pPr>
              <w:spacing w:after="0"/>
              <w:jc w:val="center"/>
            </w:pPr>
            <w:r>
              <w:rPr>
                <w:i/>
              </w:rPr>
              <w:t>0.725&lt;</w:t>
            </w:r>
            <w:proofErr w:type="spellStart"/>
            <w:r w:rsidRPr="00707D21">
              <w:rPr>
                <w:i/>
              </w:rPr>
              <w:t>CBRmeasured</w:t>
            </w:r>
            <w:proofErr w:type="spellEnd"/>
            <w:r w:rsidRPr="00707D21">
              <w:rPr>
                <w:i/>
              </w:rPr>
              <w:t xml:space="preserve"> ≤ 0.</w:t>
            </w:r>
            <w:r>
              <w:rPr>
                <w:i/>
              </w:rPr>
              <w:t>75</w:t>
            </w:r>
          </w:p>
        </w:tc>
        <w:tc>
          <w:tcPr>
            <w:tcW w:w="1011" w:type="dxa"/>
          </w:tcPr>
          <w:p w14:paraId="29E855F3" w14:textId="382B213C" w:rsidR="00AB4E36" w:rsidRDefault="00AB4E36" w:rsidP="0043533D">
            <w:pPr>
              <w:spacing w:after="0"/>
              <w:jc w:val="center"/>
            </w:pPr>
            <w:r>
              <w:rPr>
                <w:i/>
              </w:rPr>
              <w:t>1.</w:t>
            </w:r>
            <w:r w:rsidR="0043533D">
              <w:rPr>
                <w:i/>
              </w:rPr>
              <w:t>3</w:t>
            </w:r>
            <w:r>
              <w:rPr>
                <w:i/>
              </w:rPr>
              <w:t>e-3</w:t>
            </w:r>
          </w:p>
        </w:tc>
      </w:tr>
      <w:tr w:rsidR="00AB4E36" w14:paraId="79363A2E" w14:textId="77777777" w:rsidTr="00AB4E36">
        <w:trPr>
          <w:trHeight w:val="85"/>
        </w:trPr>
        <w:tc>
          <w:tcPr>
            <w:tcW w:w="2617" w:type="dxa"/>
          </w:tcPr>
          <w:p w14:paraId="21F64735" w14:textId="35B2AC2D" w:rsidR="00AB4E36" w:rsidRDefault="00AB4E36" w:rsidP="00AB4E36">
            <w:pPr>
              <w:spacing w:after="0"/>
              <w:jc w:val="center"/>
            </w:pPr>
            <w:r>
              <w:rPr>
                <w:i/>
              </w:rPr>
              <w:t>0.75&lt;</w:t>
            </w:r>
            <w:proofErr w:type="spellStart"/>
            <w:r w:rsidRPr="00707D21">
              <w:rPr>
                <w:i/>
              </w:rPr>
              <w:t>CBRmeasured</w:t>
            </w:r>
            <w:proofErr w:type="spellEnd"/>
            <w:r w:rsidRPr="00707D21">
              <w:rPr>
                <w:i/>
              </w:rPr>
              <w:t xml:space="preserve"> ≤ 0.</w:t>
            </w:r>
            <w:r>
              <w:rPr>
                <w:i/>
              </w:rPr>
              <w:t>775</w:t>
            </w:r>
          </w:p>
        </w:tc>
        <w:tc>
          <w:tcPr>
            <w:tcW w:w="1011" w:type="dxa"/>
          </w:tcPr>
          <w:p w14:paraId="00167940" w14:textId="3E5278BE" w:rsidR="00AB4E36" w:rsidRDefault="00AB4E36" w:rsidP="0043533D">
            <w:pPr>
              <w:spacing w:after="0"/>
              <w:jc w:val="center"/>
            </w:pPr>
            <w:r>
              <w:rPr>
                <w:i/>
              </w:rPr>
              <w:t>1.</w:t>
            </w:r>
            <w:r w:rsidR="0043533D">
              <w:rPr>
                <w:i/>
              </w:rPr>
              <w:t>2</w:t>
            </w:r>
            <w:r>
              <w:rPr>
                <w:i/>
              </w:rPr>
              <w:t>e-3</w:t>
            </w:r>
          </w:p>
        </w:tc>
      </w:tr>
      <w:tr w:rsidR="00AB4E36" w14:paraId="6D13E133" w14:textId="77777777" w:rsidTr="00AB4E36">
        <w:trPr>
          <w:trHeight w:val="85"/>
        </w:trPr>
        <w:tc>
          <w:tcPr>
            <w:tcW w:w="2617" w:type="dxa"/>
          </w:tcPr>
          <w:p w14:paraId="7A19A107" w14:textId="6F3790B4" w:rsidR="00AB4E36" w:rsidRDefault="00AB4E36" w:rsidP="00AB4E36">
            <w:pPr>
              <w:spacing w:after="0"/>
              <w:jc w:val="center"/>
              <w:rPr>
                <w:i/>
              </w:rPr>
            </w:pPr>
            <w:r>
              <w:rPr>
                <w:i/>
              </w:rPr>
              <w:t>0.8&lt;</w:t>
            </w:r>
            <w:proofErr w:type="spellStart"/>
            <w:r w:rsidRPr="00707D21">
              <w:rPr>
                <w:i/>
              </w:rPr>
              <w:t>CBRmeasured</w:t>
            </w:r>
            <w:proofErr w:type="spellEnd"/>
            <w:r>
              <w:rPr>
                <w:i/>
              </w:rPr>
              <w:t xml:space="preserve"> ≤ 0.825</w:t>
            </w:r>
          </w:p>
        </w:tc>
        <w:tc>
          <w:tcPr>
            <w:tcW w:w="1011" w:type="dxa"/>
          </w:tcPr>
          <w:p w14:paraId="44438360" w14:textId="7586C883" w:rsidR="00AB4E36" w:rsidRDefault="00AB4E36" w:rsidP="0043533D">
            <w:pPr>
              <w:spacing w:after="0"/>
              <w:jc w:val="center"/>
            </w:pPr>
            <w:r>
              <w:rPr>
                <w:i/>
              </w:rPr>
              <w:t>1.</w:t>
            </w:r>
            <w:r w:rsidR="0043533D">
              <w:rPr>
                <w:i/>
              </w:rPr>
              <w:t>1</w:t>
            </w:r>
            <w:r>
              <w:rPr>
                <w:i/>
              </w:rPr>
              <w:t>e-3</w:t>
            </w:r>
          </w:p>
        </w:tc>
      </w:tr>
      <w:tr w:rsidR="00AB4E36" w14:paraId="2E98CABC" w14:textId="77777777" w:rsidTr="00AB4E36">
        <w:trPr>
          <w:trHeight w:val="85"/>
        </w:trPr>
        <w:tc>
          <w:tcPr>
            <w:tcW w:w="2617" w:type="dxa"/>
          </w:tcPr>
          <w:p w14:paraId="16A08152" w14:textId="7E3A1403" w:rsidR="00AB4E36" w:rsidRDefault="00AB4E36" w:rsidP="00AB4E36">
            <w:pPr>
              <w:spacing w:after="0"/>
              <w:jc w:val="center"/>
              <w:rPr>
                <w:i/>
              </w:rPr>
            </w:pPr>
            <w:r>
              <w:rPr>
                <w:i/>
              </w:rPr>
              <w:t>0.825&lt;</w:t>
            </w:r>
            <w:proofErr w:type="spellStart"/>
            <w:r w:rsidRPr="00707D21">
              <w:rPr>
                <w:i/>
              </w:rPr>
              <w:t>CBRmeasured</w:t>
            </w:r>
            <w:proofErr w:type="spellEnd"/>
            <w:r>
              <w:rPr>
                <w:i/>
              </w:rPr>
              <w:t xml:space="preserve"> ≤ 0.85</w:t>
            </w:r>
          </w:p>
        </w:tc>
        <w:tc>
          <w:tcPr>
            <w:tcW w:w="1011" w:type="dxa"/>
          </w:tcPr>
          <w:p w14:paraId="268DF265" w14:textId="4F4138AA" w:rsidR="00AB4E36" w:rsidRDefault="00AB4E36" w:rsidP="0043533D">
            <w:pPr>
              <w:spacing w:after="0"/>
              <w:jc w:val="center"/>
            </w:pPr>
            <w:r>
              <w:rPr>
                <w:i/>
              </w:rPr>
              <w:t>1.</w:t>
            </w:r>
            <w:r w:rsidR="0043533D">
              <w:rPr>
                <w:i/>
              </w:rPr>
              <w:t>1</w:t>
            </w:r>
            <w:r>
              <w:rPr>
                <w:i/>
              </w:rPr>
              <w:t>e-3</w:t>
            </w:r>
          </w:p>
        </w:tc>
      </w:tr>
      <w:tr w:rsidR="00AB4E36" w14:paraId="16724AA0" w14:textId="77777777" w:rsidTr="00AB4E36">
        <w:trPr>
          <w:trHeight w:val="85"/>
        </w:trPr>
        <w:tc>
          <w:tcPr>
            <w:tcW w:w="2617" w:type="dxa"/>
          </w:tcPr>
          <w:p w14:paraId="4DC3C108" w14:textId="380CE50D" w:rsidR="00AB4E36" w:rsidRDefault="00AB4E36" w:rsidP="00AB4E36">
            <w:pPr>
              <w:spacing w:after="0"/>
              <w:jc w:val="center"/>
              <w:rPr>
                <w:i/>
              </w:rPr>
            </w:pPr>
            <w:r>
              <w:rPr>
                <w:i/>
              </w:rPr>
              <w:t>0.85&lt;</w:t>
            </w:r>
            <w:proofErr w:type="spellStart"/>
            <w:r w:rsidRPr="00707D21">
              <w:rPr>
                <w:i/>
              </w:rPr>
              <w:t>CBRmeasured</w:t>
            </w:r>
            <w:proofErr w:type="spellEnd"/>
            <w:r>
              <w:rPr>
                <w:i/>
              </w:rPr>
              <w:t xml:space="preserve"> ≤ 0.875</w:t>
            </w:r>
          </w:p>
        </w:tc>
        <w:tc>
          <w:tcPr>
            <w:tcW w:w="1011" w:type="dxa"/>
          </w:tcPr>
          <w:p w14:paraId="69D11DD4" w14:textId="50F77DDD" w:rsidR="00AB4E36" w:rsidRDefault="00AB4E36" w:rsidP="0043533D">
            <w:pPr>
              <w:spacing w:after="0"/>
              <w:jc w:val="center"/>
            </w:pPr>
            <w:r>
              <w:rPr>
                <w:i/>
              </w:rPr>
              <w:t>1.</w:t>
            </w:r>
            <w:r w:rsidR="0043533D">
              <w:rPr>
                <w:i/>
              </w:rPr>
              <w:t>0</w:t>
            </w:r>
            <w:r>
              <w:rPr>
                <w:i/>
              </w:rPr>
              <w:t>e-3</w:t>
            </w:r>
          </w:p>
        </w:tc>
      </w:tr>
      <w:tr w:rsidR="0043533D" w14:paraId="6E78B31E" w14:textId="77777777" w:rsidTr="00AB4E36">
        <w:trPr>
          <w:trHeight w:val="85"/>
        </w:trPr>
        <w:tc>
          <w:tcPr>
            <w:tcW w:w="2617" w:type="dxa"/>
          </w:tcPr>
          <w:p w14:paraId="1F12DB28" w14:textId="19C0F333" w:rsidR="0043533D" w:rsidRDefault="0043533D" w:rsidP="00AB4E36">
            <w:pPr>
              <w:spacing w:after="0"/>
              <w:jc w:val="center"/>
              <w:rPr>
                <w:i/>
              </w:rPr>
            </w:pPr>
            <w:r>
              <w:rPr>
                <w:i/>
              </w:rPr>
              <w:t>0.875&lt;</w:t>
            </w:r>
            <w:proofErr w:type="spellStart"/>
            <w:r w:rsidRPr="00707D21">
              <w:rPr>
                <w:i/>
              </w:rPr>
              <w:t>CBRmeasured</w:t>
            </w:r>
            <w:proofErr w:type="spellEnd"/>
          </w:p>
        </w:tc>
        <w:tc>
          <w:tcPr>
            <w:tcW w:w="1011" w:type="dxa"/>
          </w:tcPr>
          <w:p w14:paraId="316E45CE" w14:textId="6DD47EB9" w:rsidR="0043533D" w:rsidRDefault="0043533D" w:rsidP="00AB4E36">
            <w:pPr>
              <w:spacing w:after="0"/>
              <w:jc w:val="center"/>
              <w:rPr>
                <w:i/>
              </w:rPr>
            </w:pPr>
            <w:r>
              <w:rPr>
                <w:i/>
              </w:rPr>
              <w:t>0.8e-3</w:t>
            </w:r>
          </w:p>
        </w:tc>
      </w:tr>
    </w:tbl>
    <w:p w14:paraId="5E0750E1" w14:textId="51E813D4" w:rsidR="00DB3165" w:rsidRDefault="00DB3165" w:rsidP="00AB4E36">
      <w:pPr>
        <w:pStyle w:val="ListParagraph"/>
        <w:ind w:left="1440"/>
        <w:jc w:val="both"/>
      </w:pPr>
    </w:p>
    <w:p w14:paraId="03AFDC05" w14:textId="77777777" w:rsidR="00765481" w:rsidRDefault="00765481">
      <w:pPr>
        <w:jc w:val="both"/>
        <w:rPr>
          <w:b/>
        </w:rPr>
      </w:pPr>
    </w:p>
    <w:p w14:paraId="765F839C" w14:textId="74087650" w:rsidR="00523912" w:rsidRPr="00F873E4" w:rsidRDefault="00523912">
      <w:pPr>
        <w:jc w:val="both"/>
        <w:rPr>
          <w:b/>
        </w:rPr>
      </w:pPr>
      <w:r w:rsidRPr="00F873E4">
        <w:rPr>
          <w:b/>
        </w:rPr>
        <w:t>Simulation Result 1:</w:t>
      </w:r>
    </w:p>
    <w:p w14:paraId="5BD871B5" w14:textId="51FCAA46" w:rsidR="00523912" w:rsidRDefault="00523912">
      <w:pPr>
        <w:jc w:val="both"/>
      </w:pPr>
      <w:r>
        <w:t xml:space="preserve">We first study the performance of the proposed DCC mechanism by introducing UEs in the simulation over time. We introduce 10% (236 UEs) of the UEs every 1 sec and then investigate the CBR with/without DCC enabled at the UE. </w:t>
      </w:r>
      <w:r w:rsidR="00765481">
        <w:fldChar w:fldCharType="begin"/>
      </w:r>
      <w:r w:rsidR="00765481">
        <w:instrText xml:space="preserve"> REF _Ref458761806 \h </w:instrText>
      </w:r>
      <w:r w:rsidR="00765481">
        <w:fldChar w:fldCharType="separate"/>
      </w:r>
      <w:r w:rsidR="00765481" w:rsidRPr="00555B25">
        <w:t xml:space="preserve">Figure </w:t>
      </w:r>
      <w:r w:rsidR="00765481">
        <w:rPr>
          <w:noProof/>
        </w:rPr>
        <w:t>4</w:t>
      </w:r>
      <w:r w:rsidR="00765481">
        <w:fldChar w:fldCharType="end"/>
      </w:r>
      <w:r w:rsidR="00765481">
        <w:t xml:space="preserve"> </w:t>
      </w:r>
      <w:r>
        <w:t>shows the results for CBR vs time for the case of urban 15kmph with max traffic (100ms periodicity) under this simulation setup. It can be observed, that CBR with DCC enabled settles to a value close the desired limit (0.65).</w:t>
      </w:r>
    </w:p>
    <w:p w14:paraId="3740C796" w14:textId="7CABF545" w:rsidR="00B84852" w:rsidRDefault="00523912" w:rsidP="00B84852">
      <w:pPr>
        <w:keepNext/>
        <w:jc w:val="center"/>
      </w:pPr>
      <w:r w:rsidRPr="00523912">
        <w:rPr>
          <w:noProof/>
          <w:lang w:val="en-US"/>
        </w:rPr>
        <w:lastRenderedPageBreak/>
        <w:drawing>
          <wp:inline distT="0" distB="0" distL="0" distR="0" wp14:anchorId="726E41B8" wp14:editId="2FBE4845">
            <wp:extent cx="3704896" cy="277711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0173" cy="2826045"/>
                    </a:xfrm>
                    <a:prstGeom prst="rect">
                      <a:avLst/>
                    </a:prstGeom>
                    <a:noFill/>
                    <a:ln>
                      <a:noFill/>
                    </a:ln>
                  </pic:spPr>
                </pic:pic>
              </a:graphicData>
            </a:graphic>
          </wp:inline>
        </w:drawing>
      </w:r>
      <w:r w:rsidR="00B84852" w:rsidRPr="00B84852">
        <w:rPr>
          <w:noProof/>
          <w:lang w:val="en-US"/>
        </w:rPr>
        <w:t xml:space="preserve"> </w:t>
      </w:r>
    </w:p>
    <w:p w14:paraId="71DF1F50" w14:textId="204F089B" w:rsidR="00B9023B" w:rsidRPr="00555B25" w:rsidRDefault="00B84852" w:rsidP="00B52B5E">
      <w:pPr>
        <w:pStyle w:val="Caption"/>
        <w:jc w:val="center"/>
      </w:pPr>
      <w:bookmarkStart w:id="5" w:name="_Ref458761806"/>
      <w:r w:rsidRPr="00555B25">
        <w:t xml:space="preserve">Figure </w:t>
      </w:r>
      <w:r w:rsidRPr="00F873E4">
        <w:fldChar w:fldCharType="begin"/>
      </w:r>
      <w:r w:rsidRPr="00555B25">
        <w:instrText xml:space="preserve"> SEQ Figure \* ARABIC </w:instrText>
      </w:r>
      <w:r w:rsidRPr="00F873E4">
        <w:fldChar w:fldCharType="separate"/>
      </w:r>
      <w:r w:rsidR="00765481">
        <w:rPr>
          <w:noProof/>
        </w:rPr>
        <w:t>4</w:t>
      </w:r>
      <w:r w:rsidRPr="00F873E4">
        <w:fldChar w:fldCharType="end"/>
      </w:r>
      <w:bookmarkEnd w:id="5"/>
      <w:r w:rsidR="00123423" w:rsidRPr="00555B25">
        <w:t>: CBR vs Time</w:t>
      </w:r>
      <w:r w:rsidR="00F337F3" w:rsidRPr="00555B25">
        <w:t xml:space="preserve"> for LTE-V2V system with and without DCC</w:t>
      </w:r>
    </w:p>
    <w:p w14:paraId="13D487C0" w14:textId="77777777" w:rsidR="00765481" w:rsidRDefault="00765481" w:rsidP="00523912">
      <w:pPr>
        <w:jc w:val="both"/>
        <w:rPr>
          <w:b/>
        </w:rPr>
      </w:pPr>
    </w:p>
    <w:p w14:paraId="204D506E" w14:textId="31E75C81" w:rsidR="00523912" w:rsidRPr="004D5CBA" w:rsidRDefault="00523912" w:rsidP="00523912">
      <w:pPr>
        <w:jc w:val="both"/>
        <w:rPr>
          <w:b/>
        </w:rPr>
      </w:pPr>
      <w:r w:rsidRPr="004D5CBA">
        <w:rPr>
          <w:b/>
        </w:rPr>
        <w:t xml:space="preserve">Simulation Result </w:t>
      </w:r>
      <w:r>
        <w:rPr>
          <w:b/>
        </w:rPr>
        <w:t>2</w:t>
      </w:r>
      <w:r w:rsidRPr="004D5CBA">
        <w:rPr>
          <w:b/>
        </w:rPr>
        <w:t>:</w:t>
      </w:r>
    </w:p>
    <w:p w14:paraId="4D3C3DAB" w14:textId="4455851E" w:rsidR="001A329F" w:rsidRDefault="00523912" w:rsidP="00F873E4">
      <w:r>
        <w:t>The following results are presented to justify the performance of DCC, and also to justify the improvements of DCC on the system performance. We provide results for both urban and freeway scenarios with varying car densities and look at the average CBR performance and the PRR vs distance performance with/without DCC.</w:t>
      </w:r>
    </w:p>
    <w:p w14:paraId="1FE0B581" w14:textId="76F581C5" w:rsidR="00555B25" w:rsidRDefault="00555B25" w:rsidP="00F873E4">
      <w:r>
        <w:t xml:space="preserve">From the results it can be seen that the CBR settles close to the desired limit (0.65), and significant improvement in PRR vs distance is observed (for high densities) when DCC is enabled.  </w:t>
      </w:r>
    </w:p>
    <w:p w14:paraId="4380471F" w14:textId="77777777" w:rsidR="00765481" w:rsidRDefault="00765481" w:rsidP="00F873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1A329F" w14:paraId="73270F77" w14:textId="77777777" w:rsidTr="00765481">
        <w:tc>
          <w:tcPr>
            <w:tcW w:w="9350" w:type="dxa"/>
            <w:gridSpan w:val="2"/>
            <w:shd w:val="clear" w:color="auto" w:fill="DEEAF6" w:themeFill="accent1" w:themeFillTint="33"/>
          </w:tcPr>
          <w:p w14:paraId="3D1F41AB" w14:textId="02D99BB2" w:rsidR="001A329F" w:rsidRPr="00F873E4" w:rsidRDefault="00E176BE" w:rsidP="00F873E4">
            <w:pPr>
              <w:tabs>
                <w:tab w:val="left" w:pos="3905"/>
                <w:tab w:val="center" w:pos="4567"/>
              </w:tabs>
              <w:spacing w:after="0"/>
              <w:rPr>
                <w:b/>
              </w:rPr>
            </w:pPr>
            <w:r w:rsidRPr="00F873E4">
              <w:rPr>
                <w:b/>
              </w:rPr>
              <w:tab/>
            </w:r>
            <w:r w:rsidRPr="00F873E4">
              <w:rPr>
                <w:b/>
              </w:rPr>
              <w:tab/>
            </w:r>
            <w:r w:rsidR="001A329F" w:rsidRPr="00F873E4">
              <w:rPr>
                <w:b/>
              </w:rPr>
              <w:t>Urban 15kmph</w:t>
            </w:r>
          </w:p>
        </w:tc>
      </w:tr>
      <w:tr w:rsidR="00555B25" w14:paraId="4AD949DF" w14:textId="77777777" w:rsidTr="00765481">
        <w:tc>
          <w:tcPr>
            <w:tcW w:w="4659" w:type="dxa"/>
          </w:tcPr>
          <w:p w14:paraId="22AB8390" w14:textId="77777777" w:rsidR="00555B25" w:rsidRDefault="001A329F" w:rsidP="00F873E4">
            <w:pPr>
              <w:keepNext/>
            </w:pPr>
            <w:r w:rsidRPr="001A329F">
              <w:rPr>
                <w:noProof/>
                <w:lang w:val="en-US"/>
              </w:rPr>
              <w:drawing>
                <wp:inline distT="0" distB="0" distL="0" distR="0" wp14:anchorId="551F3C5D" wp14:editId="7F81078B">
                  <wp:extent cx="3108960" cy="23332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2495" cy="2350864"/>
                          </a:xfrm>
                          <a:prstGeom prst="rect">
                            <a:avLst/>
                          </a:prstGeom>
                          <a:noFill/>
                          <a:ln>
                            <a:noFill/>
                          </a:ln>
                        </pic:spPr>
                      </pic:pic>
                    </a:graphicData>
                  </a:graphic>
                </wp:inline>
              </w:drawing>
            </w:r>
          </w:p>
          <w:p w14:paraId="3C8939F9" w14:textId="474E7B2A" w:rsidR="001A329F" w:rsidRDefault="00555B25" w:rsidP="00F873E4">
            <w:pPr>
              <w:pStyle w:val="Caption"/>
              <w:jc w:val="center"/>
            </w:pPr>
            <w:r>
              <w:t xml:space="preserve">Figure </w:t>
            </w:r>
            <w:r>
              <w:fldChar w:fldCharType="begin"/>
            </w:r>
            <w:r>
              <w:instrText xml:space="preserve"> SEQ Figure \* ARABIC </w:instrText>
            </w:r>
            <w:r>
              <w:fldChar w:fldCharType="separate"/>
            </w:r>
            <w:r w:rsidR="00765481">
              <w:rPr>
                <w:noProof/>
              </w:rPr>
              <w:t>5</w:t>
            </w:r>
            <w:r>
              <w:fldChar w:fldCharType="end"/>
            </w:r>
            <w:r>
              <w:t>: CBR vs Time for urban 15kmphr with varying car densities (with/without DCC)</w:t>
            </w:r>
          </w:p>
        </w:tc>
        <w:tc>
          <w:tcPr>
            <w:tcW w:w="4691" w:type="dxa"/>
          </w:tcPr>
          <w:p w14:paraId="2DC8C61E" w14:textId="77777777" w:rsidR="00555B25" w:rsidRDefault="001A329F" w:rsidP="00F873E4">
            <w:pPr>
              <w:keepNext/>
            </w:pPr>
            <w:r w:rsidRPr="001A329F">
              <w:rPr>
                <w:noProof/>
                <w:lang w:val="en-US"/>
              </w:rPr>
              <w:drawing>
                <wp:inline distT="0" distB="0" distL="0" distR="0" wp14:anchorId="1D8B2517" wp14:editId="6F5F4C8C">
                  <wp:extent cx="3108680" cy="23329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33942" cy="2351948"/>
                          </a:xfrm>
                          <a:prstGeom prst="rect">
                            <a:avLst/>
                          </a:prstGeom>
                          <a:noFill/>
                          <a:ln>
                            <a:noFill/>
                          </a:ln>
                        </pic:spPr>
                      </pic:pic>
                    </a:graphicData>
                  </a:graphic>
                </wp:inline>
              </w:drawing>
            </w:r>
          </w:p>
          <w:p w14:paraId="7781D51A" w14:textId="097354D2" w:rsidR="001A329F" w:rsidRDefault="00555B25" w:rsidP="00F873E4">
            <w:pPr>
              <w:pStyle w:val="Caption"/>
              <w:jc w:val="center"/>
            </w:pPr>
            <w:r>
              <w:t xml:space="preserve">Figure </w:t>
            </w:r>
            <w:r>
              <w:fldChar w:fldCharType="begin"/>
            </w:r>
            <w:r>
              <w:instrText xml:space="preserve"> SEQ Figure \* ARABIC </w:instrText>
            </w:r>
            <w:r>
              <w:fldChar w:fldCharType="separate"/>
            </w:r>
            <w:r w:rsidR="00765481">
              <w:rPr>
                <w:noProof/>
              </w:rPr>
              <w:t>6</w:t>
            </w:r>
            <w:r>
              <w:fldChar w:fldCharType="end"/>
            </w:r>
            <w:r>
              <w:t>: PRR vs Distance for urban 15kmphr with varying car densities (with/without DCC)</w:t>
            </w:r>
          </w:p>
        </w:tc>
      </w:tr>
    </w:tbl>
    <w:p w14:paraId="1B16B70B" w14:textId="2C71B1C3" w:rsidR="001A329F" w:rsidRDefault="001A329F" w:rsidP="00F873E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6"/>
      </w:tblGrid>
      <w:tr w:rsidR="00765481" w:rsidRPr="00F873E4" w14:paraId="5FF49EFF" w14:textId="77777777" w:rsidTr="00765481">
        <w:tc>
          <w:tcPr>
            <w:tcW w:w="9360" w:type="dxa"/>
            <w:gridSpan w:val="2"/>
            <w:shd w:val="clear" w:color="auto" w:fill="DEEAF6" w:themeFill="accent1" w:themeFillTint="33"/>
          </w:tcPr>
          <w:p w14:paraId="5EC252F0" w14:textId="77777777" w:rsidR="00765481" w:rsidRPr="00F873E4" w:rsidRDefault="00765481" w:rsidP="005E682D">
            <w:pPr>
              <w:tabs>
                <w:tab w:val="left" w:pos="3331"/>
                <w:tab w:val="center" w:pos="4567"/>
              </w:tabs>
              <w:spacing w:after="0"/>
              <w:rPr>
                <w:b/>
              </w:rPr>
            </w:pPr>
            <w:r w:rsidRPr="00F873E4">
              <w:rPr>
                <w:b/>
              </w:rPr>
              <w:lastRenderedPageBreak/>
              <w:tab/>
            </w:r>
            <w:r w:rsidRPr="00F873E4">
              <w:rPr>
                <w:b/>
              </w:rPr>
              <w:tab/>
              <w:t>Freeway 70kmph</w:t>
            </w:r>
          </w:p>
        </w:tc>
      </w:tr>
      <w:tr w:rsidR="00765481" w14:paraId="77967886" w14:textId="77777777" w:rsidTr="00765481">
        <w:tc>
          <w:tcPr>
            <w:tcW w:w="4664" w:type="dxa"/>
          </w:tcPr>
          <w:p w14:paraId="4684865C" w14:textId="77777777" w:rsidR="00765481" w:rsidRDefault="00765481" w:rsidP="005E682D">
            <w:pPr>
              <w:keepNext/>
              <w:jc w:val="center"/>
            </w:pPr>
            <w:r w:rsidRPr="00555B25">
              <w:rPr>
                <w:noProof/>
                <w:lang w:val="en-US"/>
              </w:rPr>
              <w:drawing>
                <wp:inline distT="0" distB="0" distL="0" distR="0" wp14:anchorId="629AA41D" wp14:editId="6196DB0D">
                  <wp:extent cx="3108960" cy="23306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6014" cy="2365949"/>
                          </a:xfrm>
                          <a:prstGeom prst="rect">
                            <a:avLst/>
                          </a:prstGeom>
                          <a:noFill/>
                          <a:ln>
                            <a:noFill/>
                          </a:ln>
                        </pic:spPr>
                      </pic:pic>
                    </a:graphicData>
                  </a:graphic>
                </wp:inline>
              </w:drawing>
            </w:r>
          </w:p>
          <w:p w14:paraId="65235C93" w14:textId="72337D78" w:rsidR="00765481" w:rsidRDefault="00765481" w:rsidP="005E682D">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CBR vs Time for freeway 70kmphr with varying car densities (with/without DCC)</w:t>
            </w:r>
          </w:p>
        </w:tc>
        <w:tc>
          <w:tcPr>
            <w:tcW w:w="4696" w:type="dxa"/>
          </w:tcPr>
          <w:p w14:paraId="18A3557C" w14:textId="77777777" w:rsidR="00765481" w:rsidRDefault="00765481" w:rsidP="005E682D">
            <w:pPr>
              <w:keepNext/>
              <w:jc w:val="center"/>
            </w:pPr>
            <w:r w:rsidRPr="00555B25">
              <w:rPr>
                <w:noProof/>
                <w:lang w:val="en-US"/>
              </w:rPr>
              <w:drawing>
                <wp:inline distT="0" distB="0" distL="0" distR="0" wp14:anchorId="735E7EDA" wp14:editId="0B355813">
                  <wp:extent cx="3131718" cy="23477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67736" cy="2374740"/>
                          </a:xfrm>
                          <a:prstGeom prst="rect">
                            <a:avLst/>
                          </a:prstGeom>
                          <a:noFill/>
                          <a:ln>
                            <a:noFill/>
                          </a:ln>
                        </pic:spPr>
                      </pic:pic>
                    </a:graphicData>
                  </a:graphic>
                </wp:inline>
              </w:drawing>
            </w:r>
          </w:p>
          <w:p w14:paraId="4D1346F8" w14:textId="32F10A43" w:rsidR="00765481" w:rsidRDefault="00765481" w:rsidP="005E682D">
            <w:pPr>
              <w:pStyle w:val="Caption"/>
              <w:jc w:val="center"/>
            </w:pPr>
            <w:r>
              <w:t xml:space="preserve">Figure </w:t>
            </w:r>
            <w:r>
              <w:fldChar w:fldCharType="begin"/>
            </w:r>
            <w:r>
              <w:instrText xml:space="preserve"> SEQ Figure \* ARABIC </w:instrText>
            </w:r>
            <w:r>
              <w:fldChar w:fldCharType="separate"/>
            </w:r>
            <w:r>
              <w:rPr>
                <w:noProof/>
              </w:rPr>
              <w:t>8</w:t>
            </w:r>
            <w:r>
              <w:fldChar w:fldCharType="end"/>
            </w:r>
            <w:r>
              <w:t>: PRR vs Distance for freeway 70kmphr with varying car densities (with/without DCC)</w:t>
            </w:r>
          </w:p>
        </w:tc>
      </w:tr>
    </w:tbl>
    <w:p w14:paraId="7F2773CA" w14:textId="497C4DA1" w:rsidR="00765481" w:rsidRDefault="00765481" w:rsidP="00F873E4"/>
    <w:p w14:paraId="53524841" w14:textId="583B526F" w:rsidR="00F9749E" w:rsidRDefault="00B35EF7" w:rsidP="00F9749E">
      <w:pPr>
        <w:pStyle w:val="Heading1"/>
      </w:pPr>
      <w:r>
        <w:rPr>
          <w:i/>
        </w:rPr>
        <w:t>7</w:t>
      </w:r>
      <w:r w:rsidR="00F9749E">
        <w:tab/>
        <w:t>Conclusion</w:t>
      </w:r>
    </w:p>
    <w:p w14:paraId="30CFE7AF" w14:textId="6634DC06" w:rsidR="00FF2888" w:rsidRDefault="00E8280A" w:rsidP="00FF2888">
      <w:pPr>
        <w:jc w:val="both"/>
      </w:pPr>
      <w:r>
        <w:t>In this contribution</w:t>
      </w:r>
      <w:r w:rsidR="000A49C8">
        <w:t xml:space="preserve"> we made the following proposal</w:t>
      </w:r>
      <w:r>
        <w:t xml:space="preserve"> and observations.</w:t>
      </w:r>
    </w:p>
    <w:p w14:paraId="43353CBB" w14:textId="0E768C01" w:rsidR="001C12F4" w:rsidRPr="0071756E" w:rsidRDefault="003353A4" w:rsidP="00FF2888">
      <w:pPr>
        <w:jc w:val="both"/>
        <w:rPr>
          <w:i/>
          <w:u w:val="single"/>
        </w:rPr>
      </w:pPr>
      <w:r w:rsidRPr="0071756E">
        <w:rPr>
          <w:i/>
          <w:u w:val="single"/>
        </w:rPr>
        <w:t>(Channel Busy Ratio Measurement)</w:t>
      </w:r>
    </w:p>
    <w:p w14:paraId="228A370E" w14:textId="77777777" w:rsidR="003353A4" w:rsidRDefault="003353A4" w:rsidP="003353A4">
      <w:pPr>
        <w:overflowPunct/>
        <w:autoSpaceDE/>
        <w:autoSpaceDN/>
        <w:adjustRightInd/>
        <w:spacing w:after="0"/>
        <w:jc w:val="both"/>
        <w:textAlignment w:val="auto"/>
        <w:rPr>
          <w:i/>
          <w:lang w:eastAsia="ko-KR"/>
        </w:rPr>
      </w:pPr>
      <w:r w:rsidRPr="009D002E">
        <w:rPr>
          <w:b/>
          <w:i/>
          <w:lang w:eastAsia="ko-KR"/>
        </w:rPr>
        <w:t xml:space="preserve">Observation </w:t>
      </w:r>
      <w:r>
        <w:rPr>
          <w:b/>
          <w:i/>
          <w:lang w:eastAsia="ko-KR"/>
        </w:rPr>
        <w:t>1</w:t>
      </w:r>
      <w:r w:rsidRPr="009D002E">
        <w:rPr>
          <w:b/>
          <w:i/>
          <w:lang w:eastAsia="ko-KR"/>
        </w:rPr>
        <w:t xml:space="preserve">: </w:t>
      </w:r>
      <w:r w:rsidRPr="009D002E">
        <w:rPr>
          <w:i/>
          <w:lang w:eastAsia="ko-KR"/>
        </w:rPr>
        <w:t>Congestion control should not be based on congestion measurement over only a part of the resource pool, i.e., only the data resource pool.</w:t>
      </w:r>
    </w:p>
    <w:p w14:paraId="2B6ED487" w14:textId="77777777" w:rsidR="003353A4" w:rsidRPr="009D002E" w:rsidRDefault="003353A4" w:rsidP="003353A4">
      <w:pPr>
        <w:overflowPunct/>
        <w:autoSpaceDE/>
        <w:autoSpaceDN/>
        <w:adjustRightInd/>
        <w:spacing w:after="0"/>
        <w:jc w:val="both"/>
        <w:textAlignment w:val="auto"/>
        <w:rPr>
          <w:i/>
          <w:lang w:eastAsia="ko-KR"/>
        </w:rPr>
      </w:pPr>
      <w:r w:rsidRPr="009D002E">
        <w:rPr>
          <w:b/>
          <w:i/>
          <w:lang w:eastAsia="ko-KR"/>
        </w:rPr>
        <w:t xml:space="preserve">Observation </w:t>
      </w:r>
      <w:r>
        <w:rPr>
          <w:b/>
          <w:i/>
          <w:lang w:eastAsia="ko-KR"/>
        </w:rPr>
        <w:t>2</w:t>
      </w:r>
      <w:r w:rsidRPr="009D002E">
        <w:rPr>
          <w:b/>
          <w:i/>
          <w:lang w:eastAsia="ko-KR"/>
        </w:rPr>
        <w:t>:</w:t>
      </w:r>
      <w:r>
        <w:rPr>
          <w:i/>
          <w:lang w:eastAsia="ko-KR"/>
        </w:rPr>
        <w:t xml:space="preserve"> It is possible for SA resources to be congested, while data and/or the entire set of resources (for data and SA together) are not congested. </w:t>
      </w:r>
    </w:p>
    <w:p w14:paraId="55DBFA9C" w14:textId="77777777" w:rsidR="003353A4" w:rsidRDefault="003353A4" w:rsidP="003353A4">
      <w:pPr>
        <w:overflowPunct/>
        <w:autoSpaceDE/>
        <w:autoSpaceDN/>
        <w:adjustRightInd/>
        <w:spacing w:after="0"/>
        <w:jc w:val="both"/>
        <w:textAlignment w:val="auto"/>
      </w:pPr>
    </w:p>
    <w:p w14:paraId="732A1C05" w14:textId="77777777" w:rsidR="003353A4" w:rsidRPr="002C7ECF" w:rsidRDefault="003353A4" w:rsidP="003353A4">
      <w:pPr>
        <w:overflowPunct/>
        <w:autoSpaceDE/>
        <w:autoSpaceDN/>
        <w:adjustRightInd/>
        <w:spacing w:after="0"/>
        <w:jc w:val="both"/>
        <w:textAlignment w:val="auto"/>
        <w:rPr>
          <w:i/>
        </w:rPr>
      </w:pPr>
      <w:r w:rsidRPr="002C7ECF">
        <w:rPr>
          <w:b/>
          <w:i/>
        </w:rPr>
        <w:t>Proposal 1</w:t>
      </w:r>
      <w:r w:rsidRPr="002C7ECF">
        <w:rPr>
          <w:i/>
        </w:rPr>
        <w:t>: Confirm the working agreement of 100ms as CBR measurement interval.</w:t>
      </w:r>
    </w:p>
    <w:p w14:paraId="3181D47E" w14:textId="77777777" w:rsidR="003353A4" w:rsidRPr="002C7ECF" w:rsidRDefault="003353A4" w:rsidP="003353A4">
      <w:pPr>
        <w:overflowPunct/>
        <w:autoSpaceDE/>
        <w:autoSpaceDN/>
        <w:adjustRightInd/>
        <w:spacing w:after="0"/>
        <w:jc w:val="both"/>
        <w:textAlignment w:val="auto"/>
        <w:rPr>
          <w:i/>
        </w:rPr>
      </w:pPr>
    </w:p>
    <w:p w14:paraId="5CC1B62C" w14:textId="77777777" w:rsidR="003353A4" w:rsidRPr="002C7ECF" w:rsidRDefault="003353A4" w:rsidP="003353A4">
      <w:pPr>
        <w:overflowPunct/>
        <w:autoSpaceDE/>
        <w:autoSpaceDN/>
        <w:adjustRightInd/>
        <w:spacing w:after="0"/>
        <w:jc w:val="both"/>
        <w:textAlignment w:val="auto"/>
        <w:rPr>
          <w:i/>
        </w:rPr>
      </w:pPr>
      <w:r w:rsidRPr="002C7ECF">
        <w:rPr>
          <w:b/>
          <w:i/>
        </w:rPr>
        <w:t>Proposal 2:</w:t>
      </w:r>
      <w:r w:rsidRPr="002C7ECF">
        <w:rPr>
          <w:i/>
        </w:rPr>
        <w:t xml:space="preserve"> Define separate CBR measurement for SA pool.</w:t>
      </w:r>
    </w:p>
    <w:p w14:paraId="0F1B39EF" w14:textId="74E5C9EB" w:rsidR="003353A4" w:rsidRDefault="003353A4" w:rsidP="00FF2888">
      <w:pPr>
        <w:jc w:val="both"/>
        <w:rPr>
          <w:i/>
        </w:rPr>
      </w:pPr>
    </w:p>
    <w:p w14:paraId="2B46A89C" w14:textId="77777777" w:rsidR="0071756E" w:rsidRPr="0071756E" w:rsidRDefault="0071756E" w:rsidP="0071756E">
      <w:pPr>
        <w:jc w:val="both"/>
        <w:rPr>
          <w:i/>
          <w:u w:val="single"/>
        </w:rPr>
      </w:pPr>
      <w:r w:rsidRPr="0071756E">
        <w:rPr>
          <w:i/>
          <w:u w:val="single"/>
        </w:rPr>
        <w:t>(DCC – generalized framework and discussion)</w:t>
      </w:r>
    </w:p>
    <w:p w14:paraId="50BF3D57" w14:textId="77777777" w:rsidR="0071756E" w:rsidRDefault="0071756E" w:rsidP="0071756E">
      <w:pPr>
        <w:jc w:val="both"/>
        <w:rPr>
          <w:i/>
        </w:rPr>
      </w:pPr>
      <w:r>
        <w:rPr>
          <w:b/>
          <w:i/>
        </w:rPr>
        <w:t>Observation 3</w:t>
      </w:r>
      <w:r w:rsidRPr="00150194">
        <w:rPr>
          <w:b/>
          <w:i/>
        </w:rPr>
        <w:t xml:space="preserve">: </w:t>
      </w:r>
      <w:r>
        <w:rPr>
          <w:i/>
        </w:rPr>
        <w:t>The existing DCC requirements in EN 302 571 are based on the following (generalized) principle</w:t>
      </w:r>
    </w:p>
    <w:p w14:paraId="53A1162F" w14:textId="77777777" w:rsidR="0071756E" w:rsidRDefault="0071756E" w:rsidP="0071756E">
      <w:pPr>
        <w:pStyle w:val="ListParagraph"/>
        <w:numPr>
          <w:ilvl w:val="0"/>
          <w:numId w:val="33"/>
        </w:numPr>
        <w:jc w:val="both"/>
        <w:rPr>
          <w:i/>
        </w:rPr>
      </w:pPr>
      <w:r>
        <w:rPr>
          <w:i/>
        </w:rPr>
        <w:t>Measure channel busy ratio (CBR) as the ratio of resource utilized over a measurement period</w:t>
      </w:r>
    </w:p>
    <w:p w14:paraId="65DCF246" w14:textId="77777777" w:rsidR="0071756E" w:rsidRDefault="0071756E" w:rsidP="0071756E">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6847422A" w14:textId="77777777" w:rsidR="0071756E" w:rsidRDefault="0071756E" w:rsidP="0071756E">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10C24431" w14:textId="77777777" w:rsidR="0071756E" w:rsidRPr="00F873E4" w:rsidRDefault="0071756E" w:rsidP="0071756E">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07BEB3BE" w14:textId="77777777" w:rsidR="0071756E" w:rsidRDefault="0071756E" w:rsidP="0071756E">
      <w:pPr>
        <w:jc w:val="both"/>
        <w:rPr>
          <w:i/>
        </w:rPr>
      </w:pPr>
      <w:r>
        <w:rPr>
          <w:b/>
          <w:i/>
        </w:rPr>
        <w:t>Observation 4</w:t>
      </w:r>
      <w:r w:rsidRPr="00150194">
        <w:rPr>
          <w:b/>
          <w:i/>
        </w:rPr>
        <w:t xml:space="preserve">: </w:t>
      </w:r>
      <w:r>
        <w:rPr>
          <w:i/>
        </w:rPr>
        <w:t>The existing DCC requirements in EN 302 571 are based on the following specialization of the generalized formulation:</w:t>
      </w:r>
    </w:p>
    <w:p w14:paraId="3A022C62" w14:textId="77777777" w:rsidR="0071756E" w:rsidRDefault="0071756E" w:rsidP="0071756E">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w:t>
      </w:r>
      <w:proofErr w:type="gramStart"/>
      <w:r>
        <w:rPr>
          <w:i/>
        </w:rPr>
        <w:t>/(</w:t>
      </w:r>
      <w:proofErr w:type="gramEnd"/>
      <w:r>
        <w:rPr>
          <w:i/>
        </w:rPr>
        <w:t>Ton + Toff))</w:t>
      </w:r>
    </w:p>
    <w:p w14:paraId="006D7376" w14:textId="77777777" w:rsidR="0071756E" w:rsidRDefault="0071756E" w:rsidP="0071756E">
      <w:pPr>
        <w:pStyle w:val="ListParagraph"/>
        <w:numPr>
          <w:ilvl w:val="0"/>
          <w:numId w:val="34"/>
        </w:numPr>
        <w:jc w:val="both"/>
        <w:rPr>
          <w:i/>
        </w:rPr>
      </w:pPr>
      <w:proofErr w:type="gramStart"/>
      <w:r>
        <w:rPr>
          <w:i/>
        </w:rPr>
        <w:t>f(</w:t>
      </w:r>
      <w:proofErr w:type="gramEnd"/>
      <w:r>
        <w:rPr>
          <w:i/>
        </w:rPr>
        <w:t xml:space="preserve">) is assumed to be linear (i.e. CBR = a * </w:t>
      </w:r>
      <w:proofErr w:type="spellStart"/>
      <w:r>
        <w:rPr>
          <w:i/>
        </w:rPr>
        <w:t>Nsta</w:t>
      </w:r>
      <w:proofErr w:type="spellEnd"/>
      <w:r>
        <w:rPr>
          <w:i/>
        </w:rPr>
        <w:t xml:space="preserve"> + b)</w:t>
      </w:r>
    </w:p>
    <w:p w14:paraId="01F330C4" w14:textId="77777777" w:rsidR="0071756E" w:rsidRPr="00CD3FF7" w:rsidRDefault="0071756E" w:rsidP="0071756E">
      <w:pPr>
        <w:jc w:val="both"/>
        <w:rPr>
          <w:i/>
        </w:rPr>
      </w:pPr>
      <w:r w:rsidRPr="00CD3FF7">
        <w:rPr>
          <w:b/>
          <w:i/>
        </w:rPr>
        <w:t xml:space="preserve">Observation 5: </w:t>
      </w:r>
      <w:r w:rsidRPr="00CD3FF7">
        <w:rPr>
          <w:i/>
        </w:rPr>
        <w:t xml:space="preserve">Linear mapping from </w:t>
      </w:r>
      <w:proofErr w:type="spellStart"/>
      <w:r w:rsidRPr="00CD3FF7">
        <w:rPr>
          <w:i/>
        </w:rPr>
        <w:t>N</w:t>
      </w:r>
      <w:r w:rsidRPr="00CD3FF7">
        <w:rPr>
          <w:i/>
          <w:vertAlign w:val="subscript"/>
        </w:rPr>
        <w:t>sta</w:t>
      </w:r>
      <w:proofErr w:type="spellEnd"/>
      <w:r w:rsidRPr="00CD3FF7">
        <w:rPr>
          <w:i/>
        </w:rPr>
        <w:t xml:space="preserve"> to CBR</w:t>
      </w:r>
      <w:r>
        <w:t xml:space="preserve"> </w:t>
      </w:r>
      <w:r w:rsidRPr="00CD3FF7">
        <w:rPr>
          <w:i/>
        </w:rPr>
        <w:t xml:space="preserve">as used in EN 302.571 is not sufficient for LTE-V2V. For LTE-V2V the mapping between CBR and </w:t>
      </w:r>
      <w:proofErr w:type="spellStart"/>
      <w:r w:rsidRPr="00CD3FF7">
        <w:rPr>
          <w:i/>
        </w:rPr>
        <w:t>N</w:t>
      </w:r>
      <w:r w:rsidRPr="00CD3FF7">
        <w:rPr>
          <w:i/>
          <w:vertAlign w:val="subscript"/>
        </w:rPr>
        <w:t>sta</w:t>
      </w:r>
      <w:proofErr w:type="spellEnd"/>
      <w:r w:rsidRPr="00CD3FF7">
        <w:rPr>
          <w:i/>
          <w:vertAlign w:val="subscript"/>
        </w:rPr>
        <w:t xml:space="preserve"> </w:t>
      </w:r>
      <w:r w:rsidRPr="00CD3FF7">
        <w:rPr>
          <w:i/>
        </w:rPr>
        <w:t>should be (pre-) configurable.</w:t>
      </w:r>
    </w:p>
    <w:p w14:paraId="69A279D6" w14:textId="77777777" w:rsidR="0071756E" w:rsidRDefault="0071756E" w:rsidP="0071756E">
      <w:pPr>
        <w:jc w:val="both"/>
      </w:pPr>
      <w:r w:rsidRPr="00585034">
        <w:rPr>
          <w:b/>
          <w:i/>
        </w:rPr>
        <w:lastRenderedPageBreak/>
        <w:t xml:space="preserve">Observation </w:t>
      </w:r>
      <w:r>
        <w:rPr>
          <w:b/>
          <w:i/>
        </w:rPr>
        <w:t>6</w:t>
      </w:r>
      <w:r w:rsidRPr="00585034">
        <w:rPr>
          <w:b/>
          <w:i/>
        </w:rPr>
        <w:t>:</w:t>
      </w:r>
      <w:r>
        <w:rPr>
          <w:i/>
        </w:rPr>
        <w:t xml:space="preserve"> For LTE-V2V a generalized formulation of </w:t>
      </w:r>
      <w:proofErr w:type="spellStart"/>
      <w:r w:rsidRPr="006C3381">
        <w:rPr>
          <w:i/>
        </w:rPr>
        <w:t>CR</w:t>
      </w:r>
      <w:r w:rsidRPr="006C3381">
        <w:rPr>
          <w:i/>
          <w:vertAlign w:val="subscript"/>
        </w:rPr>
        <w:t>limit</w:t>
      </w:r>
      <w:proofErr w:type="spellEnd"/>
      <w:r>
        <w:rPr>
          <w:i/>
        </w:rPr>
        <w:t xml:space="preserve"> should be adopted to account the FDM nature of LTE-V2V and can be considered as limit on the fraction of time-frequency resources occupied.</w:t>
      </w:r>
    </w:p>
    <w:p w14:paraId="1928F9A5" w14:textId="77777777" w:rsidR="0071756E" w:rsidRPr="001129AD" w:rsidRDefault="0071756E" w:rsidP="0071756E">
      <w:pPr>
        <w:jc w:val="both"/>
        <w:rPr>
          <w:b/>
          <w:i/>
        </w:rPr>
      </w:pPr>
      <w:r>
        <w:rPr>
          <w:b/>
          <w:i/>
        </w:rPr>
        <w:t>Observation 7</w:t>
      </w:r>
      <w:r w:rsidRPr="00770461">
        <w:rPr>
          <w:b/>
          <w:i/>
        </w:rPr>
        <w:t>:</w:t>
      </w:r>
      <w:r>
        <w:rPr>
          <w:i/>
        </w:rPr>
        <w:t xml:space="preserve"> For LTE-V2V the </w:t>
      </w:r>
      <w:proofErr w:type="spellStart"/>
      <w:r w:rsidRPr="006C3381">
        <w:rPr>
          <w:i/>
        </w:rPr>
        <w:t>CBR</w:t>
      </w:r>
      <w:r w:rsidRPr="006C3381">
        <w:rPr>
          <w:i/>
          <w:vertAlign w:val="subscript"/>
        </w:rPr>
        <w:t>limit</w:t>
      </w:r>
      <w:proofErr w:type="spellEnd"/>
      <w:r>
        <w:rPr>
          <w:i/>
          <w:vertAlign w:val="subscript"/>
        </w:rPr>
        <w:t xml:space="preserve"> </w:t>
      </w:r>
      <w:r>
        <w:rPr>
          <w:i/>
        </w:rPr>
        <w:t>should be configurable and should be on a PPPP basis.</w:t>
      </w:r>
    </w:p>
    <w:p w14:paraId="53FDF393" w14:textId="77777777" w:rsidR="0071756E" w:rsidRDefault="0071756E" w:rsidP="0071756E">
      <w:pPr>
        <w:rPr>
          <w:i/>
        </w:rPr>
      </w:pPr>
    </w:p>
    <w:p w14:paraId="507636ED" w14:textId="77777777" w:rsidR="0071756E" w:rsidRPr="0071756E" w:rsidRDefault="0071756E" w:rsidP="0071756E">
      <w:pPr>
        <w:rPr>
          <w:i/>
          <w:u w:val="single"/>
        </w:rPr>
      </w:pPr>
      <w:r w:rsidRPr="0071756E">
        <w:rPr>
          <w:i/>
          <w:u w:val="single"/>
        </w:rPr>
        <w:t>(DCC for PC5-based V2X)</w:t>
      </w:r>
    </w:p>
    <w:p w14:paraId="62260AD8" w14:textId="77777777" w:rsidR="0071756E" w:rsidRPr="00707D21" w:rsidRDefault="0071756E" w:rsidP="0071756E">
      <w:pPr>
        <w:jc w:val="both"/>
        <w:rPr>
          <w:i/>
        </w:rPr>
      </w:pPr>
      <w:r w:rsidRPr="00707D21">
        <w:rPr>
          <w:b/>
          <w:i/>
        </w:rPr>
        <w:t>Proposal 3:</w:t>
      </w:r>
      <w:r w:rsidRPr="00707D21">
        <w:rPr>
          <w:i/>
        </w:rPr>
        <w:t xml:space="preserve"> The UE is (pre)configured with the limit on the fraction of radio resources as a function of the CBR measurement, e.g.</w:t>
      </w:r>
    </w:p>
    <w:tbl>
      <w:tblPr>
        <w:tblStyle w:val="TableGrid"/>
        <w:tblW w:w="0" w:type="auto"/>
        <w:tblInd w:w="1165" w:type="dxa"/>
        <w:tblLook w:val="04A0" w:firstRow="1" w:lastRow="0" w:firstColumn="1" w:lastColumn="0" w:noHBand="0" w:noVBand="1"/>
      </w:tblPr>
      <w:tblGrid>
        <w:gridCol w:w="2517"/>
        <w:gridCol w:w="3600"/>
      </w:tblGrid>
      <w:tr w:rsidR="0071756E" w:rsidRPr="00707D21" w14:paraId="64E0FFA3" w14:textId="77777777" w:rsidTr="005E682D">
        <w:tc>
          <w:tcPr>
            <w:tcW w:w="2517" w:type="dxa"/>
          </w:tcPr>
          <w:p w14:paraId="687AFE1F" w14:textId="77777777" w:rsidR="0071756E" w:rsidRPr="00707D21" w:rsidRDefault="0071756E" w:rsidP="005E682D">
            <w:pPr>
              <w:spacing w:after="0"/>
              <w:jc w:val="center"/>
              <w:rPr>
                <w:b/>
                <w:i/>
              </w:rPr>
            </w:pPr>
            <w:proofErr w:type="spellStart"/>
            <w:r w:rsidRPr="00707D21">
              <w:rPr>
                <w:b/>
                <w:i/>
              </w:rPr>
              <w:t>CBRmeasured</w:t>
            </w:r>
            <w:proofErr w:type="spellEnd"/>
          </w:p>
        </w:tc>
        <w:tc>
          <w:tcPr>
            <w:tcW w:w="3600" w:type="dxa"/>
          </w:tcPr>
          <w:p w14:paraId="5173DC8D" w14:textId="77777777" w:rsidR="0071756E" w:rsidRPr="00707D21" w:rsidRDefault="0071756E" w:rsidP="005E682D">
            <w:pPr>
              <w:spacing w:after="0"/>
              <w:jc w:val="center"/>
              <w:rPr>
                <w:b/>
                <w:i/>
              </w:rPr>
            </w:pPr>
            <w:proofErr w:type="spellStart"/>
            <w:r w:rsidRPr="00707D21">
              <w:rPr>
                <w:b/>
                <w:i/>
              </w:rPr>
              <w:t>CRlimit</w:t>
            </w:r>
            <w:proofErr w:type="spellEnd"/>
          </w:p>
        </w:tc>
      </w:tr>
      <w:tr w:rsidR="0071756E" w:rsidRPr="00707D21" w14:paraId="6F0D016B" w14:textId="77777777" w:rsidTr="005E682D">
        <w:tc>
          <w:tcPr>
            <w:tcW w:w="2517" w:type="dxa"/>
          </w:tcPr>
          <w:p w14:paraId="26BBF811" w14:textId="77777777" w:rsidR="0071756E" w:rsidRPr="00707D21" w:rsidRDefault="0071756E" w:rsidP="005E682D">
            <w:pPr>
              <w:spacing w:after="0"/>
              <w:jc w:val="center"/>
              <w:rPr>
                <w:b/>
                <w:i/>
              </w:rPr>
            </w:pPr>
            <w:proofErr w:type="spellStart"/>
            <w:r w:rsidRPr="00707D21">
              <w:rPr>
                <w:i/>
              </w:rPr>
              <w:t>CBRmeasured</w:t>
            </w:r>
            <w:proofErr w:type="spellEnd"/>
            <w:r w:rsidRPr="00707D21">
              <w:rPr>
                <w:i/>
              </w:rPr>
              <w:t xml:space="preserve"> ≤ 0.6</w:t>
            </w:r>
            <w:r>
              <w:rPr>
                <w:i/>
              </w:rPr>
              <w:t>5</w:t>
            </w:r>
          </w:p>
        </w:tc>
        <w:tc>
          <w:tcPr>
            <w:tcW w:w="3600" w:type="dxa"/>
          </w:tcPr>
          <w:p w14:paraId="14287494" w14:textId="77777777" w:rsidR="0071756E" w:rsidRPr="00707D21" w:rsidRDefault="0071756E" w:rsidP="005E682D">
            <w:pPr>
              <w:spacing w:after="0"/>
              <w:jc w:val="center"/>
              <w:rPr>
                <w:i/>
              </w:rPr>
            </w:pPr>
            <w:r w:rsidRPr="00707D21">
              <w:rPr>
                <w:i/>
              </w:rPr>
              <w:t>no limit</w:t>
            </w:r>
          </w:p>
        </w:tc>
      </w:tr>
      <w:tr w:rsidR="0071756E" w:rsidRPr="00707D21" w14:paraId="3F6FAB57" w14:textId="77777777" w:rsidTr="005E682D">
        <w:tc>
          <w:tcPr>
            <w:tcW w:w="2517" w:type="dxa"/>
          </w:tcPr>
          <w:p w14:paraId="60FC53CA" w14:textId="77777777" w:rsidR="0071756E" w:rsidRPr="00707D21" w:rsidRDefault="0071756E" w:rsidP="005E682D">
            <w:pPr>
              <w:spacing w:after="0"/>
              <w:jc w:val="center"/>
              <w:rPr>
                <w:b/>
                <w:i/>
              </w:rPr>
            </w:pPr>
            <w:r w:rsidRPr="00707D21">
              <w:rPr>
                <w:i/>
              </w:rPr>
              <w:t>0.6</w:t>
            </w:r>
            <w:r>
              <w:rPr>
                <w:i/>
              </w:rPr>
              <w:t>5&lt;</w:t>
            </w:r>
            <w:proofErr w:type="spellStart"/>
            <w:r w:rsidRPr="00707D21">
              <w:rPr>
                <w:i/>
              </w:rPr>
              <w:t>CBRmeasured</w:t>
            </w:r>
            <w:proofErr w:type="spellEnd"/>
            <w:r>
              <w:rPr>
                <w:i/>
              </w:rPr>
              <w:t xml:space="preserve"> ≤ 0.7</w:t>
            </w:r>
          </w:p>
        </w:tc>
        <w:tc>
          <w:tcPr>
            <w:tcW w:w="3600" w:type="dxa"/>
          </w:tcPr>
          <w:p w14:paraId="4B275834" w14:textId="77777777" w:rsidR="0071756E" w:rsidRPr="00707D21" w:rsidRDefault="0071756E" w:rsidP="005E682D">
            <w:pPr>
              <w:spacing w:after="0"/>
              <w:jc w:val="center"/>
              <w:rPr>
                <w:i/>
              </w:rPr>
            </w:pPr>
            <w:r>
              <w:rPr>
                <w:i/>
              </w:rPr>
              <w:t>1.7e-3</w:t>
            </w:r>
          </w:p>
        </w:tc>
      </w:tr>
      <w:tr w:rsidR="0071756E" w:rsidRPr="00707D21" w14:paraId="3B0F7ACB" w14:textId="77777777" w:rsidTr="005E682D">
        <w:trPr>
          <w:trHeight w:val="152"/>
        </w:trPr>
        <w:tc>
          <w:tcPr>
            <w:tcW w:w="2517" w:type="dxa"/>
          </w:tcPr>
          <w:p w14:paraId="3A0D0A63" w14:textId="77777777" w:rsidR="0071756E" w:rsidRPr="00707D21" w:rsidRDefault="0071756E" w:rsidP="005E682D">
            <w:pPr>
              <w:spacing w:after="0"/>
              <w:jc w:val="center"/>
              <w:rPr>
                <w:i/>
              </w:rPr>
            </w:pPr>
            <w:r w:rsidRPr="00707D21">
              <w:rPr>
                <w:i/>
              </w:rPr>
              <w:t>0.</w:t>
            </w:r>
            <w:r>
              <w:rPr>
                <w:i/>
              </w:rPr>
              <w:t>7&lt;</w:t>
            </w:r>
            <w:proofErr w:type="spellStart"/>
            <w:r w:rsidRPr="00707D21">
              <w:rPr>
                <w:i/>
              </w:rPr>
              <w:t>CBRmeasured</w:t>
            </w:r>
            <w:proofErr w:type="spellEnd"/>
            <w:r w:rsidRPr="00707D21">
              <w:rPr>
                <w:i/>
              </w:rPr>
              <w:t xml:space="preserve"> ≤ 0.</w:t>
            </w:r>
            <w:r>
              <w:rPr>
                <w:i/>
              </w:rPr>
              <w:t>75</w:t>
            </w:r>
          </w:p>
        </w:tc>
        <w:tc>
          <w:tcPr>
            <w:tcW w:w="3600" w:type="dxa"/>
          </w:tcPr>
          <w:p w14:paraId="21545361" w14:textId="77777777" w:rsidR="0071756E" w:rsidRPr="00707D21" w:rsidRDefault="0071756E" w:rsidP="005E682D">
            <w:pPr>
              <w:spacing w:after="0"/>
              <w:jc w:val="center"/>
              <w:rPr>
                <w:i/>
              </w:rPr>
            </w:pPr>
            <w:r>
              <w:rPr>
                <w:i/>
              </w:rPr>
              <w:t>1.5e-3</w:t>
            </w:r>
          </w:p>
        </w:tc>
      </w:tr>
      <w:tr w:rsidR="0071756E" w:rsidRPr="00707D21" w14:paraId="3F06A4A0" w14:textId="77777777" w:rsidTr="005E682D">
        <w:tc>
          <w:tcPr>
            <w:tcW w:w="2517" w:type="dxa"/>
          </w:tcPr>
          <w:p w14:paraId="5BE68D52" w14:textId="77777777" w:rsidR="0071756E" w:rsidRPr="00707D21" w:rsidRDefault="0071756E" w:rsidP="005E682D">
            <w:pPr>
              <w:spacing w:after="0"/>
              <w:jc w:val="center"/>
              <w:rPr>
                <w:i/>
              </w:rPr>
            </w:pPr>
            <w:r>
              <w:rPr>
                <w:i/>
              </w:rPr>
              <w:t>…</w:t>
            </w:r>
          </w:p>
        </w:tc>
        <w:tc>
          <w:tcPr>
            <w:tcW w:w="3600" w:type="dxa"/>
          </w:tcPr>
          <w:p w14:paraId="36C858E2" w14:textId="77777777" w:rsidR="0071756E" w:rsidRPr="00707D21" w:rsidRDefault="0071756E" w:rsidP="005E682D">
            <w:pPr>
              <w:spacing w:after="0"/>
              <w:jc w:val="center"/>
              <w:rPr>
                <w:b/>
                <w:i/>
              </w:rPr>
            </w:pPr>
            <w:r>
              <w:rPr>
                <w:b/>
                <w:i/>
              </w:rPr>
              <w:t>…</w:t>
            </w:r>
          </w:p>
        </w:tc>
      </w:tr>
    </w:tbl>
    <w:p w14:paraId="7CE675BF" w14:textId="77777777" w:rsidR="0071756E" w:rsidRPr="00707D21" w:rsidRDefault="0071756E" w:rsidP="0071756E">
      <w:pPr>
        <w:jc w:val="both"/>
        <w:rPr>
          <w:i/>
        </w:rPr>
      </w:pPr>
      <w:r>
        <w:rPr>
          <w:i/>
        </w:rPr>
        <w:t>w</w:t>
      </w:r>
      <w:r w:rsidRPr="00707D21">
        <w:rPr>
          <w:i/>
        </w:rPr>
        <w:t>here</w:t>
      </w:r>
    </w:p>
    <w:p w14:paraId="3040289C" w14:textId="77777777" w:rsidR="0071756E" w:rsidRDefault="0071756E" w:rsidP="0071756E">
      <w:pPr>
        <w:pStyle w:val="ListParagraph"/>
        <w:numPr>
          <w:ilvl w:val="0"/>
          <w:numId w:val="34"/>
        </w:numPr>
        <w:jc w:val="both"/>
        <w:rPr>
          <w:i/>
        </w:rPr>
      </w:pPr>
      <w:r w:rsidRPr="00707D21">
        <w:rPr>
          <w:i/>
        </w:rPr>
        <w:t>CR limit is the limit on the fraction of radio resources that the UE can be utilized for its transmissions</w:t>
      </w:r>
      <w:r>
        <w:rPr>
          <w:i/>
        </w:rPr>
        <w:t>.</w:t>
      </w:r>
    </w:p>
    <w:p w14:paraId="2862A4D7" w14:textId="77777777" w:rsidR="0071756E" w:rsidRDefault="0071756E" w:rsidP="0071756E">
      <w:pPr>
        <w:pStyle w:val="ListParagraph"/>
        <w:numPr>
          <w:ilvl w:val="0"/>
          <w:numId w:val="34"/>
        </w:numPr>
        <w:jc w:val="both"/>
        <w:rPr>
          <w:i/>
        </w:rPr>
      </w:pPr>
      <w:r>
        <w:rPr>
          <w:i/>
        </w:rPr>
        <w:t xml:space="preserve">For a transmission on </w:t>
      </w:r>
      <w:proofErr w:type="spellStart"/>
      <w:r>
        <w:rPr>
          <w:i/>
        </w:rPr>
        <w:t>subframe</w:t>
      </w:r>
      <w:proofErr w:type="spellEnd"/>
      <w:r>
        <w:rPr>
          <w:i/>
        </w:rPr>
        <w:t xml:space="preserve"> ‘n’, the CR limit applies using the measurements:</w:t>
      </w:r>
    </w:p>
    <w:p w14:paraId="6B5AA079" w14:textId="77777777" w:rsidR="0071756E" w:rsidRDefault="0071756E" w:rsidP="0071756E">
      <w:pPr>
        <w:pStyle w:val="ListParagraph"/>
        <w:numPr>
          <w:ilvl w:val="1"/>
          <w:numId w:val="34"/>
        </w:numPr>
        <w:jc w:val="both"/>
        <w:rPr>
          <w:i/>
        </w:rPr>
      </w:pPr>
      <w:r>
        <w:rPr>
          <w:i/>
        </w:rPr>
        <w:t xml:space="preserve">CBR is measured over (n-a-100, n-a] </w:t>
      </w:r>
      <w:proofErr w:type="spellStart"/>
      <w:r>
        <w:rPr>
          <w:i/>
        </w:rPr>
        <w:t>subframes</w:t>
      </w:r>
      <w:proofErr w:type="spellEnd"/>
    </w:p>
    <w:p w14:paraId="0ECB3008" w14:textId="77777777" w:rsidR="0071756E" w:rsidRPr="00707D21" w:rsidRDefault="0071756E" w:rsidP="0071756E">
      <w:pPr>
        <w:pStyle w:val="ListParagraph"/>
        <w:numPr>
          <w:ilvl w:val="1"/>
          <w:numId w:val="34"/>
        </w:numPr>
        <w:jc w:val="both"/>
        <w:rPr>
          <w:i/>
        </w:rPr>
      </w:pPr>
      <w:r>
        <w:rPr>
          <w:i/>
        </w:rPr>
        <w:t>CR usage of the UE is measured over (n-a-1000, n-a]</w:t>
      </w:r>
    </w:p>
    <w:p w14:paraId="23FE4FF1" w14:textId="77777777" w:rsidR="0071756E" w:rsidRPr="00707D21" w:rsidRDefault="0071756E" w:rsidP="0071756E">
      <w:pPr>
        <w:pStyle w:val="ListParagraph"/>
        <w:numPr>
          <w:ilvl w:val="0"/>
          <w:numId w:val="34"/>
        </w:numPr>
        <w:jc w:val="both"/>
        <w:rPr>
          <w:i/>
        </w:rPr>
      </w:pPr>
      <w:r w:rsidRPr="00707D21">
        <w:rPr>
          <w:i/>
        </w:rPr>
        <w:t>The Table is (pre)configured per PPPP</w:t>
      </w:r>
    </w:p>
    <w:p w14:paraId="6E4D8A65" w14:textId="77777777" w:rsidR="0071756E" w:rsidRDefault="0071756E" w:rsidP="0071756E">
      <w:pPr>
        <w:jc w:val="both"/>
        <w:rPr>
          <w:b/>
          <w:i/>
        </w:rPr>
      </w:pPr>
    </w:p>
    <w:p w14:paraId="44F8F932" w14:textId="2A985F0E" w:rsidR="00015C65" w:rsidRPr="00F873E4" w:rsidRDefault="00015C65" w:rsidP="00015C65">
      <w:pPr>
        <w:jc w:val="both"/>
        <w:rPr>
          <w:i/>
        </w:rPr>
      </w:pPr>
      <w:r>
        <w:rPr>
          <w:b/>
          <w:i/>
        </w:rPr>
        <w:t>Proposal 4</w:t>
      </w:r>
      <w:r w:rsidRPr="00F873E4">
        <w:rPr>
          <w:b/>
          <w:i/>
        </w:rPr>
        <w:t>:</w:t>
      </w:r>
      <w:r w:rsidRPr="00F873E4">
        <w:rPr>
          <w:i/>
        </w:rPr>
        <w:t xml:space="preserve"> Additionally, the UE can be (pre)configured with limits on </w:t>
      </w:r>
      <w:r>
        <w:rPr>
          <w:i/>
        </w:rPr>
        <w:t xml:space="preserve">MCS and/or </w:t>
      </w:r>
      <w:r w:rsidRPr="00F873E4">
        <w:rPr>
          <w:i/>
        </w:rPr>
        <w:t>number of HARQ transmissions based on the CBR</w:t>
      </w:r>
      <w:r>
        <w:rPr>
          <w:i/>
        </w:rPr>
        <w:t xml:space="preserve"> measured</w:t>
      </w:r>
      <w:r w:rsidRPr="00F873E4">
        <w:rPr>
          <w:i/>
        </w:rPr>
        <w:t>.</w:t>
      </w:r>
    </w:p>
    <w:p w14:paraId="6CC48A26" w14:textId="77777777" w:rsidR="0071756E" w:rsidRDefault="0071756E" w:rsidP="0071756E"/>
    <w:p w14:paraId="4AF4C8D8" w14:textId="77777777" w:rsidR="0071756E" w:rsidRPr="0071756E" w:rsidRDefault="0071756E" w:rsidP="0071756E">
      <w:pPr>
        <w:rPr>
          <w:i/>
          <w:u w:val="single"/>
        </w:rPr>
      </w:pPr>
      <w:r w:rsidRPr="0071756E">
        <w:rPr>
          <w:i/>
          <w:u w:val="single"/>
        </w:rPr>
        <w:t>(Decentralized vs Localized CBR measurement)</w:t>
      </w:r>
    </w:p>
    <w:p w14:paraId="2BC9D5D2" w14:textId="77777777" w:rsidR="0071756E" w:rsidRPr="00FC6EE9" w:rsidRDefault="0071756E" w:rsidP="0071756E">
      <w:pPr>
        <w:jc w:val="both"/>
        <w:rPr>
          <w:i/>
        </w:rPr>
      </w:pPr>
      <w:r w:rsidRPr="00FC6EE9">
        <w:rPr>
          <w:b/>
          <w:i/>
        </w:rPr>
        <w:t>Proposal 5:</w:t>
      </w:r>
      <w:r w:rsidRPr="00FC6EE9">
        <w:rPr>
          <w:i/>
        </w:rPr>
        <w:t xml:space="preserve"> Support sharing of CBR measurement as a part of UEs transmissions, and FFS how to combine the CBR received from other UEs with own CBR measurement for congestion control.</w:t>
      </w:r>
    </w:p>
    <w:p w14:paraId="791C9A79" w14:textId="77777777" w:rsidR="0071756E" w:rsidRDefault="0071756E" w:rsidP="0071756E">
      <w:pPr>
        <w:rPr>
          <w:i/>
        </w:rPr>
      </w:pPr>
    </w:p>
    <w:p w14:paraId="595F1535" w14:textId="77777777" w:rsidR="0071756E" w:rsidRPr="0071756E" w:rsidRDefault="0071756E" w:rsidP="0071756E">
      <w:pPr>
        <w:rPr>
          <w:i/>
          <w:u w:val="single"/>
        </w:rPr>
      </w:pPr>
      <w:r w:rsidRPr="0071756E">
        <w:rPr>
          <w:i/>
          <w:u w:val="single"/>
        </w:rPr>
        <w:t>(Congestion control / Load balancing across multiple carriers)</w:t>
      </w:r>
    </w:p>
    <w:p w14:paraId="2FBD78D5" w14:textId="77777777" w:rsidR="0071756E" w:rsidRDefault="0071756E" w:rsidP="0071756E">
      <w:pPr>
        <w:jc w:val="both"/>
        <w:rPr>
          <w:i/>
        </w:rPr>
      </w:pPr>
      <w:r w:rsidRPr="00F873E4">
        <w:rPr>
          <w:b/>
          <w:i/>
        </w:rPr>
        <w:t xml:space="preserve">Proposal </w:t>
      </w:r>
      <w:r>
        <w:rPr>
          <w:b/>
          <w:i/>
        </w:rPr>
        <w:t>6</w:t>
      </w:r>
      <w:r w:rsidRPr="00F873E4">
        <w:rPr>
          <w:b/>
          <w:i/>
        </w:rPr>
        <w:t>:</w:t>
      </w:r>
      <w:r w:rsidRPr="00F873E4">
        <w:rPr>
          <w:i/>
        </w:rPr>
        <w:t xml:space="preserve"> </w:t>
      </w:r>
      <w:r>
        <w:rPr>
          <w:i/>
        </w:rPr>
        <w:t>Consider long-term (over multiple packet transmission) approach for congestion control / load balancing across multiple V2V channels.</w:t>
      </w:r>
    </w:p>
    <w:p w14:paraId="12D15069" w14:textId="77777777" w:rsidR="0071756E" w:rsidRPr="00CD3FF7" w:rsidRDefault="0071756E" w:rsidP="0071756E">
      <w:pPr>
        <w:rPr>
          <w:i/>
        </w:rPr>
      </w:pPr>
    </w:p>
    <w:p w14:paraId="32F7E829" w14:textId="587669B0" w:rsidR="00CB1C5B" w:rsidRPr="00986956" w:rsidRDefault="00CB1C5B" w:rsidP="00CB1C5B">
      <w:pPr>
        <w:pStyle w:val="Heading1"/>
        <w:rPr>
          <w:lang w:val="en-US"/>
        </w:rPr>
      </w:pPr>
      <w:r w:rsidRPr="00986956">
        <w:rPr>
          <w:lang w:val="en-US"/>
        </w:rPr>
        <w:t>References</w:t>
      </w:r>
    </w:p>
    <w:p w14:paraId="6B924096" w14:textId="77777777" w:rsidR="003A003C" w:rsidRPr="00927032" w:rsidRDefault="00847C99" w:rsidP="00616B88">
      <w:pPr>
        <w:numPr>
          <w:ilvl w:val="0"/>
          <w:numId w:val="3"/>
        </w:numPr>
        <w:spacing w:after="0"/>
      </w:pPr>
      <w:r>
        <w:rPr>
          <w:bCs/>
          <w:shd w:val="clear" w:color="auto" w:fill="FFFFFF"/>
        </w:rPr>
        <w:t>Chairman’s Notes, RAN1#85</w:t>
      </w:r>
    </w:p>
    <w:p w14:paraId="64C4B692" w14:textId="1EE1B67E" w:rsidR="00927032" w:rsidRPr="00927032" w:rsidRDefault="00927032" w:rsidP="00616B88">
      <w:pPr>
        <w:numPr>
          <w:ilvl w:val="0"/>
          <w:numId w:val="3"/>
        </w:numPr>
        <w:spacing w:after="0"/>
      </w:pPr>
      <w:r>
        <w:rPr>
          <w:bCs/>
          <w:shd w:val="clear" w:color="auto" w:fill="FFFFFF"/>
        </w:rPr>
        <w:t xml:space="preserve">ETSI </w:t>
      </w:r>
      <w:r w:rsidR="003D41A4">
        <w:rPr>
          <w:bCs/>
          <w:shd w:val="clear" w:color="auto" w:fill="FFFFFF"/>
        </w:rPr>
        <w:t>EN 302.</w:t>
      </w:r>
      <w:r>
        <w:rPr>
          <w:bCs/>
          <w:shd w:val="clear" w:color="auto" w:fill="FFFFFF"/>
        </w:rPr>
        <w:t>571 v2.0.0</w:t>
      </w:r>
    </w:p>
    <w:p w14:paraId="699CF772" w14:textId="77777777" w:rsidR="00927032" w:rsidRDefault="00714963" w:rsidP="00714963">
      <w:pPr>
        <w:numPr>
          <w:ilvl w:val="0"/>
          <w:numId w:val="3"/>
        </w:numPr>
        <w:spacing w:after="0"/>
      </w:pPr>
      <w:bookmarkStart w:id="6" w:name="_Ref458742920"/>
      <w:r w:rsidRPr="00714963">
        <w:t>ERMTG37(16)000037r2</w:t>
      </w:r>
      <w:r>
        <w:t>, “</w:t>
      </w:r>
      <w:r w:rsidR="00927032" w:rsidRPr="00927032">
        <w:t>AP 20160623: Comments on Draft ETSI EN 302 571 V2.0.0 (2016-03)</w:t>
      </w:r>
      <w:r>
        <w:t>”.</w:t>
      </w:r>
      <w:bookmarkEnd w:id="6"/>
    </w:p>
    <w:p w14:paraId="45CDCCA5" w14:textId="77777777" w:rsidR="009852E7" w:rsidRDefault="009852E7" w:rsidP="009852E7">
      <w:pPr>
        <w:numPr>
          <w:ilvl w:val="0"/>
          <w:numId w:val="3"/>
        </w:numPr>
        <w:spacing w:after="0"/>
      </w:pPr>
      <w:r>
        <w:t>ETSI TR 101.612 v1.1.1, “ITS: Cross Layer DCC Management Entity for operation in the ITS G5A and ITS G5B medium; Report on Cross layer DCC algorithms and performance evaluation”, Sep 2014.</w:t>
      </w:r>
    </w:p>
    <w:p w14:paraId="0330B5EE" w14:textId="1B63DD85" w:rsidR="00D16EE3" w:rsidRDefault="00397FBF" w:rsidP="00D16EE3">
      <w:pPr>
        <w:numPr>
          <w:ilvl w:val="0"/>
          <w:numId w:val="3"/>
        </w:numPr>
        <w:spacing w:after="0"/>
      </w:pPr>
      <w:r w:rsidRPr="00AE25F2">
        <w:t>R1-1</w:t>
      </w:r>
      <w:r>
        <w:t>66260</w:t>
      </w:r>
      <w:r w:rsidRPr="00AE25F2">
        <w:t>, “</w:t>
      </w:r>
      <w:r>
        <w:t>Details of resource pool design</w:t>
      </w:r>
      <w:r w:rsidRPr="00AE25F2">
        <w:t>”, Qualcomm Incorporated</w:t>
      </w:r>
    </w:p>
    <w:p w14:paraId="6135E88B" w14:textId="16786A3B" w:rsidR="002A09A5" w:rsidRDefault="002A09A5" w:rsidP="002A09A5">
      <w:pPr>
        <w:numPr>
          <w:ilvl w:val="0"/>
          <w:numId w:val="3"/>
        </w:numPr>
        <w:spacing w:after="0"/>
      </w:pPr>
      <w:r w:rsidRPr="002A09A5">
        <w:t>R1-1609960</w:t>
      </w:r>
      <w:r>
        <w:t>, “Congestion Control for V2V”, Qualcomm Incorporated, Oct. 2016</w:t>
      </w:r>
    </w:p>
    <w:p w14:paraId="54538AB5" w14:textId="77777777" w:rsidR="00930A51" w:rsidRDefault="00930A51" w:rsidP="00F873E4">
      <w:pPr>
        <w:spacing w:after="0"/>
      </w:pPr>
    </w:p>
    <w:p w14:paraId="6C4B0C59" w14:textId="77777777" w:rsidR="00930A51" w:rsidRDefault="00930A51" w:rsidP="00F873E4">
      <w:pPr>
        <w:spacing w:after="0"/>
      </w:pPr>
    </w:p>
    <w:p w14:paraId="1625A93F" w14:textId="33CE509A" w:rsidR="00D44DCB" w:rsidRDefault="00D44DCB">
      <w:pPr>
        <w:overflowPunct/>
        <w:autoSpaceDE/>
        <w:autoSpaceDN/>
        <w:adjustRightInd/>
        <w:spacing w:after="0"/>
        <w:textAlignment w:val="auto"/>
      </w:pPr>
      <w:r>
        <w:br w:type="page"/>
      </w:r>
    </w:p>
    <w:p w14:paraId="783C932A" w14:textId="0E75BEE5" w:rsidR="00D44DCB" w:rsidRDefault="00D44DCB" w:rsidP="00D44DCB">
      <w:pPr>
        <w:pStyle w:val="Heading1"/>
      </w:pPr>
      <w:r>
        <w:lastRenderedPageBreak/>
        <w:t>Appendix A: Congestion control mechanism</w:t>
      </w:r>
    </w:p>
    <w:p w14:paraId="46E6B83B" w14:textId="00CA2571" w:rsidR="00D44DCB" w:rsidRDefault="00D44DCB" w:rsidP="00D44DCB">
      <w:pPr>
        <w:pStyle w:val="Heading2"/>
      </w:pPr>
      <w:r>
        <w:t>A.1</w:t>
      </w:r>
      <w:r>
        <w:tab/>
        <w:t>Generalized formulation for decentralized congestion control (DCC)</w:t>
      </w:r>
    </w:p>
    <w:p w14:paraId="1C368095" w14:textId="77777777" w:rsidR="00D44DCB" w:rsidRDefault="00D44DCB" w:rsidP="00D44DCB">
      <w:pPr>
        <w:jc w:val="both"/>
      </w:pPr>
      <w:r>
        <w:t>In this section, we discuss the generalized formulation for DCC that was used to define the existing DCC requirements in EN 302 571, and then discuss the specializations made that are specific to 802.11p leading to the existing requirements.</w:t>
      </w:r>
    </w:p>
    <w:p w14:paraId="71EFA31A" w14:textId="77777777" w:rsidR="00D44DCB" w:rsidRDefault="00D44DCB" w:rsidP="00D44DCB">
      <w:pPr>
        <w:jc w:val="both"/>
      </w:pPr>
      <w:r>
        <w:t>The idea of the CBR measurement is to obtain an indirect measure of the total number of transmissions in the UEs proximity [4]. Thus the CBR measurement relates to the number of ITS stations (</w:t>
      </w:r>
      <w:proofErr w:type="spellStart"/>
      <w:r w:rsidRPr="009852E7">
        <w:rPr>
          <w:i/>
        </w:rPr>
        <w:t>Nsta</w:t>
      </w:r>
      <w:proofErr w:type="spellEnd"/>
      <w:r>
        <w:t>) in the proximity. This relation is expressed as</w:t>
      </w:r>
    </w:p>
    <w:p w14:paraId="11510785" w14:textId="77777777" w:rsidR="00D44DCB" w:rsidRDefault="00D44DCB" w:rsidP="00D44DCB">
      <w:pPr>
        <w:jc w:val="both"/>
      </w:pPr>
      <m:oMathPara>
        <m:oMath>
          <m:r>
            <w:rPr>
              <w:rFonts w:ascii="Cambria Math" w:hAnsi="Cambria Math"/>
            </w:rPr>
            <m:t>CBR=f</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sta</m:t>
                  </m:r>
                </m:sub>
              </m:sSub>
            </m:e>
          </m:d>
        </m:oMath>
      </m:oMathPara>
    </w:p>
    <w:p w14:paraId="6C9A4285" w14:textId="77777777" w:rsidR="00D44DCB" w:rsidRDefault="00D44DCB" w:rsidP="00D44DCB">
      <w:pPr>
        <w:jc w:val="both"/>
      </w:pPr>
      <w:r>
        <w:t xml:space="preserve">The function </w:t>
      </w:r>
      <w:proofErr w:type="gramStart"/>
      <w:r w:rsidRPr="00EB3985">
        <w:rPr>
          <w:i/>
        </w:rPr>
        <w:t>f(</w:t>
      </w:r>
      <w:proofErr w:type="gramEnd"/>
      <w:r w:rsidRPr="00EB3985">
        <w:rPr>
          <w:i/>
        </w:rPr>
        <w:t>)</w:t>
      </w:r>
      <w:r>
        <w:t xml:space="preserve"> on mapping of </w:t>
      </w:r>
      <w:proofErr w:type="spellStart"/>
      <w:r w:rsidRPr="00EB3985">
        <w:rPr>
          <w:i/>
        </w:rPr>
        <w:t>N</w:t>
      </w:r>
      <w:r w:rsidRPr="00EB3985">
        <w:rPr>
          <w:i/>
          <w:vertAlign w:val="subscript"/>
        </w:rPr>
        <w:t>sta</w:t>
      </w:r>
      <w:proofErr w:type="spellEnd"/>
      <w:r>
        <w:t xml:space="preserve"> to </w:t>
      </w:r>
      <w:r w:rsidRPr="00EB3985">
        <w:rPr>
          <w:i/>
        </w:rPr>
        <w:t>CBR</w:t>
      </w:r>
      <w:r>
        <w:t xml:space="preserve"> depends on the channel access method, e.g. asynchronous vs synchronous channel access and on channel access parameters as well. </w:t>
      </w:r>
    </w:p>
    <w:p w14:paraId="74F6D3E9" w14:textId="77777777" w:rsidR="00D44DCB" w:rsidRDefault="00D44DCB" w:rsidP="00D44DCB">
      <w:pPr>
        <w:jc w:val="both"/>
      </w:pPr>
      <w:r>
        <w:t>The idea of DCC is then to limit the channel utilization by each UE to a maximum allowed limit (</w:t>
      </w:r>
      <w:proofErr w:type="spellStart"/>
      <w:r w:rsidRPr="00EB3985">
        <w:rPr>
          <w:i/>
        </w:rPr>
        <w:t>CBR</w:t>
      </w:r>
      <w:r w:rsidRPr="00EB3985">
        <w:rPr>
          <w:i/>
          <w:vertAlign w:val="subscript"/>
        </w:rPr>
        <w:t>limit</w:t>
      </w:r>
      <w:proofErr w:type="spellEnd"/>
      <w:r>
        <w:t>) of the ratio of total radio resources that can be used in a given geographical area. One way to do it is to split the maximum allowed fraction of busy radio resources among the ITS stations in the given geographical area. The limit of the channel resource utilization (</w:t>
      </w:r>
      <w:proofErr w:type="spellStart"/>
      <w:r w:rsidRPr="00EB3985">
        <w:rPr>
          <w:i/>
        </w:rPr>
        <w:t>CR</w:t>
      </w:r>
      <w:r w:rsidRPr="00EB3985">
        <w:rPr>
          <w:i/>
          <w:vertAlign w:val="subscript"/>
        </w:rPr>
        <w:t>limit</w:t>
      </w:r>
      <w:proofErr w:type="spellEnd"/>
      <w:r>
        <w:t>) can then be expressed as:</w:t>
      </w:r>
    </w:p>
    <w:p w14:paraId="3C2C8B8E" w14:textId="77777777" w:rsidR="00D44DCB" w:rsidRPr="001D15A6" w:rsidRDefault="00D44DCB" w:rsidP="00D44DCB">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b>
                <m:sSubPr>
                  <m:ctrlPr>
                    <w:rPr>
                      <w:rFonts w:ascii="Cambria Math" w:hAnsi="Cambria Math"/>
                      <w:i/>
                    </w:rPr>
                  </m:ctrlPr>
                </m:sSubPr>
                <m:e>
                  <m:r>
                    <w:rPr>
                      <w:rFonts w:ascii="Cambria Math" w:hAnsi="Cambria Math"/>
                    </w:rPr>
                    <m:t>N</m:t>
                  </m:r>
                </m:e>
                <m:sub>
                  <m:r>
                    <w:rPr>
                      <w:rFonts w:ascii="Cambria Math" w:hAnsi="Cambria Math"/>
                    </w:rPr>
                    <m:t>sta</m:t>
                  </m:r>
                </m:sub>
              </m:sSub>
            </m:den>
          </m:f>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13F28E72" w14:textId="77777777" w:rsidR="00D44DCB" w:rsidRDefault="00D44DCB" w:rsidP="00D44DCB">
      <w:pPr>
        <w:jc w:val="both"/>
      </w:pPr>
      <w:r>
        <w:t>The DCC loop in the UE then ensures that the channel resource utilization (</w:t>
      </w:r>
      <w:r w:rsidRPr="00B46039">
        <w:rPr>
          <w:i/>
        </w:rPr>
        <w:t>CR</w:t>
      </w:r>
      <w:r>
        <w:t xml:space="preserve">) remains below </w:t>
      </w:r>
      <w:proofErr w:type="spellStart"/>
      <w:r w:rsidRPr="00B46039">
        <w:rPr>
          <w:i/>
        </w:rPr>
        <w:t>CR</w:t>
      </w:r>
      <w:r w:rsidRPr="00B46039">
        <w:rPr>
          <w:i/>
          <w:vertAlign w:val="subscript"/>
        </w:rPr>
        <w:t>limit</w:t>
      </w:r>
      <w:proofErr w:type="spellEnd"/>
      <w:r>
        <w:t xml:space="preserve">, i.e. </w:t>
      </w:r>
      <w:r w:rsidRPr="00B46039">
        <w:rPr>
          <w:i/>
        </w:rPr>
        <w:t>CR</w:t>
      </w:r>
      <w:r>
        <w:rPr>
          <w:i/>
        </w:rPr>
        <w:t>≤</w:t>
      </w:r>
      <w:r w:rsidRPr="00B46039">
        <w:rPr>
          <w:i/>
        </w:rPr>
        <w:t xml:space="preserve"> </w:t>
      </w:r>
      <w:proofErr w:type="spellStart"/>
      <w:r w:rsidRPr="00B46039">
        <w:rPr>
          <w:i/>
        </w:rPr>
        <w:t>CR</w:t>
      </w:r>
      <w:r w:rsidRPr="00B46039">
        <w:rPr>
          <w:i/>
          <w:vertAlign w:val="subscript"/>
        </w:rPr>
        <w:t>limit</w:t>
      </w:r>
      <w:proofErr w:type="spellEnd"/>
      <w:r>
        <w:t xml:space="preserve">. </w:t>
      </w:r>
    </w:p>
    <w:p w14:paraId="5B4F664E" w14:textId="77777777" w:rsidR="00D44DCB" w:rsidRDefault="00D44DCB" w:rsidP="00D44DCB">
      <w:pPr>
        <w:jc w:val="both"/>
      </w:pPr>
      <w:r>
        <w:t xml:space="preserve">In a slight alteration to the above formulation (as used in the harmonized specification), the DCC loop can be triggered only when the </w:t>
      </w:r>
      <w:proofErr w:type="spellStart"/>
      <w:r w:rsidRPr="00B35280">
        <w:rPr>
          <w:i/>
        </w:rPr>
        <w:t>CBR</w:t>
      </w:r>
      <w:r w:rsidRPr="00B35280">
        <w:rPr>
          <w:i/>
          <w:vertAlign w:val="subscript"/>
        </w:rPr>
        <w:t>measured</w:t>
      </w:r>
      <w:proofErr w:type="spellEnd"/>
      <w:r>
        <w:t xml:space="preserve"> exceeds the </w:t>
      </w:r>
      <w:proofErr w:type="spellStart"/>
      <w:r w:rsidRPr="00B35280">
        <w:rPr>
          <w:i/>
        </w:rPr>
        <w:t>CBR</w:t>
      </w:r>
      <w:r w:rsidRPr="00B35280">
        <w:rPr>
          <w:i/>
          <w:vertAlign w:val="subscript"/>
        </w:rPr>
        <w:t>limit</w:t>
      </w:r>
      <w:proofErr w:type="spellEnd"/>
      <w:r>
        <w:t xml:space="preserve">. With that, the </w:t>
      </w:r>
      <w:proofErr w:type="spellStart"/>
      <w:r w:rsidRPr="00B35280">
        <w:rPr>
          <w:i/>
        </w:rPr>
        <w:t>CR</w:t>
      </w:r>
      <w:r w:rsidRPr="00B35280">
        <w:rPr>
          <w:i/>
          <w:vertAlign w:val="subscript"/>
        </w:rPr>
        <w:t>limit</w:t>
      </w:r>
      <w:proofErr w:type="spellEnd"/>
      <w:r>
        <w:t xml:space="preserve"> is expressed as a function of </w:t>
      </w:r>
      <w:proofErr w:type="spellStart"/>
      <w:r w:rsidRPr="00B35280">
        <w:rPr>
          <w:i/>
        </w:rPr>
        <w:t>CBR</w:t>
      </w:r>
      <w:r w:rsidRPr="00B35280">
        <w:rPr>
          <w:i/>
          <w:vertAlign w:val="subscript"/>
        </w:rPr>
        <w:t>measured</w:t>
      </w:r>
      <w:proofErr w:type="spellEnd"/>
      <w:r>
        <w:rPr>
          <w:i/>
          <w:vertAlign w:val="subscript"/>
        </w:rPr>
        <w:t xml:space="preserve"> </w:t>
      </w:r>
      <w:r>
        <w:t>a</w:t>
      </w:r>
      <w:r w:rsidRPr="00B35280">
        <w:t>lone</w:t>
      </w:r>
      <w:r>
        <w:rPr>
          <w:i/>
          <w:vertAlign w:val="subscript"/>
        </w:rPr>
        <w:t xml:space="preserve"> </w:t>
      </w:r>
      <w:r>
        <w:t>as:</w:t>
      </w:r>
    </w:p>
    <w:p w14:paraId="1014B5B3" w14:textId="77777777" w:rsidR="00D44DCB" w:rsidRDefault="00D44DCB" w:rsidP="00D44DCB">
      <w:pPr>
        <w:ind w:left="216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058B5512" w14:textId="77777777" w:rsidR="00D44DCB" w:rsidRPr="001D15A6" w:rsidRDefault="00D44DCB" w:rsidP="00D44DCB">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oMath>
      </m:oMathPara>
    </w:p>
    <w:p w14:paraId="4D4B3A20" w14:textId="77777777" w:rsidR="00D44DCB" w:rsidRDefault="00D44DCB" w:rsidP="00D44DCB">
      <w:pPr>
        <w:jc w:val="both"/>
      </w:pPr>
      <w:r>
        <w:t xml:space="preserve">The above formulation thus takes the current channel utilization (if exceeding the </w:t>
      </w:r>
      <w:proofErr w:type="spellStart"/>
      <w:r w:rsidRPr="00B35280">
        <w:rPr>
          <w:i/>
        </w:rPr>
        <w:t>CBR</w:t>
      </w:r>
      <w:r w:rsidRPr="00B35280">
        <w:rPr>
          <w:i/>
          <w:vertAlign w:val="subscript"/>
        </w:rPr>
        <w:t>limit</w:t>
      </w:r>
      <w:proofErr w:type="spellEnd"/>
      <w:r w:rsidRPr="002E6271">
        <w:t>)</w:t>
      </w:r>
      <w:r>
        <w:t xml:space="preserve"> and splits the utilized resources among the ITS stations in a given geographical area.</w:t>
      </w:r>
    </w:p>
    <w:p w14:paraId="5A01CC5E" w14:textId="0BF0DEB3" w:rsidR="00D44DCB" w:rsidRDefault="00D44DCB" w:rsidP="00D44DCB">
      <w:pPr>
        <w:jc w:val="both"/>
        <w:rPr>
          <w:i/>
        </w:rPr>
      </w:pPr>
      <w:r>
        <w:rPr>
          <w:b/>
          <w:i/>
        </w:rPr>
        <w:t>Observation</w:t>
      </w:r>
      <w:r w:rsidRPr="00150194">
        <w:rPr>
          <w:b/>
          <w:i/>
        </w:rPr>
        <w:t xml:space="preserve">: </w:t>
      </w:r>
      <w:r>
        <w:rPr>
          <w:i/>
        </w:rPr>
        <w:t>The existing DCC requirements in EN 302 571 are based on the following (generalized) principle</w:t>
      </w:r>
    </w:p>
    <w:p w14:paraId="120A1DD3" w14:textId="77777777" w:rsidR="00D44DCB" w:rsidRDefault="00D44DCB" w:rsidP="00D44DCB">
      <w:pPr>
        <w:pStyle w:val="ListParagraph"/>
        <w:numPr>
          <w:ilvl w:val="0"/>
          <w:numId w:val="33"/>
        </w:numPr>
        <w:jc w:val="both"/>
        <w:rPr>
          <w:i/>
        </w:rPr>
      </w:pPr>
      <w:r>
        <w:rPr>
          <w:i/>
        </w:rPr>
        <w:t>Measure channel busy ratio (CBR) as the ratio of resource utilized over a measurement period</w:t>
      </w:r>
    </w:p>
    <w:p w14:paraId="2926DBCE" w14:textId="77777777" w:rsidR="00D44DCB" w:rsidRDefault="00D44DCB" w:rsidP="00D44DCB">
      <w:pPr>
        <w:pStyle w:val="ListParagraph"/>
        <w:numPr>
          <w:ilvl w:val="0"/>
          <w:numId w:val="33"/>
        </w:numPr>
        <w:jc w:val="both"/>
        <w:rPr>
          <w:i/>
        </w:rPr>
      </w:pPr>
      <w:r>
        <w:rPr>
          <w:i/>
        </w:rPr>
        <w:t xml:space="preserve">If CBR exceeds a desired </w:t>
      </w:r>
      <w:proofErr w:type="spellStart"/>
      <w:r>
        <w:rPr>
          <w:i/>
        </w:rPr>
        <w:t>CBR</w:t>
      </w:r>
      <w:r w:rsidRPr="00F873E4">
        <w:rPr>
          <w:i/>
          <w:vertAlign w:val="subscript"/>
        </w:rPr>
        <w:t>limit</w:t>
      </w:r>
      <w:proofErr w:type="spellEnd"/>
      <w:r>
        <w:rPr>
          <w:i/>
        </w:rPr>
        <w:t>:</w:t>
      </w:r>
    </w:p>
    <w:p w14:paraId="52CB317F" w14:textId="77777777" w:rsidR="00D44DCB" w:rsidRDefault="00D44DCB" w:rsidP="00D44DCB">
      <w:pPr>
        <w:pStyle w:val="ListParagraph"/>
        <w:numPr>
          <w:ilvl w:val="1"/>
          <w:numId w:val="33"/>
        </w:numPr>
        <w:jc w:val="both"/>
        <w:rPr>
          <w:i/>
        </w:rPr>
      </w:pPr>
      <w:r>
        <w:rPr>
          <w:i/>
        </w:rPr>
        <w:t>Estimate the number of UEs in neighbourhood (</w:t>
      </w:r>
      <w:proofErr w:type="spellStart"/>
      <w:r>
        <w:rPr>
          <w:i/>
        </w:rPr>
        <w:t>Nsta</w:t>
      </w:r>
      <w:proofErr w:type="spellEnd"/>
      <w:r>
        <w:rPr>
          <w:i/>
        </w:rPr>
        <w:t xml:space="preserve">) as </w:t>
      </w:r>
      <m:oMath>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oMath>
    </w:p>
    <w:p w14:paraId="5836AFCC" w14:textId="77777777" w:rsidR="00D44DCB" w:rsidRPr="00F873E4" w:rsidRDefault="00D44DCB" w:rsidP="00D44DCB">
      <w:pPr>
        <w:pStyle w:val="ListParagraph"/>
        <w:numPr>
          <w:ilvl w:val="1"/>
          <w:numId w:val="33"/>
        </w:numPr>
        <w:jc w:val="both"/>
        <w:rPr>
          <w:i/>
        </w:rPr>
      </w:pPr>
      <w:r>
        <w:rPr>
          <w:i/>
        </w:rPr>
        <w:t>Compute a limit on the maximum fraction of resources (</w:t>
      </w:r>
      <w:proofErr w:type="spellStart"/>
      <w:r>
        <w:rPr>
          <w:i/>
        </w:rPr>
        <w:t>CR</w:t>
      </w:r>
      <w:r w:rsidRPr="00F873E4">
        <w:rPr>
          <w:i/>
          <w:vertAlign w:val="subscript"/>
        </w:rPr>
        <w:t>limit</w:t>
      </w:r>
      <w:proofErr w:type="spellEnd"/>
      <w:r>
        <w:rPr>
          <w:i/>
        </w:rPr>
        <w:t xml:space="preserve">) that can be used for transmission as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/Nsta</m:t>
        </m:r>
      </m:oMath>
      <w:r>
        <w:rPr>
          <w:i/>
        </w:rPr>
        <w:t>, i.e. equal division of resources among the UEs in neighbourhood.</w:t>
      </w:r>
    </w:p>
    <w:p w14:paraId="45031D12" w14:textId="56793824" w:rsidR="00D44DCB" w:rsidRDefault="00D44DCB" w:rsidP="00D44DCB">
      <w:pPr>
        <w:pStyle w:val="Heading2"/>
      </w:pPr>
      <w:r>
        <w:t>A.2</w:t>
      </w:r>
      <w:r>
        <w:tab/>
        <w:t>Specialization of the generalized formulation for 802.11p</w:t>
      </w:r>
    </w:p>
    <w:p w14:paraId="237F0DF6" w14:textId="77777777" w:rsidR="00D44DCB" w:rsidRDefault="00D44DCB" w:rsidP="00D44DCB">
      <w:pPr>
        <w:jc w:val="both"/>
      </w:pPr>
      <w:r>
        <w:t xml:space="preserve">In this subsection, we derive the existing requirements in the harmonized specification EN 302.571 using certain assumptions specific to 802.11p channel access. </w:t>
      </w:r>
    </w:p>
    <w:p w14:paraId="5C4768B6" w14:textId="77777777" w:rsidR="00D44DCB" w:rsidRDefault="00D44DCB" w:rsidP="00D44DCB">
      <w:pPr>
        <w:jc w:val="both"/>
      </w:pPr>
      <w:r>
        <w:t>The subsection thus serves two purpose:</w:t>
      </w:r>
    </w:p>
    <w:p w14:paraId="3A88FFDC" w14:textId="77777777" w:rsidR="00D44DCB" w:rsidRDefault="00D44DCB" w:rsidP="00D44DCB">
      <w:pPr>
        <w:pStyle w:val="ListParagraph"/>
        <w:numPr>
          <w:ilvl w:val="0"/>
          <w:numId w:val="30"/>
        </w:numPr>
        <w:jc w:val="both"/>
      </w:pPr>
      <w:r>
        <w:t xml:space="preserve">Validating the generalized formulation and the existing requirements as a subset of the generalized formulation, and </w:t>
      </w:r>
    </w:p>
    <w:p w14:paraId="34CC6A6C" w14:textId="77777777" w:rsidR="00D44DCB" w:rsidRPr="00091749" w:rsidRDefault="00D44DCB" w:rsidP="00D44DCB">
      <w:pPr>
        <w:pStyle w:val="ListParagraph"/>
        <w:numPr>
          <w:ilvl w:val="0"/>
          <w:numId w:val="30"/>
        </w:numPr>
        <w:jc w:val="both"/>
      </w:pPr>
      <w:r>
        <w:t>Emphasizes certain assumptions that are specific to 802.11p (that may not be evident otherwise) in the existing requirements in EN 302.571. Furthermore, it allows us to question such assumptions from a technology-neutrality viewpoint (or at least for LTE V2V).</w:t>
      </w:r>
    </w:p>
    <w:p w14:paraId="211B805C" w14:textId="77777777" w:rsidR="00D44DCB" w:rsidRDefault="00D44DCB" w:rsidP="00D44DCB">
      <w:pPr>
        <w:jc w:val="both"/>
      </w:pPr>
      <w:r w:rsidRPr="00AB2428">
        <w:rPr>
          <w:b/>
        </w:rPr>
        <w:lastRenderedPageBreak/>
        <w:t>Assumption 1:</w:t>
      </w:r>
      <w:r>
        <w:t xml:space="preserve"> </w:t>
      </w:r>
      <w:r w:rsidRPr="00EB3985">
        <w:rPr>
          <w:i/>
        </w:rPr>
        <w:t>CR</w:t>
      </w:r>
      <w:r>
        <w:t xml:space="preserve"> usage is based on TDMA access, i.e.</w:t>
      </w:r>
    </w:p>
    <w:p w14:paraId="37181C12" w14:textId="77777777" w:rsidR="00D44DCB" w:rsidRPr="00AB2428" w:rsidRDefault="00D44DCB" w:rsidP="00D44DCB">
      <w:pPr>
        <w:jc w:val="both"/>
      </w:pPr>
      <m:oMathPara>
        <m:oMath>
          <m:r>
            <w:rPr>
              <w:rFonts w:ascii="Cambria Math" w:hAnsi="Cambria Math"/>
            </w:rPr>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oMath>
      </m:oMathPara>
    </w:p>
    <w:p w14:paraId="32F99F6E" w14:textId="77777777" w:rsidR="00D44DCB" w:rsidRDefault="00D44DCB" w:rsidP="00D44DCB">
      <w:pPr>
        <w:jc w:val="both"/>
      </w:pPr>
      <w:r>
        <w:rPr>
          <w:b/>
        </w:rPr>
        <w:t>Assumption 2:</w:t>
      </w:r>
      <w:r>
        <w:t xml:space="preserve"> </w:t>
      </w:r>
      <w:r w:rsidRPr="00EB3985">
        <w:rPr>
          <w:i/>
        </w:rPr>
        <w:t>CBR</w:t>
      </w:r>
      <w:r>
        <w:t xml:space="preserve"> is assumed to be a linear function of </w:t>
      </w:r>
      <w:proofErr w:type="spellStart"/>
      <w:r w:rsidRPr="00EB3985">
        <w:rPr>
          <w:i/>
        </w:rPr>
        <w:t>N</w:t>
      </w:r>
      <w:r w:rsidRPr="00EB3985">
        <w:rPr>
          <w:i/>
          <w:vertAlign w:val="subscript"/>
        </w:rPr>
        <w:t>sta</w:t>
      </w:r>
      <w:proofErr w:type="spellEnd"/>
      <w:r>
        <w:t>, i.e.,</w:t>
      </w:r>
    </w:p>
    <w:p w14:paraId="2D65FDFA" w14:textId="77777777" w:rsidR="00D44DCB" w:rsidRPr="00AB2428" w:rsidRDefault="00D44DCB" w:rsidP="00D44DCB">
      <w:pPr>
        <w:jc w:val="both"/>
      </w:pPr>
      <m:oMathPara>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=a×</m:t>
          </m:r>
          <m:sSub>
            <m:sSubPr>
              <m:ctrlPr>
                <w:rPr>
                  <w:rFonts w:ascii="Cambria Math" w:hAnsi="Cambria Math"/>
                  <w:i/>
                </w:rPr>
              </m:ctrlPr>
            </m:sSubPr>
            <m:e>
              <m:r>
                <w:rPr>
                  <w:rFonts w:ascii="Cambria Math" w:hAnsi="Cambria Math"/>
                </w:rPr>
                <m:t>N</m:t>
              </m:r>
            </m:e>
            <m:sub>
              <m:r>
                <w:rPr>
                  <w:rFonts w:ascii="Cambria Math" w:hAnsi="Cambria Math"/>
                </w:rPr>
                <m:t>sta</m:t>
              </m:r>
            </m:sub>
          </m:sSub>
          <m:r>
            <w:rPr>
              <w:rFonts w:ascii="Cambria Math" w:hAnsi="Cambria Math"/>
            </w:rPr>
            <m:t>+b</m:t>
          </m:r>
        </m:oMath>
      </m:oMathPara>
    </w:p>
    <w:p w14:paraId="3CCD3072" w14:textId="77777777" w:rsidR="00D44DCB" w:rsidRDefault="00D44DCB" w:rsidP="00D44DCB">
      <w:pPr>
        <w:jc w:val="both"/>
      </w:pPr>
    </w:p>
    <w:p w14:paraId="26C849FA" w14:textId="77777777" w:rsidR="00D44DCB" w:rsidRDefault="00D44DCB" w:rsidP="00D44DCB">
      <w:pPr>
        <w:jc w:val="both"/>
      </w:pPr>
      <w:r>
        <w:t xml:space="preserve">Substituting these two assumptions in the generalized formulation, it leads to </w:t>
      </w:r>
    </w:p>
    <w:p w14:paraId="6CCAB703" w14:textId="77777777" w:rsidR="00D44DCB" w:rsidRDefault="00EC14FF" w:rsidP="00D44DCB">
      <w:pPr>
        <w:jc w:val="both"/>
      </w:pPr>
      <m:oMathPara>
        <m:oMath>
          <m:f>
            <m:fPr>
              <m:ctrlPr>
                <w:rPr>
                  <w:rFonts w:ascii="Cambria Math" w:hAnsi="Cambria Math"/>
                  <w:i/>
                </w:rPr>
              </m:ctrlPr>
            </m:fPr>
            <m:num>
              <m:r>
                <w:rPr>
                  <w:rFonts w:ascii="Cambria Math" w:hAnsi="Cambria Math"/>
                </w:rPr>
                <m:t>1</m:t>
              </m:r>
            </m:num>
            <m:den>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den>
          </m:f>
          <m:r>
            <m:rPr>
              <m:aln/>
            </m:rP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offLimit</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m:rPr>
              <m:sty m:val="p"/>
            </m:rPr>
            <w:rPr>
              <w:rFonts w:ascii="Cambria Math" w:hAnsi="Cambria Math"/>
            </w:rPr>
            <w:br/>
          </m:r>
        </m:oMath>
        <m:oMath>
          <m:r>
            <m:rPr>
              <m:aln/>
            </m:rP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 xml:space="preserve"> </m:t>
          </m:r>
          <m:r>
            <m:rPr>
              <m:sty m:val="p"/>
            </m:rPr>
            <w:rPr>
              <w:rFonts w:ascii="Cambria Math" w:hAnsi="Cambria Math"/>
            </w:rPr>
            <w:br/>
          </m:r>
        </m:oMath>
      </m:oMathPara>
      <w:r w:rsidR="00D44DCB">
        <w:t xml:space="preserve">The </w:t>
      </w:r>
      <w:proofErr w:type="spellStart"/>
      <w:r w:rsidR="00D44DCB" w:rsidRPr="00EB3985">
        <w:rPr>
          <w:i/>
        </w:rPr>
        <w:t>T</w:t>
      </w:r>
      <w:r w:rsidR="00D44DCB" w:rsidRPr="00EB3985">
        <w:rPr>
          <w:i/>
          <w:vertAlign w:val="subscript"/>
        </w:rPr>
        <w:t>offLimit</w:t>
      </w:r>
      <w:proofErr w:type="spellEnd"/>
      <w:r w:rsidR="00D44DCB">
        <w:t xml:space="preserve"> is thus specified as:</w:t>
      </w:r>
    </w:p>
    <w:p w14:paraId="37DBDAF6" w14:textId="77777777" w:rsidR="00D44DCB" w:rsidRPr="00B21A9A" w:rsidRDefault="00EC14FF" w:rsidP="00D44DCB">
      <w:pPr>
        <w:jc w:val="both"/>
      </w:pPr>
      <m:oMathPara>
        <m:oMath>
          <m:sSub>
            <m:sSubPr>
              <m:ctrlPr>
                <w:rPr>
                  <w:rFonts w:ascii="Cambria Math" w:hAnsi="Cambria Math"/>
                  <w:i/>
                </w:rPr>
              </m:ctrlPr>
            </m:sSubPr>
            <m:e>
              <m:r>
                <w:rPr>
                  <w:rFonts w:ascii="Cambria Math" w:hAnsi="Cambria Math"/>
                </w:rPr>
                <m:t>T</m:t>
              </m:r>
            </m:e>
            <m:sub>
              <m:r>
                <w:rPr>
                  <w:rFonts w:ascii="Cambria Math" w:hAnsi="Cambria Math"/>
                </w:rPr>
                <m:t>offLimit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a</m:t>
                  </m:r>
                </m:den>
              </m:f>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-b</m:t>
                  </m:r>
                </m:num>
                <m:den>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den>
              </m:f>
              <m:r>
                <w:rPr>
                  <w:rFonts w:ascii="Cambria Math" w:hAnsi="Cambria Math"/>
                </w:rPr>
                <m:t>-1</m:t>
              </m:r>
            </m:e>
          </m:d>
        </m:oMath>
      </m:oMathPara>
    </w:p>
    <w:p w14:paraId="086BE65D" w14:textId="77777777" w:rsidR="00D44DCB" w:rsidRDefault="00D44DCB" w:rsidP="00D44DCB">
      <w:pPr>
        <w:jc w:val="both"/>
      </w:pPr>
      <w:r>
        <w:t xml:space="preserve">This is the same as the existing requirements in the harmonized specification, with the choice of the parameters </w:t>
      </w:r>
      <w:r w:rsidRPr="00B21A9A">
        <w:rPr>
          <w:i/>
        </w:rPr>
        <w:t>a</w:t>
      </w:r>
      <w:r>
        <w:t xml:space="preserve"> = 1/4000 and </w:t>
      </w:r>
      <w:r w:rsidRPr="00B21A9A">
        <w:rPr>
          <w:i/>
        </w:rPr>
        <w:t>b</w:t>
      </w:r>
      <w:r>
        <w:t xml:space="preserve"> = 0.6. The parameters </w:t>
      </w:r>
      <w:r w:rsidRPr="00B21A9A">
        <w:rPr>
          <w:i/>
        </w:rPr>
        <w:t>(</w:t>
      </w:r>
      <w:proofErr w:type="spellStart"/>
      <w:proofErr w:type="gramStart"/>
      <w:r w:rsidRPr="00B21A9A">
        <w:rPr>
          <w:i/>
        </w:rPr>
        <w:t>a,b</w:t>
      </w:r>
      <w:proofErr w:type="spellEnd"/>
      <w:proofErr w:type="gramEnd"/>
      <w:r w:rsidRPr="00B21A9A">
        <w:rPr>
          <w:i/>
        </w:rPr>
        <w:t>)</w:t>
      </w:r>
      <w:r>
        <w:t xml:space="preserve"> were derived based on system level simulations to measure the sensitivity of </w:t>
      </w:r>
      <w:r w:rsidRPr="00EB3985">
        <w:rPr>
          <w:i/>
        </w:rPr>
        <w:t>CBR</w:t>
      </w:r>
      <w:r>
        <w:t xml:space="preserve"> as a function of the number of stations, and thereby are related to 802.11p channel access parameters.</w:t>
      </w:r>
    </w:p>
    <w:p w14:paraId="2E712CD7" w14:textId="77777777" w:rsidR="00D44DCB" w:rsidRDefault="00D44DCB" w:rsidP="00D44DCB">
      <w:pPr>
        <w:jc w:val="both"/>
        <w:rPr>
          <w:b/>
          <w:i/>
        </w:rPr>
      </w:pPr>
    </w:p>
    <w:p w14:paraId="46D210A4" w14:textId="329C3B1E" w:rsidR="00D44DCB" w:rsidRDefault="00D44DCB" w:rsidP="00D44DCB">
      <w:pPr>
        <w:jc w:val="both"/>
        <w:rPr>
          <w:i/>
        </w:rPr>
      </w:pPr>
      <w:r>
        <w:rPr>
          <w:b/>
          <w:i/>
        </w:rPr>
        <w:t>Observation</w:t>
      </w:r>
      <w:r w:rsidRPr="00150194">
        <w:rPr>
          <w:b/>
          <w:i/>
        </w:rPr>
        <w:t xml:space="preserve">: </w:t>
      </w:r>
      <w:r>
        <w:rPr>
          <w:i/>
        </w:rPr>
        <w:t>The existing DCC requirements in EN 302 571 are based on the following specialization of the generalized formulation:</w:t>
      </w:r>
    </w:p>
    <w:p w14:paraId="03D549EF" w14:textId="77777777" w:rsidR="00D44DCB" w:rsidRDefault="00D44DCB" w:rsidP="00D44DCB">
      <w:pPr>
        <w:pStyle w:val="ListParagraph"/>
        <w:numPr>
          <w:ilvl w:val="0"/>
          <w:numId w:val="34"/>
        </w:numPr>
        <w:jc w:val="both"/>
        <w:rPr>
          <w:i/>
        </w:rPr>
      </w:pPr>
      <w:r>
        <w:rPr>
          <w:i/>
        </w:rPr>
        <w:t xml:space="preserve">CBR and </w:t>
      </w:r>
      <w:proofErr w:type="spellStart"/>
      <w:r>
        <w:rPr>
          <w:i/>
        </w:rPr>
        <w:t>CRlimit</w:t>
      </w:r>
      <w:proofErr w:type="spellEnd"/>
      <w:r>
        <w:rPr>
          <w:i/>
        </w:rPr>
        <w:t xml:space="preserve"> is derived assuming TDMA access (i.e. busy time = Ton</w:t>
      </w:r>
      <w:proofErr w:type="gramStart"/>
      <w:r>
        <w:rPr>
          <w:i/>
        </w:rPr>
        <w:t>/(</w:t>
      </w:r>
      <w:proofErr w:type="gramEnd"/>
      <w:r>
        <w:rPr>
          <w:i/>
        </w:rPr>
        <w:t>Ton + Toff))</w:t>
      </w:r>
    </w:p>
    <w:p w14:paraId="28820DF3" w14:textId="77777777" w:rsidR="00D44DCB" w:rsidRDefault="00D44DCB" w:rsidP="00D44DCB">
      <w:pPr>
        <w:pStyle w:val="ListParagraph"/>
        <w:numPr>
          <w:ilvl w:val="0"/>
          <w:numId w:val="34"/>
        </w:numPr>
        <w:jc w:val="both"/>
        <w:rPr>
          <w:i/>
        </w:rPr>
      </w:pPr>
      <w:proofErr w:type="gramStart"/>
      <w:r>
        <w:rPr>
          <w:i/>
        </w:rPr>
        <w:t>f(</w:t>
      </w:r>
      <w:proofErr w:type="gramEnd"/>
      <w:r>
        <w:rPr>
          <w:i/>
        </w:rPr>
        <w:t xml:space="preserve">) is assumed to be linear (i.e. CBR = a * </w:t>
      </w:r>
      <w:proofErr w:type="spellStart"/>
      <w:r>
        <w:rPr>
          <w:i/>
        </w:rPr>
        <w:t>Nsta</w:t>
      </w:r>
      <w:proofErr w:type="spellEnd"/>
      <w:r>
        <w:rPr>
          <w:i/>
        </w:rPr>
        <w:t xml:space="preserve"> + b)</w:t>
      </w:r>
    </w:p>
    <w:p w14:paraId="205DD8A1" w14:textId="5257CF73" w:rsidR="00D44DCB" w:rsidRDefault="00D44DCB" w:rsidP="00D44DCB">
      <w:pPr>
        <w:pStyle w:val="Heading2"/>
      </w:pPr>
      <w:r>
        <w:t>A.3</w:t>
      </w:r>
      <w:r>
        <w:tab/>
        <w:t>Discussion on CBR and DCC for LTE-V2V</w:t>
      </w:r>
    </w:p>
    <w:p w14:paraId="4B4C588D" w14:textId="77777777" w:rsidR="00D44DCB" w:rsidRDefault="00D44DCB" w:rsidP="00D44DCB">
      <w:pPr>
        <w:jc w:val="both"/>
      </w:pPr>
      <w:r>
        <w:t xml:space="preserve">With the generalized formulation in mind, this subsection </w:t>
      </w:r>
      <w:proofErr w:type="gramStart"/>
      <w:r>
        <w:t>provide</w:t>
      </w:r>
      <w:proofErr w:type="gramEnd"/>
      <w:r>
        <w:t xml:space="preserve"> a further discussion on certain assumptions and their applicability for LTE-V2V.</w:t>
      </w:r>
    </w:p>
    <w:p w14:paraId="4AEDFEAD" w14:textId="77777777" w:rsidR="00D44DCB" w:rsidRPr="00B97A86" w:rsidRDefault="00D44DCB" w:rsidP="00D44DCB">
      <w:pPr>
        <w:jc w:val="both"/>
        <w:rPr>
          <w:b/>
          <w:u w:val="single"/>
        </w:rPr>
      </w:pPr>
      <w:r>
        <w:rPr>
          <w:b/>
          <w:u w:val="single"/>
        </w:rPr>
        <w:t>Aspect</w:t>
      </w:r>
      <w:r w:rsidRPr="00B97A86">
        <w:rPr>
          <w:b/>
          <w:u w:val="single"/>
        </w:rPr>
        <w:t xml:space="preserve"> 1: On the functional form (linear vs. non-linear) for </w:t>
      </w:r>
      <w:r w:rsidRPr="00EB3985">
        <w:rPr>
          <w:b/>
          <w:i/>
          <w:u w:val="single"/>
        </w:rPr>
        <w:t>CBR = f(</w:t>
      </w:r>
      <w:proofErr w:type="spellStart"/>
      <w:r w:rsidRPr="00EB3985">
        <w:rPr>
          <w:b/>
          <w:i/>
          <w:u w:val="single"/>
        </w:rPr>
        <w:t>N</w:t>
      </w:r>
      <w:r w:rsidRPr="00EB3985">
        <w:rPr>
          <w:b/>
          <w:i/>
          <w:u w:val="single"/>
          <w:vertAlign w:val="subscript"/>
        </w:rPr>
        <w:t>sta</w:t>
      </w:r>
      <w:proofErr w:type="spellEnd"/>
      <w:r w:rsidRPr="00EB3985">
        <w:rPr>
          <w:b/>
          <w:i/>
          <w:u w:val="single"/>
        </w:rPr>
        <w:t>)</w:t>
      </w:r>
    </w:p>
    <w:p w14:paraId="27500A71" w14:textId="77777777" w:rsidR="00D44DCB" w:rsidRDefault="00D44DCB" w:rsidP="00D44DCB">
      <w:pPr>
        <w:jc w:val="both"/>
      </w:pPr>
      <w:r>
        <w:t xml:space="preserve">One the key components of DCC is the functional mapping of </w:t>
      </w:r>
      <w:r w:rsidRPr="00EB3985">
        <w:rPr>
          <w:i/>
        </w:rPr>
        <w:t>CBR</w:t>
      </w:r>
      <w:r>
        <w:t xml:space="preserve"> to the number of ITS stations in a given geographical area. This is of key importance since the idea of DCC is to distribute the total number of resources allowed to be used (say 60%) equally among all the UEs. The number of UEs is of course not measurable by itself, and is only obtained by inverting the function with the measured </w:t>
      </w:r>
      <w:r w:rsidRPr="00EB3985">
        <w:rPr>
          <w:i/>
        </w:rPr>
        <w:t>CBR</w:t>
      </w:r>
      <w:r>
        <w:t xml:space="preserve"> as observed by the UE. </w:t>
      </w:r>
    </w:p>
    <w:p w14:paraId="44AD517D" w14:textId="77777777" w:rsidR="00D44DCB" w:rsidRDefault="00D44DCB" w:rsidP="00D44DCB">
      <w:pPr>
        <w:jc w:val="both"/>
      </w:pPr>
      <w:r>
        <w:t xml:space="preserve">If the assumed function is incorrect, then the UE will either underestimate or overestimate the number of stations in the given geographical area. The congestion of such a system will thus not converge at the design operating point, but rather over or under that operating point depending if the number of stations are underestimate or overestimated, respectively. </w:t>
      </w:r>
    </w:p>
    <w:p w14:paraId="481C0A57" w14:textId="77777777" w:rsidR="00D44DCB" w:rsidRDefault="00D44DCB" w:rsidP="00D44DCB">
      <w:pPr>
        <w:jc w:val="both"/>
      </w:pPr>
      <w:r>
        <w:t xml:space="preserve">To investigate the </w:t>
      </w:r>
      <w:r w:rsidRPr="00EB3985">
        <w:rPr>
          <w:i/>
        </w:rPr>
        <w:t>CBR</w:t>
      </w:r>
      <w:r>
        <w:t xml:space="preserve"> vs </w:t>
      </w:r>
      <w:proofErr w:type="spellStart"/>
      <w:r w:rsidRPr="00EB3985">
        <w:rPr>
          <w:i/>
        </w:rPr>
        <w:t>N</w:t>
      </w:r>
      <w:r w:rsidRPr="00EB3985">
        <w:rPr>
          <w:i/>
          <w:vertAlign w:val="subscript"/>
        </w:rPr>
        <w:t>sta</w:t>
      </w:r>
      <w:proofErr w:type="spellEnd"/>
      <w:r>
        <w:t xml:space="preserve"> relationship for 802.11p and LTE-V2V, we plot the measured </w:t>
      </w:r>
      <w:r w:rsidRPr="00EB3985">
        <w:rPr>
          <w:i/>
        </w:rPr>
        <w:t>CBR</w:t>
      </w:r>
      <w:r>
        <w:t xml:space="preserve"> as a function of the number of stations in within a radius equal to the link budget for that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4661"/>
      </w:tblGrid>
      <w:tr w:rsidR="00D44DCB" w14:paraId="5F6D1CD2" w14:textId="77777777" w:rsidTr="005E682D">
        <w:tc>
          <w:tcPr>
            <w:tcW w:w="4675" w:type="dxa"/>
          </w:tcPr>
          <w:p w14:paraId="76C594F4" w14:textId="77777777" w:rsidR="00D44DCB" w:rsidRDefault="00D44DCB" w:rsidP="005E682D">
            <w:pPr>
              <w:keepNext/>
              <w:jc w:val="center"/>
            </w:pPr>
            <w:r w:rsidRPr="00A547F9">
              <w:rPr>
                <w:noProof/>
                <w:lang w:val="en-US"/>
              </w:rPr>
              <w:lastRenderedPageBreak/>
              <w:drawing>
                <wp:inline distT="0" distB="0" distL="0" distR="0" wp14:anchorId="64DEB08F" wp14:editId="4E28566F">
                  <wp:extent cx="3157870" cy="23699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2573" cy="2403454"/>
                          </a:xfrm>
                          <a:prstGeom prst="rect">
                            <a:avLst/>
                          </a:prstGeom>
                          <a:noFill/>
                          <a:ln>
                            <a:noFill/>
                          </a:ln>
                        </pic:spPr>
                      </pic:pic>
                    </a:graphicData>
                  </a:graphic>
                </wp:inline>
              </w:drawing>
            </w:r>
          </w:p>
        </w:tc>
        <w:tc>
          <w:tcPr>
            <w:tcW w:w="4675" w:type="dxa"/>
          </w:tcPr>
          <w:p w14:paraId="14F03D52" w14:textId="77777777" w:rsidR="00D44DCB" w:rsidRDefault="00D44DCB" w:rsidP="005E682D">
            <w:pPr>
              <w:keepNext/>
              <w:jc w:val="center"/>
            </w:pPr>
            <w:r w:rsidRPr="00036273">
              <w:rPr>
                <w:noProof/>
                <w:lang w:val="en-US"/>
              </w:rPr>
              <w:drawing>
                <wp:inline distT="0" distB="0" distL="0" distR="0" wp14:anchorId="7C88BD28" wp14:editId="24CDA9C2">
                  <wp:extent cx="3131209" cy="23495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49840" cy="2363527"/>
                          </a:xfrm>
                          <a:prstGeom prst="rect">
                            <a:avLst/>
                          </a:prstGeom>
                          <a:noFill/>
                          <a:ln>
                            <a:noFill/>
                          </a:ln>
                        </pic:spPr>
                      </pic:pic>
                    </a:graphicData>
                  </a:graphic>
                </wp:inline>
              </w:drawing>
            </w:r>
          </w:p>
        </w:tc>
      </w:tr>
    </w:tbl>
    <w:p w14:paraId="77F7A0AB" w14:textId="54882A89" w:rsidR="00D44DCB" w:rsidRDefault="00D44DCB" w:rsidP="00D44DCB">
      <w:pPr>
        <w:pStyle w:val="Caption"/>
        <w:jc w:val="center"/>
      </w:pPr>
      <w:bookmarkStart w:id="7" w:name="_Ref466045788"/>
      <w:r>
        <w:t xml:space="preserve">Figure </w:t>
      </w:r>
      <w:r>
        <w:fldChar w:fldCharType="begin"/>
      </w:r>
      <w:r>
        <w:instrText xml:space="preserve"> SEQ Figure \* ARABIC </w:instrText>
      </w:r>
      <w:r>
        <w:fldChar w:fldCharType="separate"/>
      </w:r>
      <w:r>
        <w:rPr>
          <w:noProof/>
        </w:rPr>
        <w:t>10</w:t>
      </w:r>
      <w:r>
        <w:fldChar w:fldCharType="end"/>
      </w:r>
      <w:bookmarkEnd w:id="7"/>
      <w:r>
        <w:t>: CBR vs number of ITS stations within link budget for LTE-V2V and 802.11p; urban scenario; 15km/hr</w:t>
      </w:r>
    </w:p>
    <w:p w14:paraId="71DBAE0A" w14:textId="08C9D457" w:rsidR="00D44DCB" w:rsidRDefault="00D44DCB" w:rsidP="00D44DCB">
      <w:pPr>
        <w:jc w:val="both"/>
      </w:pPr>
      <w:r>
        <w:t xml:space="preserve">From </w:t>
      </w:r>
      <w:r>
        <w:fldChar w:fldCharType="begin"/>
      </w:r>
      <w:r>
        <w:instrText xml:space="preserve"> REF _Ref466045788 \h </w:instrText>
      </w:r>
      <w:r>
        <w:fldChar w:fldCharType="separate"/>
      </w:r>
      <w:r>
        <w:t xml:space="preserve">Figure </w:t>
      </w:r>
      <w:r>
        <w:rPr>
          <w:noProof/>
        </w:rPr>
        <w:t>10</w:t>
      </w:r>
      <w:r>
        <w:fldChar w:fldCharType="end"/>
      </w:r>
      <w:r>
        <w:t xml:space="preserve"> it can be seen that the functional form for </w:t>
      </w:r>
      <w:r w:rsidRPr="00EB3985">
        <w:rPr>
          <w:i/>
        </w:rPr>
        <w:t>CBR</w:t>
      </w:r>
      <w:r>
        <w:t xml:space="preserve"> vs. </w:t>
      </w:r>
      <w:proofErr w:type="spellStart"/>
      <w:r w:rsidRPr="00EB3985">
        <w:rPr>
          <w:i/>
        </w:rPr>
        <w:t>N</w:t>
      </w:r>
      <w:r w:rsidRPr="00EB3985">
        <w:rPr>
          <w:i/>
          <w:vertAlign w:val="subscript"/>
        </w:rPr>
        <w:t>sta</w:t>
      </w:r>
      <w:proofErr w:type="spellEnd"/>
      <w:r>
        <w:t xml:space="preserve"> is a bit different for LTE-V2V and 802.11p. For 802.11p, the linear assumption is validated using this simulation and is expected due to smaller link budget and CSMA. To elaborate, for low density of UEs, it is expected that </w:t>
      </w:r>
      <w:r w:rsidRPr="00EB3985">
        <w:rPr>
          <w:i/>
        </w:rPr>
        <w:t>CBR</w:t>
      </w:r>
      <w:r>
        <w:t xml:space="preserve"> will grow linearly with </w:t>
      </w:r>
      <w:proofErr w:type="spellStart"/>
      <w:r w:rsidRPr="00EB3985">
        <w:rPr>
          <w:i/>
        </w:rPr>
        <w:t>N</w:t>
      </w:r>
      <w:r w:rsidRPr="00EB3985">
        <w:rPr>
          <w:i/>
          <w:vertAlign w:val="subscript"/>
        </w:rPr>
        <w:t>sta</w:t>
      </w:r>
      <w:proofErr w:type="spellEnd"/>
      <w:r>
        <w:t xml:space="preserve">. This behaviour is maintained for 802.11p due to lower link budget and CSMA such that reuse of resources within link budget is maintained low. The non-linear behaviour for 802.11p still arises due to hidden nodes etc., but is not expected to dominate the shape of the function </w:t>
      </w:r>
      <w:proofErr w:type="gramStart"/>
      <w:r w:rsidRPr="00EB3985">
        <w:rPr>
          <w:i/>
        </w:rPr>
        <w:t>f(</w:t>
      </w:r>
      <w:proofErr w:type="gramEnd"/>
      <w:r w:rsidRPr="00EB3985">
        <w:rPr>
          <w:i/>
        </w:rPr>
        <w:t>)</w:t>
      </w:r>
      <w:r>
        <w:t xml:space="preserve">. For LTE-V2V, however, as the density grows more rapidly with </w:t>
      </w:r>
      <w:proofErr w:type="spellStart"/>
      <w:r w:rsidRPr="00EB3985">
        <w:rPr>
          <w:i/>
        </w:rPr>
        <w:t>N</w:t>
      </w:r>
      <w:r w:rsidRPr="00EB3985">
        <w:rPr>
          <w:i/>
          <w:vertAlign w:val="subscript"/>
        </w:rPr>
        <w:t>sta</w:t>
      </w:r>
      <w:proofErr w:type="spellEnd"/>
      <w:r>
        <w:t xml:space="preserve"> and starts to plateau as the resource reuse increases with the geographical area (with radius of link budget).</w:t>
      </w:r>
    </w:p>
    <w:p w14:paraId="13B0A175" w14:textId="77777777" w:rsidR="00D44DCB" w:rsidRDefault="00D44DCB" w:rsidP="00D44DCB">
      <w:pPr>
        <w:jc w:val="both"/>
      </w:pPr>
      <w:r>
        <w:t xml:space="preserve">Depending on the desired system operating point with respect to the </w:t>
      </w:r>
      <w:proofErr w:type="spellStart"/>
      <w:r w:rsidRPr="003A1EEB">
        <w:rPr>
          <w:i/>
        </w:rPr>
        <w:t>CBR</w:t>
      </w:r>
      <w:r w:rsidRPr="003A1EEB">
        <w:rPr>
          <w:i/>
          <w:vertAlign w:val="subscript"/>
        </w:rPr>
        <w:t>limit</w:t>
      </w:r>
      <w:proofErr w:type="spellEnd"/>
      <w:r>
        <w:rPr>
          <w:i/>
        </w:rPr>
        <w:t>,</w:t>
      </w:r>
      <w:r w:rsidRPr="003A1EEB">
        <w:t xml:space="preserve"> </w:t>
      </w:r>
      <w:r>
        <w:t xml:space="preserve">the linear assumption for </w:t>
      </w:r>
      <w:proofErr w:type="gramStart"/>
      <w:r w:rsidRPr="00EB3985">
        <w:rPr>
          <w:i/>
        </w:rPr>
        <w:t>f(</w:t>
      </w:r>
      <w:proofErr w:type="gramEnd"/>
      <w:r w:rsidRPr="00EB3985">
        <w:rPr>
          <w:i/>
        </w:rPr>
        <w:t>)</w:t>
      </w:r>
      <w:r>
        <w:t xml:space="preserve"> as made currently in the harmonized specification may not be appropriate for LTE-V2V. Even with a linear function assumption, the parameters (slope, intercept) of the function may be different for LTE-V2V compared to 802.11p.</w:t>
      </w:r>
    </w:p>
    <w:p w14:paraId="7A2EC7AA" w14:textId="77777777" w:rsidR="00D44DCB" w:rsidRDefault="00D44DCB" w:rsidP="00D44DCB">
      <w:pPr>
        <w:jc w:val="both"/>
      </w:pPr>
      <w:r>
        <w:t xml:space="preserve">We hence propose that the function </w:t>
      </w:r>
      <w:proofErr w:type="gramStart"/>
      <w:r w:rsidRPr="00EB3985">
        <w:rPr>
          <w:i/>
        </w:rPr>
        <w:t>f(</w:t>
      </w:r>
      <w:proofErr w:type="gramEnd"/>
      <w:r w:rsidRPr="00EB3985">
        <w:rPr>
          <w:i/>
        </w:rPr>
        <w:t>)</w:t>
      </w:r>
      <w:r>
        <w:t xml:space="preserve"> can be configured in the UE (as its technology specific). This also allows for future flexibility with other technologies (NR) that may have different channel access methods leading to a different relationship between </w:t>
      </w:r>
      <w:r w:rsidRPr="00EB3985">
        <w:rPr>
          <w:i/>
        </w:rPr>
        <w:t>CBR</w:t>
      </w:r>
      <w:r>
        <w:t xml:space="preserve"> and </w:t>
      </w:r>
      <w:proofErr w:type="spellStart"/>
      <w:r w:rsidRPr="00EB3985">
        <w:rPr>
          <w:i/>
        </w:rPr>
        <w:t>N</w:t>
      </w:r>
      <w:r w:rsidRPr="00EB3985">
        <w:rPr>
          <w:i/>
          <w:vertAlign w:val="subscript"/>
        </w:rPr>
        <w:t>sta</w:t>
      </w:r>
      <w:proofErr w:type="spellEnd"/>
      <w:r>
        <w:t>.</w:t>
      </w:r>
    </w:p>
    <w:p w14:paraId="6FAEAD81" w14:textId="1372F9AA" w:rsidR="00D44DCB" w:rsidRDefault="00A549CB" w:rsidP="00D44DCB">
      <w:pPr>
        <w:jc w:val="both"/>
        <w:rPr>
          <w:i/>
        </w:rPr>
      </w:pPr>
      <w:r>
        <w:rPr>
          <w:b/>
          <w:i/>
        </w:rPr>
        <w:t>Observation</w:t>
      </w:r>
      <w:r w:rsidR="00D44DCB" w:rsidRPr="00150194">
        <w:rPr>
          <w:b/>
          <w:i/>
        </w:rPr>
        <w:t xml:space="preserve">: </w:t>
      </w:r>
      <w:r w:rsidR="00D44DCB">
        <w:rPr>
          <w:i/>
        </w:rPr>
        <w:t xml:space="preserve">Linear mapping from </w:t>
      </w:r>
      <w:proofErr w:type="spellStart"/>
      <w:r w:rsidR="00D44DCB" w:rsidRPr="00EB3985">
        <w:rPr>
          <w:i/>
        </w:rPr>
        <w:t>N</w:t>
      </w:r>
      <w:r w:rsidR="00D44DCB" w:rsidRPr="00EB3985">
        <w:rPr>
          <w:i/>
          <w:vertAlign w:val="subscript"/>
        </w:rPr>
        <w:t>sta</w:t>
      </w:r>
      <w:proofErr w:type="spellEnd"/>
      <w:r w:rsidR="00D44DCB" w:rsidRPr="00EB3985">
        <w:rPr>
          <w:i/>
        </w:rPr>
        <w:t xml:space="preserve"> </w:t>
      </w:r>
      <w:r w:rsidR="00D44DCB">
        <w:rPr>
          <w:i/>
        </w:rPr>
        <w:t xml:space="preserve">to </w:t>
      </w:r>
      <w:r w:rsidR="00D44DCB" w:rsidRPr="00EB3985">
        <w:rPr>
          <w:i/>
        </w:rPr>
        <w:t>CBR</w:t>
      </w:r>
      <w:r w:rsidR="00D44DCB">
        <w:t xml:space="preserve"> </w:t>
      </w:r>
      <w:r w:rsidR="00D44DCB">
        <w:rPr>
          <w:i/>
        </w:rPr>
        <w:t xml:space="preserve">as used in EN 302.571 is not sufficient for LTE-V2V. For LTE-V2V the mapping between CBR and </w:t>
      </w:r>
      <w:proofErr w:type="spellStart"/>
      <w:r w:rsidR="00D44DCB" w:rsidRPr="00EB3985">
        <w:rPr>
          <w:i/>
        </w:rPr>
        <w:t>N</w:t>
      </w:r>
      <w:r w:rsidR="00D44DCB" w:rsidRPr="00EB3985">
        <w:rPr>
          <w:i/>
          <w:vertAlign w:val="subscript"/>
        </w:rPr>
        <w:t>sta</w:t>
      </w:r>
      <w:proofErr w:type="spellEnd"/>
      <w:r w:rsidR="00D44DCB">
        <w:rPr>
          <w:i/>
          <w:vertAlign w:val="subscript"/>
        </w:rPr>
        <w:t xml:space="preserve"> </w:t>
      </w:r>
      <w:r w:rsidR="00D44DCB">
        <w:rPr>
          <w:i/>
        </w:rPr>
        <w:t>should be (pre-) configurable.</w:t>
      </w:r>
    </w:p>
    <w:p w14:paraId="1B432BAC" w14:textId="77777777" w:rsidR="00D44DCB" w:rsidRPr="00F873E4" w:rsidRDefault="00D44DCB" w:rsidP="00D44DCB">
      <w:pPr>
        <w:jc w:val="both"/>
      </w:pPr>
      <w:r>
        <w:t xml:space="preserve">One drawback of using </w:t>
      </w:r>
      <w:proofErr w:type="gramStart"/>
      <w:r>
        <w:t>f(</w:t>
      </w:r>
      <w:proofErr w:type="gramEnd"/>
      <w:r>
        <w:t>) to estimate the number of stations is that the UE cannot distinguish if the measured CBR is due to N UEs transmitting on X resources each, or from 2N UEs transmitting on X/2 resources. This is important aspect of congestion control since the UE will be then either under/over-estimating the number of stations based on the measured CBR as it does not know their channel utilization. For a fully decentralized framework (as used in EN 302 571) is not possible (at without further looking at the MAC headers to see different sources). However, if this information can be exchanged, e.g. each UE also includes its fractional resource utilization in SA, then the UE can better estimate the number of stations in the proximity.</w:t>
      </w:r>
    </w:p>
    <w:p w14:paraId="7AEF180F" w14:textId="77777777" w:rsidR="00D44DCB" w:rsidRPr="006908C9" w:rsidRDefault="00D44DCB" w:rsidP="00D44DCB">
      <w:pPr>
        <w:jc w:val="both"/>
        <w:rPr>
          <w:b/>
          <w:u w:val="single"/>
        </w:rPr>
      </w:pPr>
      <w:r>
        <w:rPr>
          <w:b/>
          <w:u w:val="single"/>
        </w:rPr>
        <w:t>Aspect</w:t>
      </w:r>
      <w:r w:rsidRPr="00B97A86">
        <w:rPr>
          <w:b/>
          <w:u w:val="single"/>
        </w:rPr>
        <w:t xml:space="preserve"> </w:t>
      </w:r>
      <w:r>
        <w:rPr>
          <w:b/>
          <w:u w:val="single"/>
        </w:rPr>
        <w:t>2</w:t>
      </w:r>
      <w:r w:rsidRPr="006908C9">
        <w:rPr>
          <w:b/>
          <w:u w:val="single"/>
        </w:rPr>
        <w:t>: Requirement on limiting the channel resource utilization (</w:t>
      </w:r>
      <w:r w:rsidRPr="00EB3985">
        <w:rPr>
          <w:b/>
          <w:i/>
          <w:u w:val="single"/>
        </w:rPr>
        <w:t>CR</w:t>
      </w:r>
      <w:r w:rsidRPr="006908C9">
        <w:rPr>
          <w:b/>
          <w:u w:val="single"/>
        </w:rPr>
        <w:t>) (</w:t>
      </w:r>
      <w:proofErr w:type="spellStart"/>
      <w:r w:rsidRPr="00EB3985">
        <w:rPr>
          <w:b/>
          <w:i/>
          <w:u w:val="single"/>
        </w:rPr>
        <w:t>T</w:t>
      </w:r>
      <w:r w:rsidRPr="00EB3985">
        <w:rPr>
          <w:b/>
          <w:i/>
          <w:u w:val="single"/>
          <w:vertAlign w:val="subscript"/>
        </w:rPr>
        <w:t>offlimit</w:t>
      </w:r>
      <w:proofErr w:type="spellEnd"/>
      <w:r w:rsidRPr="006908C9">
        <w:rPr>
          <w:b/>
          <w:u w:val="single"/>
        </w:rPr>
        <w:t xml:space="preserve"> vs. </w:t>
      </w:r>
      <w:proofErr w:type="spellStart"/>
      <w:r w:rsidRPr="00EB3985">
        <w:rPr>
          <w:b/>
          <w:i/>
          <w:u w:val="single"/>
        </w:rPr>
        <w:t>CR</w:t>
      </w:r>
      <w:r w:rsidRPr="00EB3985">
        <w:rPr>
          <w:b/>
          <w:i/>
          <w:u w:val="single"/>
          <w:vertAlign w:val="subscript"/>
        </w:rPr>
        <w:t>limit</w:t>
      </w:r>
      <w:proofErr w:type="spellEnd"/>
      <w:r w:rsidRPr="006908C9">
        <w:rPr>
          <w:b/>
          <w:u w:val="single"/>
        </w:rPr>
        <w:t>)</w:t>
      </w:r>
    </w:p>
    <w:p w14:paraId="417AE897" w14:textId="77777777" w:rsidR="00D44DCB" w:rsidRDefault="00D44DCB" w:rsidP="00D44DCB">
      <w:pPr>
        <w:jc w:val="both"/>
      </w:pPr>
      <w:r>
        <w:t>From the discussion above, we noted that a generalized formulation of DCC is to limit the channel resource utilization (CR) at the UE as:</w:t>
      </w:r>
    </w:p>
    <w:p w14:paraId="2339CD7C" w14:textId="77777777" w:rsidR="00D44DCB" w:rsidRDefault="00D44DCB" w:rsidP="00D44DCB">
      <w:pPr>
        <w:ind w:left="720" w:firstLine="720"/>
        <w:jc w:val="both"/>
      </w:pPr>
      <w:r>
        <w:t xml:space="preserve">If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then</w:t>
      </w:r>
    </w:p>
    <w:p w14:paraId="7B8CE5B6" w14:textId="77777777" w:rsidR="00D44DCB" w:rsidRPr="001D15A6" w:rsidRDefault="00D44DCB" w:rsidP="00D44DCB">
      <w:pPr>
        <w:jc w:val="both"/>
      </w:pPr>
      <m:oMathPara>
        <m:oMath>
          <m:r>
            <w:rPr>
              <w:rFonts w:ascii="Cambria Math" w:hAnsi="Cambria Math"/>
            </w:rPr>
            <m:t>C</m:t>
          </m:r>
          <m:sSub>
            <m:sSubPr>
              <m:ctrlPr>
                <w:rPr>
                  <w:rFonts w:ascii="Cambria Math" w:hAnsi="Cambria Math"/>
                  <w:i/>
                </w:rPr>
              </m:ctrlPr>
            </m:sSubPr>
            <m:e>
              <m:r>
                <w:rPr>
                  <w:rFonts w:ascii="Cambria Math" w:hAnsi="Cambria Math"/>
                </w:rPr>
                <m:t>R</m:t>
              </m:r>
            </m:e>
            <m:sub>
              <m:r>
                <w:rPr>
                  <w:rFonts w:ascii="Cambria Math" w:hAnsi="Cambria Math"/>
                </w:rPr>
                <m:t>limit</m:t>
              </m:r>
            </m:sub>
          </m:sSub>
          <m:r>
            <w:rPr>
              <w:rFonts w:ascii="Cambria Math" w:hAnsi="Cambria Math"/>
            </w:rPr>
            <m:t>=</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d>
            <m:dPr>
              <m:begChr m:val="["/>
              <m:endChr m:val="]"/>
              <m:ctrlPr>
                <w:rPr>
                  <w:rFonts w:ascii="Cambria Math" w:hAnsi="Cambria Math"/>
                  <w:i/>
                </w:rPr>
              </m:ctrlPr>
            </m:dPr>
            <m:e>
              <m:r>
                <w:rPr>
                  <w:rFonts w:ascii="Cambria Math" w:hAnsi="Cambria Math"/>
                </w:rPr>
                <m:t xml:space="preserve">or </m:t>
              </m:r>
              <m:f>
                <m:fPr>
                  <m:ctrlPr>
                    <w:rPr>
                      <w:rFonts w:ascii="Cambria Math" w:hAnsi="Cambria Math"/>
                      <w:i/>
                    </w:rPr>
                  </m:ctrlPr>
                </m:fPr>
                <m:num>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limit</m:t>
                      </m:r>
                    </m:sub>
                  </m:sSub>
                </m:num>
                <m:den>
                  <m:sSup>
                    <m:sSupPr>
                      <m:ctrlPr>
                        <w:rPr>
                          <w:rFonts w:ascii="Cambria Math" w:hAnsi="Cambria Math"/>
                          <w:i/>
                        </w:rPr>
                      </m:ctrlPr>
                    </m:sSupPr>
                    <m:e>
                      <m:r>
                        <w:rPr>
                          <w:rFonts w:ascii="Cambria Math" w:hAnsi="Cambria Math"/>
                        </w:rPr>
                        <m:t>f</m:t>
                      </m:r>
                    </m:e>
                    <m:sup>
                      <m:r>
                        <w:rPr>
                          <w:rFonts w:ascii="Cambria Math" w:hAnsi="Cambria Math"/>
                        </w:rPr>
                        <m:t>-1</m:t>
                      </m:r>
                    </m:sup>
                  </m:sSup>
                  <m:d>
                    <m:dPr>
                      <m:ctrlPr>
                        <w:rPr>
                          <w:rFonts w:ascii="Cambria Math" w:hAnsi="Cambria Math"/>
                          <w:i/>
                        </w:rPr>
                      </m:ctrlPr>
                    </m:dPr>
                    <m:e>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e>
                  </m:d>
                </m:den>
              </m:f>
            </m:e>
          </m:d>
          <m:r>
            <w:rPr>
              <w:rFonts w:ascii="Cambria Math" w:hAnsi="Cambria Math"/>
            </w:rPr>
            <m:t xml:space="preserve"> </m:t>
          </m:r>
        </m:oMath>
      </m:oMathPara>
    </w:p>
    <w:p w14:paraId="675564E3" w14:textId="77777777" w:rsidR="00D44DCB" w:rsidRDefault="00D44DCB" w:rsidP="00D44DCB">
      <w:pPr>
        <w:jc w:val="both"/>
      </w:pPr>
      <w:r>
        <w:t xml:space="preserve">For 802.11p, this translated to a limit on </w:t>
      </w:r>
      <w:r w:rsidRPr="006C3381">
        <w:rPr>
          <w:i/>
        </w:rPr>
        <w:t>T</w:t>
      </w:r>
      <w:r w:rsidRPr="006C3381">
        <w:rPr>
          <w:i/>
          <w:vertAlign w:val="subscript"/>
        </w:rPr>
        <w:t>off</w:t>
      </w:r>
      <w:r w:rsidRPr="006C3381">
        <w:rPr>
          <w:vertAlign w:val="subscript"/>
        </w:rPr>
        <w:t xml:space="preserve"> </w:t>
      </w:r>
      <w:r>
        <w:t xml:space="preserve">period due to TDMA access, since for 802.11p </w:t>
      </w:r>
    </w:p>
    <w:p w14:paraId="520C3659" w14:textId="77777777" w:rsidR="00D44DCB" w:rsidRPr="00AB2428" w:rsidRDefault="00D44DCB" w:rsidP="00D44DCB">
      <w:pPr>
        <w:jc w:val="both"/>
      </w:pPr>
      <m:oMathPara>
        <m:oMath>
          <m:r>
            <w:rPr>
              <w:rFonts w:ascii="Cambria Math" w:hAnsi="Cambria Math"/>
            </w:rPr>
            <w:lastRenderedPageBreak/>
            <m:t>CR=</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on</m:t>
                  </m:r>
                </m:sub>
              </m:sSub>
            </m:num>
            <m:den>
              <m:sSub>
                <m:sSubPr>
                  <m:ctrlPr>
                    <w:rPr>
                      <w:rFonts w:ascii="Cambria Math" w:hAnsi="Cambria Math"/>
                      <w:i/>
                    </w:rPr>
                  </m:ctrlPr>
                </m:sSubPr>
                <m:e>
                  <m:r>
                    <w:rPr>
                      <w:rFonts w:ascii="Cambria Math" w:hAnsi="Cambria Math"/>
                    </w:rPr>
                    <m:t>T</m:t>
                  </m:r>
                </m:e>
                <m:sub>
                  <m:r>
                    <w:rPr>
                      <w:rFonts w:ascii="Cambria Math" w:hAnsi="Cambria Math"/>
                    </w:rPr>
                    <m:t>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m:t>
                  </m:r>
                </m:sub>
              </m:sSub>
            </m:den>
          </m:f>
          <m:r>
            <w:rPr>
              <w:rFonts w:ascii="Cambria Math" w:hAnsi="Cambria Math"/>
            </w:rPr>
            <m:t xml:space="preserve"> </m:t>
          </m:r>
          <m:r>
            <m:rPr>
              <m:nor/>
            </m:rPr>
            <w:rPr>
              <w:rFonts w:ascii="Cambria Math" w:hAnsi="Cambria Math"/>
            </w:rPr>
            <m:t>for 802.11p</m:t>
          </m:r>
        </m:oMath>
      </m:oMathPara>
    </w:p>
    <w:p w14:paraId="398DE506" w14:textId="77777777" w:rsidR="00D44DCB" w:rsidRDefault="00D44DCB" w:rsidP="00D44DCB">
      <w:pPr>
        <w:jc w:val="both"/>
      </w:pPr>
      <w:r>
        <w:t xml:space="preserve">For LTE-V2V, however, a better DCC implementation is possible. For example, assume that the </w:t>
      </w:r>
      <w:proofErr w:type="spellStart"/>
      <w:r w:rsidRPr="006C3381">
        <w:rPr>
          <w:i/>
        </w:rPr>
        <w:t>CR</w:t>
      </w:r>
      <w:r w:rsidRPr="006C3381">
        <w:rPr>
          <w:i/>
          <w:vertAlign w:val="subscript"/>
        </w:rPr>
        <w:t>limit</w:t>
      </w:r>
      <w:proofErr w:type="spellEnd"/>
      <w:r w:rsidRPr="006C3381">
        <w:rPr>
          <w:vertAlign w:val="subscript"/>
        </w:rPr>
        <w:t xml:space="preserve"> </w:t>
      </w:r>
      <w:r>
        <w:t xml:space="preserve">for the system is 0.004, which is 20 RBs every 100ms. When the system is not congested, the UE can still transmit over 30RBs every 100ms (i.e. </w:t>
      </w:r>
      <w:r w:rsidRPr="006C3381">
        <w:rPr>
          <w:i/>
        </w:rPr>
        <w:t>CR</w:t>
      </w:r>
      <w:r>
        <w:t xml:space="preserve"> = 0.008). However, when the system is congested, i.e. </w:t>
      </w:r>
      <m:oMath>
        <m:r>
          <w:rPr>
            <w:rFonts w:ascii="Cambria Math" w:hAnsi="Cambria Math"/>
          </w:rPr>
          <m:t>CB</m:t>
        </m:r>
        <m:sSub>
          <m:sSubPr>
            <m:ctrlPr>
              <w:rPr>
                <w:rFonts w:ascii="Cambria Math" w:hAnsi="Cambria Math"/>
                <w:i/>
              </w:rPr>
            </m:ctrlPr>
          </m:sSubPr>
          <m:e>
            <m:r>
              <w:rPr>
                <w:rFonts w:ascii="Cambria Math" w:hAnsi="Cambria Math"/>
              </w:rPr>
              <m:t>R</m:t>
            </m:r>
          </m:e>
          <m:sub>
            <m:r>
              <w:rPr>
                <w:rFonts w:ascii="Cambria Math" w:hAnsi="Cambria Math"/>
              </w:rPr>
              <m:t>measured</m:t>
            </m:r>
          </m:sub>
        </m:sSub>
        <m:r>
          <w:rPr>
            <w:rFonts w:ascii="Cambria Math" w:hAnsi="Cambria Math"/>
          </w:rPr>
          <m:t>&gt; CB</m:t>
        </m:r>
        <m:sSub>
          <m:sSubPr>
            <m:ctrlPr>
              <w:rPr>
                <w:rFonts w:ascii="Cambria Math" w:hAnsi="Cambria Math"/>
                <w:i/>
              </w:rPr>
            </m:ctrlPr>
          </m:sSubPr>
          <m:e>
            <m:r>
              <w:rPr>
                <w:rFonts w:ascii="Cambria Math" w:hAnsi="Cambria Math"/>
              </w:rPr>
              <m:t>R</m:t>
            </m:r>
          </m:e>
          <m:sub>
            <m:r>
              <w:rPr>
                <w:rFonts w:ascii="Cambria Math" w:hAnsi="Cambria Math"/>
              </w:rPr>
              <m:t>limit</m:t>
            </m:r>
          </m:sub>
        </m:sSub>
      </m:oMath>
      <w:r>
        <w:t xml:space="preserve">, the UE has both time and frequency dimensions to limit the </w:t>
      </w:r>
      <w:r w:rsidRPr="006C3381">
        <w:rPr>
          <w:i/>
        </w:rPr>
        <w:t>CR</w:t>
      </w:r>
      <w:r>
        <w:t xml:space="preserve"> below </w:t>
      </w:r>
      <w:proofErr w:type="spellStart"/>
      <w:r w:rsidRPr="006C3381">
        <w:rPr>
          <w:i/>
        </w:rPr>
        <w:t>CR</w:t>
      </w:r>
      <w:r w:rsidRPr="006C3381">
        <w:rPr>
          <w:i/>
          <w:vertAlign w:val="subscript"/>
        </w:rPr>
        <w:t>limit</w:t>
      </w:r>
      <w:proofErr w:type="spellEnd"/>
      <w:r>
        <w:t xml:space="preserve">. For example, it can either increase MCS to occupy 20RBs every 100ms, or increasing </w:t>
      </w:r>
      <w:r w:rsidRPr="006C3381">
        <w:rPr>
          <w:i/>
        </w:rPr>
        <w:t>T</w:t>
      </w:r>
      <w:r w:rsidRPr="006C3381">
        <w:rPr>
          <w:i/>
          <w:vertAlign w:val="subscript"/>
        </w:rPr>
        <w:t>off</w:t>
      </w:r>
      <w:r>
        <w:t xml:space="preserve"> as in the current specification.</w:t>
      </w:r>
    </w:p>
    <w:p w14:paraId="1397F837" w14:textId="77777777" w:rsidR="00D44DCB" w:rsidRDefault="00D44DCB" w:rsidP="00D44DCB">
      <w:pPr>
        <w:jc w:val="both"/>
      </w:pPr>
      <w:r>
        <w:t xml:space="preserve">We hence propose that the generalized formulation of </w:t>
      </w:r>
      <w:proofErr w:type="spellStart"/>
      <w:r w:rsidRPr="006C3381">
        <w:rPr>
          <w:i/>
        </w:rPr>
        <w:t>CR</w:t>
      </w:r>
      <w:r w:rsidRPr="006C3381">
        <w:rPr>
          <w:i/>
          <w:vertAlign w:val="subscript"/>
        </w:rPr>
        <w:t>limit</w:t>
      </w:r>
      <w:proofErr w:type="spellEnd"/>
      <w:r>
        <w:t xml:space="preserve"> should be applicable for LTE-V2V (and all technologies in general). For 802.11p, this is automatically calculated as the </w:t>
      </w:r>
      <w:proofErr w:type="spellStart"/>
      <w:r w:rsidRPr="006C3381">
        <w:rPr>
          <w:i/>
        </w:rPr>
        <w:t>T</w:t>
      </w:r>
      <w:r w:rsidRPr="006C3381">
        <w:rPr>
          <w:i/>
          <w:vertAlign w:val="subscript"/>
        </w:rPr>
        <w:t>offlimit</w:t>
      </w:r>
      <w:proofErr w:type="spellEnd"/>
      <w:r>
        <w:t xml:space="preserve"> as currently specified.</w:t>
      </w:r>
    </w:p>
    <w:p w14:paraId="481A1213" w14:textId="48EC5AFE" w:rsidR="00D44DCB" w:rsidRDefault="00A549CB" w:rsidP="00D44DCB">
      <w:pPr>
        <w:jc w:val="both"/>
      </w:pPr>
      <w:r>
        <w:rPr>
          <w:b/>
          <w:i/>
        </w:rPr>
        <w:t>Observation</w:t>
      </w:r>
      <w:r w:rsidR="00D44DCB" w:rsidRPr="00585034">
        <w:rPr>
          <w:b/>
          <w:i/>
        </w:rPr>
        <w:t>:</w:t>
      </w:r>
      <w:r w:rsidR="00D44DCB">
        <w:rPr>
          <w:i/>
        </w:rPr>
        <w:t xml:space="preserve"> For LTE-V2V a generalized formulation of </w:t>
      </w:r>
      <w:proofErr w:type="spellStart"/>
      <w:r w:rsidR="00D44DCB" w:rsidRPr="006C3381">
        <w:rPr>
          <w:i/>
        </w:rPr>
        <w:t>CR</w:t>
      </w:r>
      <w:r w:rsidR="00D44DCB" w:rsidRPr="006C3381">
        <w:rPr>
          <w:i/>
          <w:vertAlign w:val="subscript"/>
        </w:rPr>
        <w:t>limit</w:t>
      </w:r>
      <w:proofErr w:type="spellEnd"/>
      <w:r w:rsidR="00D44DCB">
        <w:rPr>
          <w:i/>
        </w:rPr>
        <w:t xml:space="preserve"> should be adopted to account the FDM nature of LTE-V2V and can be considered as limit on the fraction of time-frequency resources occupied.</w:t>
      </w:r>
    </w:p>
    <w:p w14:paraId="2B34304E" w14:textId="77777777" w:rsidR="00D44DCB" w:rsidRDefault="00D44DCB" w:rsidP="00D44DCB">
      <w:pPr>
        <w:jc w:val="both"/>
        <w:rPr>
          <w:b/>
          <w:u w:val="single"/>
        </w:rPr>
      </w:pPr>
      <w:r>
        <w:rPr>
          <w:b/>
          <w:u w:val="single"/>
        </w:rPr>
        <w:t>Aspect</w:t>
      </w:r>
      <w:r w:rsidRPr="00C07596">
        <w:rPr>
          <w:b/>
          <w:u w:val="single"/>
        </w:rPr>
        <w:t xml:space="preserve"> </w:t>
      </w:r>
      <w:r>
        <w:rPr>
          <w:b/>
          <w:u w:val="single"/>
        </w:rPr>
        <w:t>3</w:t>
      </w:r>
      <w:r w:rsidRPr="00C07596">
        <w:rPr>
          <w:b/>
          <w:u w:val="single"/>
        </w:rPr>
        <w:t>: Interaction between PPPP and DCC</w:t>
      </w:r>
    </w:p>
    <w:p w14:paraId="0C2DEC2B" w14:textId="77777777" w:rsidR="00D44DCB" w:rsidRDefault="00D44DCB" w:rsidP="00D44DCB">
      <w:pPr>
        <w:jc w:val="both"/>
      </w:pPr>
      <w:r>
        <w:t xml:space="preserve">One specific aspect for LTE-V2V is the presence of PPPP. The question then is how congestion control should work when the system has packets of different priorities. A natural requirement is that low priority packets should not congest the system too much so that the higher-priority packets suffer (by either longer </w:t>
      </w:r>
      <w:proofErr w:type="spellStart"/>
      <w:r>
        <w:t>backoff</w:t>
      </w:r>
      <w:proofErr w:type="spellEnd"/>
      <w:r>
        <w:t xml:space="preserve"> or even performance impacts). </w:t>
      </w:r>
    </w:p>
    <w:p w14:paraId="58C9DA34" w14:textId="77777777" w:rsidR="00D44DCB" w:rsidRDefault="00D44DCB" w:rsidP="00D44DCB">
      <w:pPr>
        <w:jc w:val="both"/>
      </w:pPr>
      <w:r>
        <w:t xml:space="preserve">We hence propose that we have separate CBR limits per packet priority. Taking an example of two priority packets in the systems, the UE is then configured with </w:t>
      </w:r>
      <w:r w:rsidRPr="006C3381">
        <w:rPr>
          <w:i/>
        </w:rPr>
        <w:t>CBR</w:t>
      </w:r>
      <w:r w:rsidRPr="006C3381">
        <w:rPr>
          <w:i/>
          <w:vertAlign w:val="subscript"/>
        </w:rPr>
        <w:t>limit_p0</w:t>
      </w:r>
      <w:r w:rsidRPr="006C3381">
        <w:rPr>
          <w:vertAlign w:val="subscript"/>
        </w:rPr>
        <w:t xml:space="preserve"> </w:t>
      </w:r>
      <w:r>
        <w:t xml:space="preserve">and </w:t>
      </w:r>
      <w:r w:rsidRPr="006C3381">
        <w:rPr>
          <w:i/>
        </w:rPr>
        <w:t>CBR</w:t>
      </w:r>
      <w:r w:rsidRPr="006C3381">
        <w:rPr>
          <w:i/>
          <w:vertAlign w:val="subscript"/>
        </w:rPr>
        <w:t>limit_p1</w:t>
      </w:r>
      <w:r>
        <w:t xml:space="preserve">, with p0 having higher priority than p1. Then the CBR limits can be set such that </w:t>
      </w:r>
      <w:r w:rsidRPr="003A461C">
        <w:rPr>
          <w:i/>
        </w:rPr>
        <w:t>CBR</w:t>
      </w:r>
      <w:r w:rsidRPr="003A461C">
        <w:rPr>
          <w:i/>
          <w:vertAlign w:val="subscript"/>
        </w:rPr>
        <w:t>limit_p1</w:t>
      </w:r>
      <w:r>
        <w:t xml:space="preserve"> &lt; </w:t>
      </w:r>
      <w:r w:rsidRPr="003A461C">
        <w:rPr>
          <w:i/>
        </w:rPr>
        <w:t>CBR</w:t>
      </w:r>
      <w:r w:rsidRPr="003A461C">
        <w:rPr>
          <w:i/>
          <w:vertAlign w:val="subscript"/>
        </w:rPr>
        <w:t>limit_p0</w:t>
      </w:r>
      <w:r>
        <w:t xml:space="preserve">, so that low priority packets can congest the system only to a certain limit and still leave room for higher priority packets to enter the system. With increasing congestion, the low priority packets will then </w:t>
      </w:r>
      <w:proofErr w:type="spellStart"/>
      <w:r>
        <w:t>backoff</w:t>
      </w:r>
      <w:proofErr w:type="spellEnd"/>
      <w:r>
        <w:t xml:space="preserve"> first and reduce the effect on high priority packets. </w:t>
      </w:r>
    </w:p>
    <w:p w14:paraId="52C4D9A7" w14:textId="390A75DD" w:rsidR="00D44DCB" w:rsidRPr="001129AD" w:rsidRDefault="00A549CB" w:rsidP="00D44DCB">
      <w:pPr>
        <w:jc w:val="both"/>
        <w:rPr>
          <w:b/>
          <w:i/>
        </w:rPr>
      </w:pPr>
      <w:r>
        <w:rPr>
          <w:b/>
          <w:i/>
        </w:rPr>
        <w:t>Observation</w:t>
      </w:r>
      <w:r w:rsidR="00D44DCB" w:rsidRPr="00770461">
        <w:rPr>
          <w:b/>
          <w:i/>
        </w:rPr>
        <w:t>:</w:t>
      </w:r>
      <w:r w:rsidR="00D44DCB">
        <w:rPr>
          <w:i/>
        </w:rPr>
        <w:t xml:space="preserve"> For LTE-V2V the </w:t>
      </w:r>
      <w:proofErr w:type="spellStart"/>
      <w:r w:rsidR="00D44DCB" w:rsidRPr="006C3381">
        <w:rPr>
          <w:i/>
        </w:rPr>
        <w:t>CBR</w:t>
      </w:r>
      <w:r w:rsidR="00D44DCB" w:rsidRPr="006C3381">
        <w:rPr>
          <w:i/>
          <w:vertAlign w:val="subscript"/>
        </w:rPr>
        <w:t>limit</w:t>
      </w:r>
      <w:proofErr w:type="spellEnd"/>
      <w:r w:rsidR="00D44DCB">
        <w:rPr>
          <w:i/>
          <w:vertAlign w:val="subscript"/>
        </w:rPr>
        <w:t xml:space="preserve"> </w:t>
      </w:r>
      <w:r w:rsidR="00D44DCB">
        <w:rPr>
          <w:i/>
        </w:rPr>
        <w:t>should be configurable and should be on a PPPP basis.</w:t>
      </w:r>
    </w:p>
    <w:p w14:paraId="0CF6EF07" w14:textId="3456EACF" w:rsidR="001A4C95" w:rsidRDefault="001A4C95">
      <w:pPr>
        <w:overflowPunct/>
        <w:autoSpaceDE/>
        <w:autoSpaceDN/>
        <w:adjustRightInd/>
        <w:spacing w:after="0"/>
        <w:textAlignment w:val="auto"/>
      </w:pPr>
    </w:p>
    <w:sectPr w:rsidR="001A4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6.15pt;height:16.15pt" o:bullet="t">
        <v:imagedata r:id="rId1" o:title="art5622"/>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4364C"/>
    <w:multiLevelType w:val="hybridMultilevel"/>
    <w:tmpl w:val="6E70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01C01"/>
    <w:multiLevelType w:val="hybridMultilevel"/>
    <w:tmpl w:val="B08C7C50"/>
    <w:lvl w:ilvl="0" w:tplc="41942E2C">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3742FF"/>
    <w:multiLevelType w:val="hybridMultilevel"/>
    <w:tmpl w:val="E4227EBA"/>
    <w:lvl w:ilvl="0" w:tplc="29029922">
      <w:start w:val="1"/>
      <w:numFmt w:val="bullet"/>
      <w:lvlText w:val="•"/>
      <w:lvlJc w:val="left"/>
      <w:pPr>
        <w:tabs>
          <w:tab w:val="num" w:pos="360"/>
        </w:tabs>
        <w:ind w:left="360" w:hanging="360"/>
      </w:pPr>
      <w:rPr>
        <w:rFonts w:ascii="Arial" w:hAnsi="Arial" w:cs="Times New Roman" w:hint="default"/>
      </w:rPr>
    </w:lvl>
    <w:lvl w:ilvl="1" w:tplc="26A87B84">
      <w:start w:val="6009"/>
      <w:numFmt w:val="bullet"/>
      <w:lvlText w:val="–"/>
      <w:lvlJc w:val="left"/>
      <w:pPr>
        <w:tabs>
          <w:tab w:val="num" w:pos="1080"/>
        </w:tabs>
        <w:ind w:left="1080" w:hanging="360"/>
      </w:pPr>
      <w:rPr>
        <w:rFonts w:ascii="Arial" w:hAnsi="Arial" w:cs="Times New Roman" w:hint="default"/>
      </w:rPr>
    </w:lvl>
    <w:lvl w:ilvl="2" w:tplc="E10C3B7E">
      <w:start w:val="6009"/>
      <w:numFmt w:val="bullet"/>
      <w:lvlText w:val="•"/>
      <w:lvlJc w:val="left"/>
      <w:pPr>
        <w:tabs>
          <w:tab w:val="num" w:pos="1800"/>
        </w:tabs>
        <w:ind w:left="1800" w:hanging="360"/>
      </w:pPr>
      <w:rPr>
        <w:rFonts w:ascii="Arial" w:hAnsi="Arial" w:cs="Times New Roman" w:hint="default"/>
      </w:rPr>
    </w:lvl>
    <w:lvl w:ilvl="3" w:tplc="C6124328">
      <w:start w:val="1"/>
      <w:numFmt w:val="bullet"/>
      <w:lvlText w:val="•"/>
      <w:lvlJc w:val="left"/>
      <w:pPr>
        <w:tabs>
          <w:tab w:val="num" w:pos="2520"/>
        </w:tabs>
        <w:ind w:left="2520" w:hanging="360"/>
      </w:pPr>
      <w:rPr>
        <w:rFonts w:ascii="Arial" w:hAnsi="Arial" w:cs="Times New Roman" w:hint="default"/>
      </w:rPr>
    </w:lvl>
    <w:lvl w:ilvl="4" w:tplc="CC80C9C2">
      <w:start w:val="1"/>
      <w:numFmt w:val="bullet"/>
      <w:lvlText w:val="•"/>
      <w:lvlJc w:val="left"/>
      <w:pPr>
        <w:tabs>
          <w:tab w:val="num" w:pos="3240"/>
        </w:tabs>
        <w:ind w:left="3240" w:hanging="360"/>
      </w:pPr>
      <w:rPr>
        <w:rFonts w:ascii="Arial" w:hAnsi="Arial" w:cs="Times New Roman" w:hint="default"/>
      </w:rPr>
    </w:lvl>
    <w:lvl w:ilvl="5" w:tplc="9C700A32">
      <w:start w:val="1"/>
      <w:numFmt w:val="bullet"/>
      <w:lvlText w:val="•"/>
      <w:lvlJc w:val="left"/>
      <w:pPr>
        <w:tabs>
          <w:tab w:val="num" w:pos="3960"/>
        </w:tabs>
        <w:ind w:left="3960" w:hanging="360"/>
      </w:pPr>
      <w:rPr>
        <w:rFonts w:ascii="Arial" w:hAnsi="Arial" w:cs="Times New Roman" w:hint="default"/>
      </w:rPr>
    </w:lvl>
    <w:lvl w:ilvl="6" w:tplc="A48061F0">
      <w:start w:val="1"/>
      <w:numFmt w:val="bullet"/>
      <w:lvlText w:val="•"/>
      <w:lvlJc w:val="left"/>
      <w:pPr>
        <w:tabs>
          <w:tab w:val="num" w:pos="4680"/>
        </w:tabs>
        <w:ind w:left="4680" w:hanging="360"/>
      </w:pPr>
      <w:rPr>
        <w:rFonts w:ascii="Arial" w:hAnsi="Arial" w:cs="Times New Roman" w:hint="default"/>
      </w:rPr>
    </w:lvl>
    <w:lvl w:ilvl="7" w:tplc="9A52C364">
      <w:start w:val="1"/>
      <w:numFmt w:val="bullet"/>
      <w:lvlText w:val="•"/>
      <w:lvlJc w:val="left"/>
      <w:pPr>
        <w:tabs>
          <w:tab w:val="num" w:pos="5400"/>
        </w:tabs>
        <w:ind w:left="5400" w:hanging="360"/>
      </w:pPr>
      <w:rPr>
        <w:rFonts w:ascii="Arial" w:hAnsi="Arial" w:cs="Times New Roman" w:hint="default"/>
      </w:rPr>
    </w:lvl>
    <w:lvl w:ilvl="8" w:tplc="84F4111E">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16E20CE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37276F"/>
    <w:multiLevelType w:val="hybridMultilevel"/>
    <w:tmpl w:val="13BA2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5251"/>
    <w:multiLevelType w:val="hybridMultilevel"/>
    <w:tmpl w:val="54A81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B7D46"/>
    <w:multiLevelType w:val="hybridMultilevel"/>
    <w:tmpl w:val="F4B6AF7C"/>
    <w:lvl w:ilvl="0" w:tplc="0EA8AF12">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81FE2"/>
    <w:multiLevelType w:val="hybridMultilevel"/>
    <w:tmpl w:val="C0344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9F12F5"/>
    <w:multiLevelType w:val="hybridMultilevel"/>
    <w:tmpl w:val="DC683D8E"/>
    <w:lvl w:ilvl="0" w:tplc="BA5E35BE">
      <w:start w:val="1"/>
      <w:numFmt w:val="bullet"/>
      <w:lvlText w:val="•"/>
      <w:lvlJc w:val="left"/>
      <w:pPr>
        <w:tabs>
          <w:tab w:val="num" w:pos="720"/>
        </w:tabs>
        <w:ind w:left="720" w:hanging="360"/>
      </w:pPr>
      <w:rPr>
        <w:rFonts w:ascii="Arial" w:hAnsi="Arial" w:hint="default"/>
      </w:rPr>
    </w:lvl>
    <w:lvl w:ilvl="1" w:tplc="45764DEE">
      <w:start w:val="6263"/>
      <w:numFmt w:val="bullet"/>
      <w:lvlText w:val="–"/>
      <w:lvlJc w:val="left"/>
      <w:pPr>
        <w:tabs>
          <w:tab w:val="num" w:pos="1440"/>
        </w:tabs>
        <w:ind w:left="1440" w:hanging="360"/>
      </w:pPr>
      <w:rPr>
        <w:rFonts w:ascii="Arial" w:hAnsi="Arial" w:hint="default"/>
      </w:rPr>
    </w:lvl>
    <w:lvl w:ilvl="2" w:tplc="069E2424">
      <w:start w:val="6263"/>
      <w:numFmt w:val="bullet"/>
      <w:lvlText w:val="•"/>
      <w:lvlJc w:val="left"/>
      <w:pPr>
        <w:tabs>
          <w:tab w:val="num" w:pos="2160"/>
        </w:tabs>
        <w:ind w:left="2160" w:hanging="360"/>
      </w:pPr>
      <w:rPr>
        <w:rFonts w:ascii="Arial" w:hAnsi="Arial" w:hint="default"/>
      </w:rPr>
    </w:lvl>
    <w:lvl w:ilvl="3" w:tplc="05C00B6A">
      <w:start w:val="6263"/>
      <w:numFmt w:val="bullet"/>
      <w:lvlText w:val="–"/>
      <w:lvlJc w:val="left"/>
      <w:pPr>
        <w:tabs>
          <w:tab w:val="num" w:pos="2880"/>
        </w:tabs>
        <w:ind w:left="2880" w:hanging="360"/>
      </w:pPr>
      <w:rPr>
        <w:rFonts w:ascii="Arial" w:hAnsi="Arial" w:hint="default"/>
      </w:rPr>
    </w:lvl>
    <w:lvl w:ilvl="4" w:tplc="677C732C" w:tentative="1">
      <w:start w:val="1"/>
      <w:numFmt w:val="bullet"/>
      <w:lvlText w:val="•"/>
      <w:lvlJc w:val="left"/>
      <w:pPr>
        <w:tabs>
          <w:tab w:val="num" w:pos="3600"/>
        </w:tabs>
        <w:ind w:left="3600" w:hanging="360"/>
      </w:pPr>
      <w:rPr>
        <w:rFonts w:ascii="Arial" w:hAnsi="Arial" w:hint="default"/>
      </w:rPr>
    </w:lvl>
    <w:lvl w:ilvl="5" w:tplc="EBACEA56" w:tentative="1">
      <w:start w:val="1"/>
      <w:numFmt w:val="bullet"/>
      <w:lvlText w:val="•"/>
      <w:lvlJc w:val="left"/>
      <w:pPr>
        <w:tabs>
          <w:tab w:val="num" w:pos="4320"/>
        </w:tabs>
        <w:ind w:left="4320" w:hanging="360"/>
      </w:pPr>
      <w:rPr>
        <w:rFonts w:ascii="Arial" w:hAnsi="Arial" w:hint="default"/>
      </w:rPr>
    </w:lvl>
    <w:lvl w:ilvl="6" w:tplc="770EC6A8" w:tentative="1">
      <w:start w:val="1"/>
      <w:numFmt w:val="bullet"/>
      <w:lvlText w:val="•"/>
      <w:lvlJc w:val="left"/>
      <w:pPr>
        <w:tabs>
          <w:tab w:val="num" w:pos="5040"/>
        </w:tabs>
        <w:ind w:left="5040" w:hanging="360"/>
      </w:pPr>
      <w:rPr>
        <w:rFonts w:ascii="Arial" w:hAnsi="Arial" w:hint="default"/>
      </w:rPr>
    </w:lvl>
    <w:lvl w:ilvl="7" w:tplc="C79061BE" w:tentative="1">
      <w:start w:val="1"/>
      <w:numFmt w:val="bullet"/>
      <w:lvlText w:val="•"/>
      <w:lvlJc w:val="left"/>
      <w:pPr>
        <w:tabs>
          <w:tab w:val="num" w:pos="5760"/>
        </w:tabs>
        <w:ind w:left="5760" w:hanging="360"/>
      </w:pPr>
      <w:rPr>
        <w:rFonts w:ascii="Arial" w:hAnsi="Arial" w:hint="default"/>
      </w:rPr>
    </w:lvl>
    <w:lvl w:ilvl="8" w:tplc="0B681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A15EEB"/>
    <w:multiLevelType w:val="hybridMultilevel"/>
    <w:tmpl w:val="5DE0B844"/>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D4869"/>
    <w:multiLevelType w:val="hybridMultilevel"/>
    <w:tmpl w:val="43E4D362"/>
    <w:lvl w:ilvl="0" w:tplc="C54CAB24">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2881A4E"/>
    <w:multiLevelType w:val="hybridMultilevel"/>
    <w:tmpl w:val="0B841210"/>
    <w:lvl w:ilvl="0" w:tplc="D2A0CCE6">
      <w:start w:val="5"/>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4A0D2830"/>
    <w:multiLevelType w:val="hybridMultilevel"/>
    <w:tmpl w:val="CDA0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522AF"/>
    <w:multiLevelType w:val="hybridMultilevel"/>
    <w:tmpl w:val="0F1A9390"/>
    <w:lvl w:ilvl="0" w:tplc="C54CAB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72DCD"/>
    <w:multiLevelType w:val="hybridMultilevel"/>
    <w:tmpl w:val="8BD01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A2AAC"/>
    <w:multiLevelType w:val="hybridMultilevel"/>
    <w:tmpl w:val="61D46A2E"/>
    <w:lvl w:ilvl="0" w:tplc="C92061DC">
      <w:start w:val="1"/>
      <w:numFmt w:val="bullet"/>
      <w:lvlText w:val="•"/>
      <w:lvlJc w:val="left"/>
      <w:pPr>
        <w:tabs>
          <w:tab w:val="num" w:pos="720"/>
        </w:tabs>
        <w:ind w:left="720" w:hanging="360"/>
      </w:pPr>
      <w:rPr>
        <w:rFonts w:ascii="Arial" w:hAnsi="Arial" w:hint="default"/>
      </w:rPr>
    </w:lvl>
    <w:lvl w:ilvl="1" w:tplc="BED0DA2A">
      <w:start w:val="632"/>
      <w:numFmt w:val="bullet"/>
      <w:lvlText w:val="–"/>
      <w:lvlJc w:val="left"/>
      <w:pPr>
        <w:tabs>
          <w:tab w:val="num" w:pos="1440"/>
        </w:tabs>
        <w:ind w:left="1440" w:hanging="360"/>
      </w:pPr>
      <w:rPr>
        <w:rFonts w:ascii="Arial" w:hAnsi="Arial" w:hint="default"/>
      </w:rPr>
    </w:lvl>
    <w:lvl w:ilvl="2" w:tplc="F5820D6C">
      <w:start w:val="1"/>
      <w:numFmt w:val="bullet"/>
      <w:lvlText w:val="•"/>
      <w:lvlJc w:val="left"/>
      <w:pPr>
        <w:tabs>
          <w:tab w:val="num" w:pos="2160"/>
        </w:tabs>
        <w:ind w:left="2160" w:hanging="360"/>
      </w:pPr>
      <w:rPr>
        <w:rFonts w:ascii="Arial" w:hAnsi="Arial" w:hint="default"/>
      </w:rPr>
    </w:lvl>
    <w:lvl w:ilvl="3" w:tplc="3FCE31D8" w:tentative="1">
      <w:start w:val="1"/>
      <w:numFmt w:val="bullet"/>
      <w:lvlText w:val="•"/>
      <w:lvlJc w:val="left"/>
      <w:pPr>
        <w:tabs>
          <w:tab w:val="num" w:pos="2880"/>
        </w:tabs>
        <w:ind w:left="2880" w:hanging="360"/>
      </w:pPr>
      <w:rPr>
        <w:rFonts w:ascii="Arial" w:hAnsi="Arial" w:hint="default"/>
      </w:rPr>
    </w:lvl>
    <w:lvl w:ilvl="4" w:tplc="932478BC" w:tentative="1">
      <w:start w:val="1"/>
      <w:numFmt w:val="bullet"/>
      <w:lvlText w:val="•"/>
      <w:lvlJc w:val="left"/>
      <w:pPr>
        <w:tabs>
          <w:tab w:val="num" w:pos="3600"/>
        </w:tabs>
        <w:ind w:left="3600" w:hanging="360"/>
      </w:pPr>
      <w:rPr>
        <w:rFonts w:ascii="Arial" w:hAnsi="Arial" w:hint="default"/>
      </w:rPr>
    </w:lvl>
    <w:lvl w:ilvl="5" w:tplc="345E3FF8" w:tentative="1">
      <w:start w:val="1"/>
      <w:numFmt w:val="bullet"/>
      <w:lvlText w:val="•"/>
      <w:lvlJc w:val="left"/>
      <w:pPr>
        <w:tabs>
          <w:tab w:val="num" w:pos="4320"/>
        </w:tabs>
        <w:ind w:left="4320" w:hanging="360"/>
      </w:pPr>
      <w:rPr>
        <w:rFonts w:ascii="Arial" w:hAnsi="Arial" w:hint="default"/>
      </w:rPr>
    </w:lvl>
    <w:lvl w:ilvl="6" w:tplc="5FE2DB78" w:tentative="1">
      <w:start w:val="1"/>
      <w:numFmt w:val="bullet"/>
      <w:lvlText w:val="•"/>
      <w:lvlJc w:val="left"/>
      <w:pPr>
        <w:tabs>
          <w:tab w:val="num" w:pos="5040"/>
        </w:tabs>
        <w:ind w:left="5040" w:hanging="360"/>
      </w:pPr>
      <w:rPr>
        <w:rFonts w:ascii="Arial" w:hAnsi="Arial" w:hint="default"/>
      </w:rPr>
    </w:lvl>
    <w:lvl w:ilvl="7" w:tplc="0B4A7726" w:tentative="1">
      <w:start w:val="1"/>
      <w:numFmt w:val="bullet"/>
      <w:lvlText w:val="•"/>
      <w:lvlJc w:val="left"/>
      <w:pPr>
        <w:tabs>
          <w:tab w:val="num" w:pos="5760"/>
        </w:tabs>
        <w:ind w:left="5760" w:hanging="360"/>
      </w:pPr>
      <w:rPr>
        <w:rFonts w:ascii="Arial" w:hAnsi="Arial" w:hint="default"/>
      </w:rPr>
    </w:lvl>
    <w:lvl w:ilvl="8" w:tplc="899CB6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18058B"/>
    <w:multiLevelType w:val="hybridMultilevel"/>
    <w:tmpl w:val="9406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415F2"/>
    <w:multiLevelType w:val="hybridMultilevel"/>
    <w:tmpl w:val="3406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407BB2"/>
    <w:multiLevelType w:val="hybridMultilevel"/>
    <w:tmpl w:val="7DB4C7C2"/>
    <w:lvl w:ilvl="0" w:tplc="203E720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E83F43"/>
    <w:multiLevelType w:val="multilevel"/>
    <w:tmpl w:val="2D624E3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EFA3A90"/>
    <w:multiLevelType w:val="hybridMultilevel"/>
    <w:tmpl w:val="1E3AF57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B96D62"/>
    <w:multiLevelType w:val="hybridMultilevel"/>
    <w:tmpl w:val="40264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CA618D"/>
    <w:multiLevelType w:val="hybridMultilevel"/>
    <w:tmpl w:val="309C18AE"/>
    <w:lvl w:ilvl="0" w:tplc="203E7200">
      <w:start w:val="1"/>
      <w:numFmt w:val="bullet"/>
      <w:lvlText w:val="•"/>
      <w:lvlJc w:val="left"/>
      <w:pPr>
        <w:tabs>
          <w:tab w:val="num" w:pos="360"/>
        </w:tabs>
        <w:ind w:left="360" w:hanging="360"/>
      </w:pPr>
      <w:rPr>
        <w:rFonts w:ascii="Arial" w:hAnsi="Arial" w:cs="Times New Roman" w:hint="default"/>
      </w:rPr>
    </w:lvl>
    <w:lvl w:ilvl="1" w:tplc="DEC243D0">
      <w:numFmt w:val="bullet"/>
      <w:lvlText w:val="–"/>
      <w:lvlJc w:val="left"/>
      <w:pPr>
        <w:tabs>
          <w:tab w:val="num" w:pos="1080"/>
        </w:tabs>
        <w:ind w:left="1080" w:hanging="360"/>
      </w:pPr>
      <w:rPr>
        <w:rFonts w:ascii="Arial" w:hAnsi="Arial" w:cs="Times New Roman" w:hint="default"/>
      </w:rPr>
    </w:lvl>
    <w:lvl w:ilvl="2" w:tplc="15B89314">
      <w:start w:val="1"/>
      <w:numFmt w:val="bullet"/>
      <w:lvlText w:val="•"/>
      <w:lvlJc w:val="left"/>
      <w:pPr>
        <w:tabs>
          <w:tab w:val="num" w:pos="1800"/>
        </w:tabs>
        <w:ind w:left="1800" w:hanging="360"/>
      </w:pPr>
      <w:rPr>
        <w:rFonts w:ascii="Arial" w:hAnsi="Arial" w:cs="Times New Roman" w:hint="default"/>
      </w:rPr>
    </w:lvl>
    <w:lvl w:ilvl="3" w:tplc="DE2238F6">
      <w:start w:val="1"/>
      <w:numFmt w:val="bullet"/>
      <w:lvlText w:val="•"/>
      <w:lvlJc w:val="left"/>
      <w:pPr>
        <w:tabs>
          <w:tab w:val="num" w:pos="2520"/>
        </w:tabs>
        <w:ind w:left="2520" w:hanging="360"/>
      </w:pPr>
      <w:rPr>
        <w:rFonts w:ascii="Arial" w:hAnsi="Arial" w:cs="Times New Roman" w:hint="default"/>
      </w:rPr>
    </w:lvl>
    <w:lvl w:ilvl="4" w:tplc="AFFCC1DA">
      <w:start w:val="1"/>
      <w:numFmt w:val="bullet"/>
      <w:lvlText w:val="•"/>
      <w:lvlJc w:val="left"/>
      <w:pPr>
        <w:tabs>
          <w:tab w:val="num" w:pos="3240"/>
        </w:tabs>
        <w:ind w:left="3240" w:hanging="360"/>
      </w:pPr>
      <w:rPr>
        <w:rFonts w:ascii="Arial" w:hAnsi="Arial" w:cs="Times New Roman" w:hint="default"/>
      </w:rPr>
    </w:lvl>
    <w:lvl w:ilvl="5" w:tplc="6C8A5838">
      <w:start w:val="1"/>
      <w:numFmt w:val="bullet"/>
      <w:lvlText w:val="•"/>
      <w:lvlJc w:val="left"/>
      <w:pPr>
        <w:tabs>
          <w:tab w:val="num" w:pos="3960"/>
        </w:tabs>
        <w:ind w:left="3960" w:hanging="360"/>
      </w:pPr>
      <w:rPr>
        <w:rFonts w:ascii="Arial" w:hAnsi="Arial" w:cs="Times New Roman" w:hint="default"/>
      </w:rPr>
    </w:lvl>
    <w:lvl w:ilvl="6" w:tplc="BF34D6F2">
      <w:start w:val="1"/>
      <w:numFmt w:val="bullet"/>
      <w:lvlText w:val="•"/>
      <w:lvlJc w:val="left"/>
      <w:pPr>
        <w:tabs>
          <w:tab w:val="num" w:pos="4680"/>
        </w:tabs>
        <w:ind w:left="4680" w:hanging="360"/>
      </w:pPr>
      <w:rPr>
        <w:rFonts w:ascii="Arial" w:hAnsi="Arial" w:cs="Times New Roman" w:hint="default"/>
      </w:rPr>
    </w:lvl>
    <w:lvl w:ilvl="7" w:tplc="9BB873FE">
      <w:start w:val="1"/>
      <w:numFmt w:val="bullet"/>
      <w:lvlText w:val="•"/>
      <w:lvlJc w:val="left"/>
      <w:pPr>
        <w:tabs>
          <w:tab w:val="num" w:pos="5400"/>
        </w:tabs>
        <w:ind w:left="5400" w:hanging="360"/>
      </w:pPr>
      <w:rPr>
        <w:rFonts w:ascii="Arial" w:hAnsi="Arial" w:cs="Times New Roman" w:hint="default"/>
      </w:rPr>
    </w:lvl>
    <w:lvl w:ilvl="8" w:tplc="3E7ECA72">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74A6487A"/>
    <w:multiLevelType w:val="hybridMultilevel"/>
    <w:tmpl w:val="6640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1640F"/>
    <w:multiLevelType w:val="hybridMultilevel"/>
    <w:tmpl w:val="B5B8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B201FC"/>
    <w:multiLevelType w:val="hybridMultilevel"/>
    <w:tmpl w:val="ACA0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3B7AC6"/>
    <w:multiLevelType w:val="hybridMultilevel"/>
    <w:tmpl w:val="B418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1412D"/>
    <w:multiLevelType w:val="hybridMultilevel"/>
    <w:tmpl w:val="2E90C60A"/>
    <w:lvl w:ilvl="0" w:tplc="FE0CAE3C">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0"/>
  </w:num>
  <w:num w:numId="4">
    <w:abstractNumId w:val="5"/>
  </w:num>
  <w:num w:numId="5">
    <w:abstractNumId w:val="27"/>
  </w:num>
  <w:num w:numId="6">
    <w:abstractNumId w:val="27"/>
  </w:num>
  <w:num w:numId="7">
    <w:abstractNumId w:val="31"/>
  </w:num>
  <w:num w:numId="8">
    <w:abstractNumId w:val="19"/>
  </w:num>
  <w:num w:numId="9">
    <w:abstractNumId w:val="2"/>
  </w:num>
  <w:num w:numId="10">
    <w:abstractNumId w:val="30"/>
  </w:num>
  <w:num w:numId="11">
    <w:abstractNumId w:val="24"/>
  </w:num>
  <w:num w:numId="12">
    <w:abstractNumId w:val="21"/>
  </w:num>
  <w:num w:numId="13">
    <w:abstractNumId w:val="32"/>
  </w:num>
  <w:num w:numId="14">
    <w:abstractNumId w:val="28"/>
  </w:num>
  <w:num w:numId="15">
    <w:abstractNumId w:val="8"/>
  </w:num>
  <w:num w:numId="16">
    <w:abstractNumId w:val="1"/>
  </w:num>
  <w:num w:numId="17">
    <w:abstractNumId w:val="33"/>
  </w:num>
  <w:num w:numId="18">
    <w:abstractNumId w:val="4"/>
  </w:num>
  <w:num w:numId="19">
    <w:abstractNumId w:val="11"/>
  </w:num>
  <w:num w:numId="20">
    <w:abstractNumId w:val="6"/>
  </w:num>
  <w:num w:numId="21">
    <w:abstractNumId w:val="18"/>
  </w:num>
  <w:num w:numId="22">
    <w:abstractNumId w:val="35"/>
  </w:num>
  <w:num w:numId="23">
    <w:abstractNumId w:val="13"/>
  </w:num>
  <w:num w:numId="24">
    <w:abstractNumId w:val="7"/>
  </w:num>
  <w:num w:numId="25">
    <w:abstractNumId w:val="12"/>
  </w:num>
  <w:num w:numId="26">
    <w:abstractNumId w:val="22"/>
  </w:num>
  <w:num w:numId="27">
    <w:abstractNumId w:val="9"/>
  </w:num>
  <w:num w:numId="28">
    <w:abstractNumId w:val="29"/>
  </w:num>
  <w:num w:numId="29">
    <w:abstractNumId w:val="10"/>
  </w:num>
  <w:num w:numId="30">
    <w:abstractNumId w:val="15"/>
  </w:num>
  <w:num w:numId="31">
    <w:abstractNumId w:val="23"/>
  </w:num>
  <w:num w:numId="32">
    <w:abstractNumId w:val="20"/>
  </w:num>
  <w:num w:numId="33">
    <w:abstractNumId w:val="14"/>
  </w:num>
  <w:num w:numId="34">
    <w:abstractNumId w:val="16"/>
  </w:num>
  <w:num w:numId="35">
    <w:abstractNumId w:val="34"/>
  </w:num>
  <w:num w:numId="36">
    <w:abstractNumId w:val="17"/>
  </w:num>
  <w:num w:numId="3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5C65"/>
    <w:rsid w:val="00017CEE"/>
    <w:rsid w:val="00021364"/>
    <w:rsid w:val="00024C64"/>
    <w:rsid w:val="00024D2F"/>
    <w:rsid w:val="00030B16"/>
    <w:rsid w:val="00031084"/>
    <w:rsid w:val="00035170"/>
    <w:rsid w:val="00035257"/>
    <w:rsid w:val="00036273"/>
    <w:rsid w:val="00043C85"/>
    <w:rsid w:val="0004572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664C"/>
    <w:rsid w:val="000C7BF0"/>
    <w:rsid w:val="000D1833"/>
    <w:rsid w:val="000D2968"/>
    <w:rsid w:val="000E1573"/>
    <w:rsid w:val="000E164A"/>
    <w:rsid w:val="000E67F5"/>
    <w:rsid w:val="000F08B7"/>
    <w:rsid w:val="000F0D1B"/>
    <w:rsid w:val="000F363B"/>
    <w:rsid w:val="000F3BF6"/>
    <w:rsid w:val="000F729A"/>
    <w:rsid w:val="000F7640"/>
    <w:rsid w:val="00101CCB"/>
    <w:rsid w:val="0010596D"/>
    <w:rsid w:val="00105E01"/>
    <w:rsid w:val="0010693B"/>
    <w:rsid w:val="00106B4D"/>
    <w:rsid w:val="001079A0"/>
    <w:rsid w:val="001129AD"/>
    <w:rsid w:val="00121A26"/>
    <w:rsid w:val="00123423"/>
    <w:rsid w:val="00123555"/>
    <w:rsid w:val="0012552D"/>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7BDF"/>
    <w:rsid w:val="001603D9"/>
    <w:rsid w:val="00160583"/>
    <w:rsid w:val="00162507"/>
    <w:rsid w:val="0016374B"/>
    <w:rsid w:val="001642FF"/>
    <w:rsid w:val="00167642"/>
    <w:rsid w:val="00170228"/>
    <w:rsid w:val="001765E6"/>
    <w:rsid w:val="001770A3"/>
    <w:rsid w:val="00177C69"/>
    <w:rsid w:val="0018093F"/>
    <w:rsid w:val="0018336B"/>
    <w:rsid w:val="001836F3"/>
    <w:rsid w:val="00186742"/>
    <w:rsid w:val="0018782A"/>
    <w:rsid w:val="00193914"/>
    <w:rsid w:val="00193CD5"/>
    <w:rsid w:val="001A181C"/>
    <w:rsid w:val="001A329F"/>
    <w:rsid w:val="001A3FF9"/>
    <w:rsid w:val="001A4C95"/>
    <w:rsid w:val="001A6755"/>
    <w:rsid w:val="001A784E"/>
    <w:rsid w:val="001A7B56"/>
    <w:rsid w:val="001B0B37"/>
    <w:rsid w:val="001B153D"/>
    <w:rsid w:val="001C12F4"/>
    <w:rsid w:val="001C3A1E"/>
    <w:rsid w:val="001C79FA"/>
    <w:rsid w:val="001D15A6"/>
    <w:rsid w:val="001D2912"/>
    <w:rsid w:val="001D33EA"/>
    <w:rsid w:val="001D340C"/>
    <w:rsid w:val="001D5BC3"/>
    <w:rsid w:val="001D60AC"/>
    <w:rsid w:val="001D70C0"/>
    <w:rsid w:val="001D7171"/>
    <w:rsid w:val="001E016E"/>
    <w:rsid w:val="001E0F54"/>
    <w:rsid w:val="001F0590"/>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6073A"/>
    <w:rsid w:val="002607F2"/>
    <w:rsid w:val="002644C6"/>
    <w:rsid w:val="0026589D"/>
    <w:rsid w:val="00265B02"/>
    <w:rsid w:val="002725C2"/>
    <w:rsid w:val="00274DFE"/>
    <w:rsid w:val="0027555B"/>
    <w:rsid w:val="0027612C"/>
    <w:rsid w:val="002818BC"/>
    <w:rsid w:val="002845A5"/>
    <w:rsid w:val="00286603"/>
    <w:rsid w:val="002914E1"/>
    <w:rsid w:val="0029243D"/>
    <w:rsid w:val="00296356"/>
    <w:rsid w:val="002A011C"/>
    <w:rsid w:val="002A07E1"/>
    <w:rsid w:val="002A09A5"/>
    <w:rsid w:val="002A0ACF"/>
    <w:rsid w:val="002A271A"/>
    <w:rsid w:val="002A5315"/>
    <w:rsid w:val="002A5421"/>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2A00"/>
    <w:rsid w:val="002E6271"/>
    <w:rsid w:val="002E6345"/>
    <w:rsid w:val="002E7569"/>
    <w:rsid w:val="002E7772"/>
    <w:rsid w:val="002E7F99"/>
    <w:rsid w:val="002F0C15"/>
    <w:rsid w:val="002F1A86"/>
    <w:rsid w:val="002F311A"/>
    <w:rsid w:val="002F330C"/>
    <w:rsid w:val="002F684B"/>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53A4"/>
    <w:rsid w:val="00341DDA"/>
    <w:rsid w:val="00350C50"/>
    <w:rsid w:val="00355EBA"/>
    <w:rsid w:val="00355EC4"/>
    <w:rsid w:val="003575D7"/>
    <w:rsid w:val="00357865"/>
    <w:rsid w:val="00357C58"/>
    <w:rsid w:val="003611FE"/>
    <w:rsid w:val="00361BAD"/>
    <w:rsid w:val="00366BB9"/>
    <w:rsid w:val="003730D7"/>
    <w:rsid w:val="00381CA0"/>
    <w:rsid w:val="003943C6"/>
    <w:rsid w:val="00394642"/>
    <w:rsid w:val="00394BC6"/>
    <w:rsid w:val="00395DCA"/>
    <w:rsid w:val="00396F9F"/>
    <w:rsid w:val="00397FBF"/>
    <w:rsid w:val="003A003C"/>
    <w:rsid w:val="003A0262"/>
    <w:rsid w:val="003A1EEB"/>
    <w:rsid w:val="003A233C"/>
    <w:rsid w:val="003A29C6"/>
    <w:rsid w:val="003A2C58"/>
    <w:rsid w:val="003A3DE6"/>
    <w:rsid w:val="003A483F"/>
    <w:rsid w:val="003A5D2D"/>
    <w:rsid w:val="003B53D8"/>
    <w:rsid w:val="003B5D47"/>
    <w:rsid w:val="003C02F9"/>
    <w:rsid w:val="003C2ADC"/>
    <w:rsid w:val="003C4A78"/>
    <w:rsid w:val="003C50B7"/>
    <w:rsid w:val="003D2037"/>
    <w:rsid w:val="003D2D80"/>
    <w:rsid w:val="003D41A4"/>
    <w:rsid w:val="003D5DC4"/>
    <w:rsid w:val="003E2612"/>
    <w:rsid w:val="003E626C"/>
    <w:rsid w:val="003F048F"/>
    <w:rsid w:val="003F0943"/>
    <w:rsid w:val="003F35DF"/>
    <w:rsid w:val="003F3F1D"/>
    <w:rsid w:val="003F695A"/>
    <w:rsid w:val="00400660"/>
    <w:rsid w:val="00406894"/>
    <w:rsid w:val="00410201"/>
    <w:rsid w:val="00420632"/>
    <w:rsid w:val="00427613"/>
    <w:rsid w:val="00432A1D"/>
    <w:rsid w:val="00433832"/>
    <w:rsid w:val="00434610"/>
    <w:rsid w:val="0043533D"/>
    <w:rsid w:val="00435AAA"/>
    <w:rsid w:val="00437D5A"/>
    <w:rsid w:val="00442BF7"/>
    <w:rsid w:val="00442E74"/>
    <w:rsid w:val="00444C11"/>
    <w:rsid w:val="00452FA9"/>
    <w:rsid w:val="004549F3"/>
    <w:rsid w:val="00456830"/>
    <w:rsid w:val="00457927"/>
    <w:rsid w:val="00462482"/>
    <w:rsid w:val="00462759"/>
    <w:rsid w:val="00462A4C"/>
    <w:rsid w:val="0046474A"/>
    <w:rsid w:val="0047048E"/>
    <w:rsid w:val="00470F4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69A"/>
    <w:rsid w:val="004A0817"/>
    <w:rsid w:val="004B121D"/>
    <w:rsid w:val="004B3714"/>
    <w:rsid w:val="004C0ECC"/>
    <w:rsid w:val="004C129B"/>
    <w:rsid w:val="004C228D"/>
    <w:rsid w:val="004C28A4"/>
    <w:rsid w:val="004C3BF5"/>
    <w:rsid w:val="004D1403"/>
    <w:rsid w:val="004D1BA4"/>
    <w:rsid w:val="004D27BF"/>
    <w:rsid w:val="004D4D04"/>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20EE0"/>
    <w:rsid w:val="0052107E"/>
    <w:rsid w:val="00522D08"/>
    <w:rsid w:val="00523912"/>
    <w:rsid w:val="00525F53"/>
    <w:rsid w:val="00526E79"/>
    <w:rsid w:val="00527A31"/>
    <w:rsid w:val="00531810"/>
    <w:rsid w:val="00532006"/>
    <w:rsid w:val="00541FC8"/>
    <w:rsid w:val="00543D57"/>
    <w:rsid w:val="00544FEB"/>
    <w:rsid w:val="0055181C"/>
    <w:rsid w:val="00551F16"/>
    <w:rsid w:val="00552334"/>
    <w:rsid w:val="00555B25"/>
    <w:rsid w:val="0055685D"/>
    <w:rsid w:val="0055776D"/>
    <w:rsid w:val="005624FD"/>
    <w:rsid w:val="0056270F"/>
    <w:rsid w:val="00565945"/>
    <w:rsid w:val="00581057"/>
    <w:rsid w:val="00583B43"/>
    <w:rsid w:val="00584C6C"/>
    <w:rsid w:val="00585034"/>
    <w:rsid w:val="00586098"/>
    <w:rsid w:val="00590021"/>
    <w:rsid w:val="005918BB"/>
    <w:rsid w:val="005950ED"/>
    <w:rsid w:val="005A07CF"/>
    <w:rsid w:val="005A0C17"/>
    <w:rsid w:val="005A5770"/>
    <w:rsid w:val="005B2746"/>
    <w:rsid w:val="005B4F10"/>
    <w:rsid w:val="005B5BFF"/>
    <w:rsid w:val="005D0BD0"/>
    <w:rsid w:val="005D37EF"/>
    <w:rsid w:val="005D3D38"/>
    <w:rsid w:val="005D6A8D"/>
    <w:rsid w:val="005E111E"/>
    <w:rsid w:val="005E1A8C"/>
    <w:rsid w:val="005E4B76"/>
    <w:rsid w:val="005F0946"/>
    <w:rsid w:val="005F1371"/>
    <w:rsid w:val="005F2933"/>
    <w:rsid w:val="00600E3B"/>
    <w:rsid w:val="00604F35"/>
    <w:rsid w:val="0061041D"/>
    <w:rsid w:val="00613D08"/>
    <w:rsid w:val="006140C9"/>
    <w:rsid w:val="0061580A"/>
    <w:rsid w:val="00616B88"/>
    <w:rsid w:val="00621AEF"/>
    <w:rsid w:val="0062228A"/>
    <w:rsid w:val="00626D0B"/>
    <w:rsid w:val="00633E45"/>
    <w:rsid w:val="00634DA7"/>
    <w:rsid w:val="0064105F"/>
    <w:rsid w:val="00644905"/>
    <w:rsid w:val="00646C91"/>
    <w:rsid w:val="00647067"/>
    <w:rsid w:val="00650983"/>
    <w:rsid w:val="00651965"/>
    <w:rsid w:val="00651A4E"/>
    <w:rsid w:val="006524BA"/>
    <w:rsid w:val="00654756"/>
    <w:rsid w:val="00655DB4"/>
    <w:rsid w:val="0066004D"/>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465"/>
    <w:rsid w:val="006D723E"/>
    <w:rsid w:val="006D7B16"/>
    <w:rsid w:val="006E270C"/>
    <w:rsid w:val="006E6655"/>
    <w:rsid w:val="006E7A40"/>
    <w:rsid w:val="006F2146"/>
    <w:rsid w:val="00700A4B"/>
    <w:rsid w:val="00701855"/>
    <w:rsid w:val="0070483C"/>
    <w:rsid w:val="00705100"/>
    <w:rsid w:val="00707D21"/>
    <w:rsid w:val="0071150C"/>
    <w:rsid w:val="00714096"/>
    <w:rsid w:val="00714963"/>
    <w:rsid w:val="007161F2"/>
    <w:rsid w:val="0071756E"/>
    <w:rsid w:val="00717D46"/>
    <w:rsid w:val="00724973"/>
    <w:rsid w:val="00733319"/>
    <w:rsid w:val="00736205"/>
    <w:rsid w:val="007419E5"/>
    <w:rsid w:val="007422B1"/>
    <w:rsid w:val="00742522"/>
    <w:rsid w:val="00745075"/>
    <w:rsid w:val="0074572E"/>
    <w:rsid w:val="007465D3"/>
    <w:rsid w:val="00751F63"/>
    <w:rsid w:val="007548BE"/>
    <w:rsid w:val="00755767"/>
    <w:rsid w:val="00755A7A"/>
    <w:rsid w:val="0075785A"/>
    <w:rsid w:val="0076183B"/>
    <w:rsid w:val="00761F0F"/>
    <w:rsid w:val="007623E4"/>
    <w:rsid w:val="00762B4D"/>
    <w:rsid w:val="00764DD5"/>
    <w:rsid w:val="00765481"/>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22A2"/>
    <w:rsid w:val="007B419C"/>
    <w:rsid w:val="007B4346"/>
    <w:rsid w:val="007B492B"/>
    <w:rsid w:val="007B5C68"/>
    <w:rsid w:val="007D0BEB"/>
    <w:rsid w:val="007D26D6"/>
    <w:rsid w:val="007D3F6C"/>
    <w:rsid w:val="007E5949"/>
    <w:rsid w:val="007E69E6"/>
    <w:rsid w:val="007F63E2"/>
    <w:rsid w:val="00802879"/>
    <w:rsid w:val="00803451"/>
    <w:rsid w:val="00807B1F"/>
    <w:rsid w:val="00810453"/>
    <w:rsid w:val="00811626"/>
    <w:rsid w:val="008152B7"/>
    <w:rsid w:val="00817125"/>
    <w:rsid w:val="008171F1"/>
    <w:rsid w:val="00822F0D"/>
    <w:rsid w:val="00823C4D"/>
    <w:rsid w:val="0082638D"/>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C5D"/>
    <w:rsid w:val="008610DE"/>
    <w:rsid w:val="00861F24"/>
    <w:rsid w:val="0086211E"/>
    <w:rsid w:val="00862219"/>
    <w:rsid w:val="00870376"/>
    <w:rsid w:val="00873B08"/>
    <w:rsid w:val="008740D7"/>
    <w:rsid w:val="00875215"/>
    <w:rsid w:val="00884249"/>
    <w:rsid w:val="00885A97"/>
    <w:rsid w:val="0089137E"/>
    <w:rsid w:val="00892191"/>
    <w:rsid w:val="00893CF6"/>
    <w:rsid w:val="008969C7"/>
    <w:rsid w:val="00896A2F"/>
    <w:rsid w:val="00897981"/>
    <w:rsid w:val="008A05D6"/>
    <w:rsid w:val="008A0B38"/>
    <w:rsid w:val="008A20B5"/>
    <w:rsid w:val="008A48EB"/>
    <w:rsid w:val="008A4DAD"/>
    <w:rsid w:val="008A5D2C"/>
    <w:rsid w:val="008A7191"/>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2883"/>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C19"/>
    <w:rsid w:val="00936BA2"/>
    <w:rsid w:val="00945855"/>
    <w:rsid w:val="00945EB3"/>
    <w:rsid w:val="00951364"/>
    <w:rsid w:val="009550DE"/>
    <w:rsid w:val="00961399"/>
    <w:rsid w:val="0096437B"/>
    <w:rsid w:val="009651BB"/>
    <w:rsid w:val="00965B92"/>
    <w:rsid w:val="00966865"/>
    <w:rsid w:val="0097403B"/>
    <w:rsid w:val="009852E7"/>
    <w:rsid w:val="00987BC1"/>
    <w:rsid w:val="00992D05"/>
    <w:rsid w:val="0099377B"/>
    <w:rsid w:val="009941DF"/>
    <w:rsid w:val="00995160"/>
    <w:rsid w:val="00995D60"/>
    <w:rsid w:val="0099636A"/>
    <w:rsid w:val="009A0DE7"/>
    <w:rsid w:val="009A153A"/>
    <w:rsid w:val="009A17AF"/>
    <w:rsid w:val="009A3D07"/>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2A37"/>
    <w:rsid w:val="009F0B7F"/>
    <w:rsid w:val="009F13BE"/>
    <w:rsid w:val="009F330C"/>
    <w:rsid w:val="00A014A3"/>
    <w:rsid w:val="00A12A29"/>
    <w:rsid w:val="00A14ACE"/>
    <w:rsid w:val="00A20BA2"/>
    <w:rsid w:val="00A20C7B"/>
    <w:rsid w:val="00A20E50"/>
    <w:rsid w:val="00A24874"/>
    <w:rsid w:val="00A24DED"/>
    <w:rsid w:val="00A25093"/>
    <w:rsid w:val="00A3069D"/>
    <w:rsid w:val="00A35CEA"/>
    <w:rsid w:val="00A43EF2"/>
    <w:rsid w:val="00A44C91"/>
    <w:rsid w:val="00A46FE8"/>
    <w:rsid w:val="00A47908"/>
    <w:rsid w:val="00A513AE"/>
    <w:rsid w:val="00A51E99"/>
    <w:rsid w:val="00A53D12"/>
    <w:rsid w:val="00A547F9"/>
    <w:rsid w:val="00A549CB"/>
    <w:rsid w:val="00A60D89"/>
    <w:rsid w:val="00A60DAC"/>
    <w:rsid w:val="00A67B4A"/>
    <w:rsid w:val="00A71795"/>
    <w:rsid w:val="00A72753"/>
    <w:rsid w:val="00A73B32"/>
    <w:rsid w:val="00A73EF5"/>
    <w:rsid w:val="00A77FBF"/>
    <w:rsid w:val="00A80DAE"/>
    <w:rsid w:val="00A811C1"/>
    <w:rsid w:val="00A84C7F"/>
    <w:rsid w:val="00A86177"/>
    <w:rsid w:val="00A86724"/>
    <w:rsid w:val="00A87C24"/>
    <w:rsid w:val="00A91444"/>
    <w:rsid w:val="00A91925"/>
    <w:rsid w:val="00A923BC"/>
    <w:rsid w:val="00A9338D"/>
    <w:rsid w:val="00A95990"/>
    <w:rsid w:val="00AA03C9"/>
    <w:rsid w:val="00AA19AF"/>
    <w:rsid w:val="00AA3B1F"/>
    <w:rsid w:val="00AA425E"/>
    <w:rsid w:val="00AB2428"/>
    <w:rsid w:val="00AB2812"/>
    <w:rsid w:val="00AB4E36"/>
    <w:rsid w:val="00AB5E61"/>
    <w:rsid w:val="00AB76B1"/>
    <w:rsid w:val="00AB7A3D"/>
    <w:rsid w:val="00AC0544"/>
    <w:rsid w:val="00AC37FB"/>
    <w:rsid w:val="00AC3DCC"/>
    <w:rsid w:val="00AD0766"/>
    <w:rsid w:val="00AE13C9"/>
    <w:rsid w:val="00AE25F2"/>
    <w:rsid w:val="00AE2CCB"/>
    <w:rsid w:val="00AE2EBA"/>
    <w:rsid w:val="00AE4FE5"/>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6411"/>
    <w:rsid w:val="00B26C78"/>
    <w:rsid w:val="00B32C7C"/>
    <w:rsid w:val="00B35280"/>
    <w:rsid w:val="00B35EF7"/>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7D99"/>
    <w:rsid w:val="00BC5F8F"/>
    <w:rsid w:val="00BC691C"/>
    <w:rsid w:val="00BD1677"/>
    <w:rsid w:val="00BD52BA"/>
    <w:rsid w:val="00BD531B"/>
    <w:rsid w:val="00BD6198"/>
    <w:rsid w:val="00BD6D31"/>
    <w:rsid w:val="00BE1EC9"/>
    <w:rsid w:val="00BF08D7"/>
    <w:rsid w:val="00BF234D"/>
    <w:rsid w:val="00BF4BAD"/>
    <w:rsid w:val="00BF50A0"/>
    <w:rsid w:val="00C000F8"/>
    <w:rsid w:val="00C006AA"/>
    <w:rsid w:val="00C0324A"/>
    <w:rsid w:val="00C04D75"/>
    <w:rsid w:val="00C053C1"/>
    <w:rsid w:val="00C0605F"/>
    <w:rsid w:val="00C07596"/>
    <w:rsid w:val="00C076D6"/>
    <w:rsid w:val="00C11BA3"/>
    <w:rsid w:val="00C12244"/>
    <w:rsid w:val="00C12AF2"/>
    <w:rsid w:val="00C15369"/>
    <w:rsid w:val="00C20096"/>
    <w:rsid w:val="00C209B5"/>
    <w:rsid w:val="00C226C8"/>
    <w:rsid w:val="00C2308A"/>
    <w:rsid w:val="00C23278"/>
    <w:rsid w:val="00C255CD"/>
    <w:rsid w:val="00C25E92"/>
    <w:rsid w:val="00C27564"/>
    <w:rsid w:val="00C31E7B"/>
    <w:rsid w:val="00C32CAF"/>
    <w:rsid w:val="00C33E2F"/>
    <w:rsid w:val="00C34EB7"/>
    <w:rsid w:val="00C35D72"/>
    <w:rsid w:val="00C35D7E"/>
    <w:rsid w:val="00C3638E"/>
    <w:rsid w:val="00C36DB9"/>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2B35"/>
    <w:rsid w:val="00C82DE6"/>
    <w:rsid w:val="00C86BD7"/>
    <w:rsid w:val="00C90FB6"/>
    <w:rsid w:val="00C913D8"/>
    <w:rsid w:val="00C91B90"/>
    <w:rsid w:val="00C925B6"/>
    <w:rsid w:val="00C93F01"/>
    <w:rsid w:val="00C954C1"/>
    <w:rsid w:val="00C9691A"/>
    <w:rsid w:val="00C97D28"/>
    <w:rsid w:val="00CA40AA"/>
    <w:rsid w:val="00CA40FA"/>
    <w:rsid w:val="00CA5F2A"/>
    <w:rsid w:val="00CA62CD"/>
    <w:rsid w:val="00CB17BC"/>
    <w:rsid w:val="00CB1C5B"/>
    <w:rsid w:val="00CB23A3"/>
    <w:rsid w:val="00CB24F1"/>
    <w:rsid w:val="00CB5EC2"/>
    <w:rsid w:val="00CC2691"/>
    <w:rsid w:val="00CC2F63"/>
    <w:rsid w:val="00CC50AB"/>
    <w:rsid w:val="00CC5F6B"/>
    <w:rsid w:val="00CC7DC9"/>
    <w:rsid w:val="00CD1EB7"/>
    <w:rsid w:val="00CD24B7"/>
    <w:rsid w:val="00CD64F8"/>
    <w:rsid w:val="00CD67F2"/>
    <w:rsid w:val="00CE09EE"/>
    <w:rsid w:val="00CE3E26"/>
    <w:rsid w:val="00CE7978"/>
    <w:rsid w:val="00CE7E49"/>
    <w:rsid w:val="00D00568"/>
    <w:rsid w:val="00D01A62"/>
    <w:rsid w:val="00D0269A"/>
    <w:rsid w:val="00D05AA5"/>
    <w:rsid w:val="00D105DF"/>
    <w:rsid w:val="00D124FC"/>
    <w:rsid w:val="00D14143"/>
    <w:rsid w:val="00D167AB"/>
    <w:rsid w:val="00D16EE3"/>
    <w:rsid w:val="00D17D13"/>
    <w:rsid w:val="00D2288F"/>
    <w:rsid w:val="00D23867"/>
    <w:rsid w:val="00D26183"/>
    <w:rsid w:val="00D34BC3"/>
    <w:rsid w:val="00D35DA8"/>
    <w:rsid w:val="00D366FF"/>
    <w:rsid w:val="00D3673D"/>
    <w:rsid w:val="00D40CB5"/>
    <w:rsid w:val="00D445EE"/>
    <w:rsid w:val="00D44DCB"/>
    <w:rsid w:val="00D44E23"/>
    <w:rsid w:val="00D462B5"/>
    <w:rsid w:val="00D467B3"/>
    <w:rsid w:val="00D518E6"/>
    <w:rsid w:val="00D57CA5"/>
    <w:rsid w:val="00D57E7A"/>
    <w:rsid w:val="00D60EDE"/>
    <w:rsid w:val="00D660DA"/>
    <w:rsid w:val="00D7094D"/>
    <w:rsid w:val="00D724FD"/>
    <w:rsid w:val="00D72B39"/>
    <w:rsid w:val="00D742FB"/>
    <w:rsid w:val="00D766A1"/>
    <w:rsid w:val="00D77B73"/>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3165"/>
    <w:rsid w:val="00DB4C7A"/>
    <w:rsid w:val="00DB74FF"/>
    <w:rsid w:val="00DC6235"/>
    <w:rsid w:val="00DD0B68"/>
    <w:rsid w:val="00DD0BD2"/>
    <w:rsid w:val="00DD1A61"/>
    <w:rsid w:val="00DD1F6F"/>
    <w:rsid w:val="00DD3590"/>
    <w:rsid w:val="00DD58AF"/>
    <w:rsid w:val="00DD78BC"/>
    <w:rsid w:val="00DE0118"/>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3AB9"/>
    <w:rsid w:val="00E341A2"/>
    <w:rsid w:val="00E35B8D"/>
    <w:rsid w:val="00E36956"/>
    <w:rsid w:val="00E3786C"/>
    <w:rsid w:val="00E4607D"/>
    <w:rsid w:val="00E472F1"/>
    <w:rsid w:val="00E47DA8"/>
    <w:rsid w:val="00E47F3C"/>
    <w:rsid w:val="00E507B8"/>
    <w:rsid w:val="00E51985"/>
    <w:rsid w:val="00E535C4"/>
    <w:rsid w:val="00E53B05"/>
    <w:rsid w:val="00E54E5C"/>
    <w:rsid w:val="00E5601C"/>
    <w:rsid w:val="00E56450"/>
    <w:rsid w:val="00E60463"/>
    <w:rsid w:val="00E60809"/>
    <w:rsid w:val="00E60D56"/>
    <w:rsid w:val="00E66D85"/>
    <w:rsid w:val="00E706D9"/>
    <w:rsid w:val="00E72322"/>
    <w:rsid w:val="00E724D9"/>
    <w:rsid w:val="00E744D6"/>
    <w:rsid w:val="00E75928"/>
    <w:rsid w:val="00E771A2"/>
    <w:rsid w:val="00E77EB2"/>
    <w:rsid w:val="00E801FD"/>
    <w:rsid w:val="00E8058A"/>
    <w:rsid w:val="00E811FD"/>
    <w:rsid w:val="00E8280A"/>
    <w:rsid w:val="00E90278"/>
    <w:rsid w:val="00E91E88"/>
    <w:rsid w:val="00E927DF"/>
    <w:rsid w:val="00E934A4"/>
    <w:rsid w:val="00E93856"/>
    <w:rsid w:val="00E942A4"/>
    <w:rsid w:val="00EA2189"/>
    <w:rsid w:val="00EA2A9B"/>
    <w:rsid w:val="00EA355B"/>
    <w:rsid w:val="00EA5235"/>
    <w:rsid w:val="00EA64D7"/>
    <w:rsid w:val="00EB3985"/>
    <w:rsid w:val="00EB4252"/>
    <w:rsid w:val="00EB50A6"/>
    <w:rsid w:val="00EB702A"/>
    <w:rsid w:val="00EB75B1"/>
    <w:rsid w:val="00EC05D0"/>
    <w:rsid w:val="00EC14FF"/>
    <w:rsid w:val="00EC23B0"/>
    <w:rsid w:val="00EC462A"/>
    <w:rsid w:val="00EC66F6"/>
    <w:rsid w:val="00ED04DF"/>
    <w:rsid w:val="00ED1002"/>
    <w:rsid w:val="00ED15B5"/>
    <w:rsid w:val="00ED2F14"/>
    <w:rsid w:val="00EE1338"/>
    <w:rsid w:val="00EE3ADF"/>
    <w:rsid w:val="00EE50ED"/>
    <w:rsid w:val="00EE6D3A"/>
    <w:rsid w:val="00EE74FE"/>
    <w:rsid w:val="00EE7A94"/>
    <w:rsid w:val="00EF37DA"/>
    <w:rsid w:val="00F017E8"/>
    <w:rsid w:val="00F0524A"/>
    <w:rsid w:val="00F12D23"/>
    <w:rsid w:val="00F14CFB"/>
    <w:rsid w:val="00F167A8"/>
    <w:rsid w:val="00F16DAA"/>
    <w:rsid w:val="00F208CA"/>
    <w:rsid w:val="00F21225"/>
    <w:rsid w:val="00F2389B"/>
    <w:rsid w:val="00F23F73"/>
    <w:rsid w:val="00F25D9B"/>
    <w:rsid w:val="00F26D98"/>
    <w:rsid w:val="00F30783"/>
    <w:rsid w:val="00F32A69"/>
    <w:rsid w:val="00F337F3"/>
    <w:rsid w:val="00F35BD9"/>
    <w:rsid w:val="00F3611E"/>
    <w:rsid w:val="00F36575"/>
    <w:rsid w:val="00F44FC0"/>
    <w:rsid w:val="00F471C8"/>
    <w:rsid w:val="00F510F4"/>
    <w:rsid w:val="00F55232"/>
    <w:rsid w:val="00F56251"/>
    <w:rsid w:val="00F60787"/>
    <w:rsid w:val="00F61B43"/>
    <w:rsid w:val="00F61CA1"/>
    <w:rsid w:val="00F61DEF"/>
    <w:rsid w:val="00F650EE"/>
    <w:rsid w:val="00F67671"/>
    <w:rsid w:val="00F71E9C"/>
    <w:rsid w:val="00F72300"/>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6414"/>
    <w:rsid w:val="00FC6EE9"/>
    <w:rsid w:val="00FD23A6"/>
    <w:rsid w:val="00FD3424"/>
    <w:rsid w:val="00FD37DA"/>
    <w:rsid w:val="00FD3ED3"/>
    <w:rsid w:val="00FD5E06"/>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H4P5ACNAWDMP-2-12942</_dlc_DocId>
    <_dlc_DocIdUrl xmlns="17c5c574-4f42-45b3-8a7f-77d8e859d074">
      <Url>https://projects.qualcomm.com/sites/LTED/_layouts/15/DocIdRedir.aspx?ID=H4P5ACNAWDMP-2-12942</Url>
      <Description>H4P5ACNAWDMP-2-12942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6EEDB98-F073-460B-B9B0-9643F9FE785E"/>
    <ds:schemaRef ds:uri="http://schemas.microsoft.com/sharepoint/v3"/>
    <ds:schemaRef ds:uri="http://schemas.microsoft.com/sharepoint/v4"/>
    <ds:schemaRef ds:uri="http://purl.org/dc/terms/"/>
    <ds:schemaRef ds:uri="http://schemas.openxmlformats.org/package/2006/metadata/core-properties"/>
    <ds:schemaRef ds:uri="17c5c574-4f42-45b3-8a7f-77d8e859d074"/>
    <ds:schemaRef ds:uri="http://www.w3.org/XML/1998/namespace"/>
    <ds:schemaRef ds:uri="http://purl.org/dc/dcmitype/"/>
  </ds:schemaRefs>
</ds:datastoreItem>
</file>

<file path=customXml/itemProps3.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B5BA5A4B-71A7-424B-9DBB-ACFC64EB0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1B2E28-D8A9-4E50-992A-EF949777C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13</Pages>
  <Words>4498</Words>
  <Characters>25639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KG</cp:lastModifiedBy>
  <cp:revision>89</cp:revision>
  <dcterms:created xsi:type="dcterms:W3CDTF">2016-08-12T23:58:00Z</dcterms:created>
  <dcterms:modified xsi:type="dcterms:W3CDTF">2016-11-04T22:39:00Z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604fe388-4bda-48e3-ac25-636054ba81e3</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0x0101008A98423170284BEEB635F43C3CF4E98B00C295C80E1AC1FA4D858807D5CFC8A6BB</vt:lpwstr>
  </property>
</Properties>
</file>