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139" w:rsidRPr="005F4BD1" w:rsidRDefault="00DF4139" w:rsidP="00DF4139">
      <w:pPr>
        <w:pStyle w:val="a5"/>
        <w:tabs>
          <w:tab w:val="left" w:pos="1800"/>
        </w:tabs>
        <w:ind w:left="1800" w:hanging="1800"/>
        <w:rPr>
          <w:rFonts w:eastAsia="宋体"/>
          <w:sz w:val="22"/>
          <w:szCs w:val="22"/>
          <w:lang w:eastAsia="zh-CN"/>
        </w:rPr>
      </w:pPr>
      <w:r w:rsidRPr="005F4BD1">
        <w:rPr>
          <w:sz w:val="22"/>
          <w:szCs w:val="22"/>
        </w:rPr>
        <w:t>3GPP TSG RAN WG1 Meeting #</w:t>
      </w:r>
      <w:r>
        <w:rPr>
          <w:rFonts w:hint="eastAsia"/>
          <w:sz w:val="22"/>
          <w:szCs w:val="22"/>
        </w:rPr>
        <w:t>8</w:t>
      </w:r>
      <w:r>
        <w:rPr>
          <w:sz w:val="22"/>
          <w:szCs w:val="22"/>
        </w:rPr>
        <w:t>7</w:t>
      </w:r>
      <w:r>
        <w:rPr>
          <w:sz w:val="22"/>
          <w:szCs w:val="22"/>
        </w:rPr>
        <w:tab/>
      </w:r>
      <w:r>
        <w:rPr>
          <w:rFonts w:hint="eastAsia"/>
          <w:sz w:val="22"/>
          <w:szCs w:val="22"/>
        </w:rPr>
        <w:t xml:space="preserve"> </w:t>
      </w:r>
      <w:r w:rsidRPr="005F4BD1">
        <w:rPr>
          <w:rFonts w:hint="eastAsia"/>
          <w:sz w:val="22"/>
          <w:szCs w:val="22"/>
        </w:rPr>
        <w:t xml:space="preserve">                                                               </w:t>
      </w:r>
      <w:r>
        <w:rPr>
          <w:sz w:val="22"/>
          <w:szCs w:val="22"/>
        </w:rPr>
        <w:t xml:space="preserve">         </w:t>
      </w:r>
      <w:r w:rsidRPr="005F4BD1">
        <w:rPr>
          <w:rFonts w:hint="eastAsia"/>
          <w:sz w:val="22"/>
          <w:szCs w:val="22"/>
        </w:rPr>
        <w:t xml:space="preserve"> </w:t>
      </w:r>
      <w:r w:rsidRPr="005F4BD1">
        <w:rPr>
          <w:sz w:val="22"/>
          <w:szCs w:val="22"/>
        </w:rPr>
        <w:t>R1-16</w:t>
      </w:r>
      <w:r>
        <w:rPr>
          <w:rFonts w:eastAsia="宋体"/>
          <w:sz w:val="22"/>
          <w:szCs w:val="22"/>
          <w:lang w:eastAsia="zh-CN"/>
        </w:rPr>
        <w:t>11366</w:t>
      </w:r>
    </w:p>
    <w:p w:rsidR="00DF4139" w:rsidRPr="005F4BD1" w:rsidRDefault="00DF4139" w:rsidP="00DF4139">
      <w:pPr>
        <w:pStyle w:val="a5"/>
        <w:tabs>
          <w:tab w:val="left" w:pos="1800"/>
        </w:tabs>
        <w:ind w:left="1800" w:hanging="1800"/>
        <w:rPr>
          <w:sz w:val="22"/>
          <w:szCs w:val="22"/>
        </w:rPr>
      </w:pPr>
      <w:r>
        <w:rPr>
          <w:sz w:val="22"/>
          <w:szCs w:val="22"/>
        </w:rPr>
        <w:t>Reno, NV, USA, 14</w:t>
      </w:r>
      <w:r w:rsidRPr="00556E64">
        <w:rPr>
          <w:sz w:val="22"/>
          <w:szCs w:val="22"/>
          <w:vertAlign w:val="superscript"/>
        </w:rPr>
        <w:t>th</w:t>
      </w:r>
      <w:r>
        <w:rPr>
          <w:sz w:val="22"/>
          <w:szCs w:val="22"/>
        </w:rPr>
        <w:t xml:space="preserve"> – 18</w:t>
      </w:r>
      <w:r w:rsidRPr="00556E64">
        <w:rPr>
          <w:sz w:val="22"/>
          <w:szCs w:val="22"/>
          <w:vertAlign w:val="superscript"/>
        </w:rPr>
        <w:t>th</w:t>
      </w:r>
      <w:r>
        <w:rPr>
          <w:sz w:val="22"/>
          <w:szCs w:val="22"/>
        </w:rPr>
        <w:t xml:space="preserve"> November</w:t>
      </w:r>
      <w:r w:rsidRPr="00556E64">
        <w:rPr>
          <w:sz w:val="22"/>
          <w:szCs w:val="22"/>
        </w:rPr>
        <w:t xml:space="preserve"> 2016</w:t>
      </w:r>
    </w:p>
    <w:p w:rsidR="00DF4139" w:rsidRDefault="00DF4139" w:rsidP="00DF1CB7">
      <w:pPr>
        <w:tabs>
          <w:tab w:val="right" w:pos="9630"/>
        </w:tabs>
        <w:spacing w:after="0"/>
        <w:rPr>
          <w:rFonts w:ascii="Arial" w:hAnsi="Arial" w:cs="Arial"/>
          <w:b/>
          <w:sz w:val="24"/>
        </w:rPr>
      </w:pP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F4139">
        <w:rPr>
          <w:rFonts w:ascii="Arial" w:hAnsi="Arial"/>
          <w:sz w:val="24"/>
        </w:rPr>
        <w:tab/>
        <w:t>7.1.1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Pr>
          <w:rFonts w:ascii="Arial" w:hAnsi="Arial"/>
          <w:sz w:val="22"/>
        </w:rPr>
        <w:tab/>
      </w:r>
      <w:r w:rsidR="007E2BC8" w:rsidRPr="007E2BC8">
        <w:rPr>
          <w:rFonts w:ascii="Arial" w:hAnsi="Arial"/>
          <w:sz w:val="24"/>
          <w:szCs w:val="24"/>
          <w:lang w:val="en-US"/>
        </w:rPr>
        <w:t>NR T</w:t>
      </w:r>
      <w:r w:rsidR="00DF4139">
        <w:rPr>
          <w:rFonts w:ascii="Arial" w:hAnsi="Arial"/>
          <w:sz w:val="24"/>
          <w:szCs w:val="24"/>
          <w:lang w:val="en-US"/>
        </w:rPr>
        <w:t xml:space="preserve">ime domain structure: </w:t>
      </w:r>
      <w:r w:rsidR="007E2BC8" w:rsidRPr="007E2BC8">
        <w:rPr>
          <w:rFonts w:ascii="Arial" w:hAnsi="Arial"/>
          <w:sz w:val="24"/>
          <w:szCs w:val="24"/>
          <w:lang w:val="en-US"/>
        </w:rPr>
        <w:t>slot and mini-slot and time interval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Pr="00C54703" w:rsidRDefault="00454947" w:rsidP="00B413AB">
      <w:pPr>
        <w:pStyle w:val="1"/>
      </w:pPr>
      <w:r w:rsidRPr="00061DA0">
        <w:t>Introduction</w:t>
      </w:r>
    </w:p>
    <w:p w:rsidR="00715A33" w:rsidRDefault="00E2228A" w:rsidP="00715A33">
      <w:r>
        <w:t>In RAN1#86</w:t>
      </w:r>
      <w:r w:rsidR="00715A33">
        <w:t>, the</w:t>
      </w:r>
      <w:r>
        <w:t xml:space="preserve"> basic units subframe, slot, and mini-slot of NR frame structure </w:t>
      </w:r>
      <w:r w:rsidR="006420F8">
        <w:t xml:space="preserve">were agreed </w:t>
      </w:r>
      <w:r w:rsidR="00715A33">
        <w:t>as follows</w:t>
      </w:r>
      <w:r w:rsidR="00BC1430" w:rsidRPr="00DF1CB7">
        <w:t xml:space="preserve">, </w:t>
      </w:r>
    </w:p>
    <w:p w:rsidR="00E2228A" w:rsidRPr="00660E26" w:rsidRDefault="00E2228A" w:rsidP="00E2228A">
      <w:r w:rsidRPr="00DF7AC8">
        <w:rPr>
          <w:rFonts w:hint="eastAsia"/>
          <w:highlight w:val="green"/>
        </w:rPr>
        <w:t>Agreements:</w:t>
      </w:r>
    </w:p>
    <w:p w:rsidR="00E2228A" w:rsidRPr="00DF7AC8" w:rsidRDefault="00E2228A" w:rsidP="00E2228A">
      <w:pPr>
        <w:numPr>
          <w:ilvl w:val="0"/>
          <w:numId w:val="33"/>
        </w:numPr>
        <w:spacing w:after="0"/>
      </w:pPr>
      <w:r w:rsidRPr="00DF7AC8">
        <w:t xml:space="preserve">A subframe duration is defined by </w:t>
      </w:r>
      <w:r w:rsidRPr="00DF7AC8">
        <w:rPr>
          <w:rFonts w:hint="eastAsia"/>
        </w:rPr>
        <w:t xml:space="preserve">the duration of </w:t>
      </w:r>
      <w:r w:rsidRPr="00DF7AC8">
        <w:rPr>
          <w:i/>
          <w:iCs/>
        </w:rPr>
        <w:t>x</w:t>
      </w:r>
      <w:r w:rsidRPr="00DF7AC8">
        <w:t xml:space="preserve"> OFDM symbols given </w:t>
      </w:r>
      <w:r w:rsidRPr="00DF7AC8">
        <w:rPr>
          <w:rFonts w:hint="eastAsia"/>
        </w:rPr>
        <w:t xml:space="preserve">a reference numerology </w:t>
      </w:r>
    </w:p>
    <w:p w:rsidR="00E2228A" w:rsidRPr="00DF7AC8" w:rsidRDefault="00E2228A" w:rsidP="00E2228A">
      <w:pPr>
        <w:numPr>
          <w:ilvl w:val="1"/>
          <w:numId w:val="33"/>
        </w:numPr>
        <w:spacing w:after="0"/>
      </w:pPr>
      <w:r w:rsidRPr="00DF7AC8">
        <w:rPr>
          <w:rFonts w:hint="eastAsia"/>
        </w:rPr>
        <w:t xml:space="preserve">With the same CP overhead, a single value of </w:t>
      </w:r>
      <w:r w:rsidRPr="00DF7AC8">
        <w:rPr>
          <w:rFonts w:hint="eastAsia"/>
          <w:i/>
        </w:rPr>
        <w:t>x</w:t>
      </w:r>
      <w:r w:rsidRPr="00DF7AC8">
        <w:rPr>
          <w:rFonts w:hint="eastAsia"/>
        </w:rPr>
        <w:t xml:space="preserve"> is specified irrespective of the </w:t>
      </w:r>
      <w:r w:rsidRPr="00DF7AC8">
        <w:t>subcarrier</w:t>
      </w:r>
      <w:r w:rsidRPr="00DF7AC8">
        <w:rPr>
          <w:rFonts w:hint="eastAsia"/>
        </w:rPr>
        <w:t xml:space="preserve"> spacing value chosen for the reference numerology</w:t>
      </w:r>
    </w:p>
    <w:p w:rsidR="00E2228A" w:rsidRPr="00DF7AC8" w:rsidRDefault="00E2228A" w:rsidP="00E2228A">
      <w:pPr>
        <w:numPr>
          <w:ilvl w:val="1"/>
          <w:numId w:val="33"/>
        </w:numPr>
        <w:spacing w:after="0"/>
      </w:pPr>
      <w:r w:rsidRPr="00DF7AC8">
        <w:t xml:space="preserve">This does not preclude multiple </w:t>
      </w:r>
      <w:r w:rsidRPr="00DF7AC8">
        <w:rPr>
          <w:rFonts w:hint="eastAsia"/>
        </w:rPr>
        <w:t xml:space="preserve">data transmission </w:t>
      </w:r>
      <w:r w:rsidRPr="00DF7AC8">
        <w:t xml:space="preserve">opportunities </w:t>
      </w:r>
      <w:r w:rsidRPr="00DF7AC8">
        <w:rPr>
          <w:rFonts w:hint="eastAsia"/>
        </w:rPr>
        <w:t xml:space="preserve">in time </w:t>
      </w:r>
      <w:r w:rsidRPr="00DF7AC8">
        <w:t>within a subframe duration</w:t>
      </w:r>
    </w:p>
    <w:p w:rsidR="00E2228A" w:rsidRPr="00DF7AC8" w:rsidRDefault="00E2228A" w:rsidP="00E2228A">
      <w:pPr>
        <w:numPr>
          <w:ilvl w:val="1"/>
          <w:numId w:val="33"/>
        </w:numPr>
        <w:spacing w:after="0"/>
      </w:pPr>
      <w:r w:rsidRPr="00DF7AC8">
        <w:rPr>
          <w:rFonts w:hint="eastAsia"/>
        </w:rPr>
        <w:t xml:space="preserve">This does not preclude multiple control transmission </w:t>
      </w:r>
      <w:r w:rsidRPr="00DF7AC8">
        <w:t>opportunities</w:t>
      </w:r>
      <w:r w:rsidRPr="00DF7AC8">
        <w:rPr>
          <w:rFonts w:hint="eastAsia"/>
        </w:rPr>
        <w:t xml:space="preserve"> in time for both DL and UL within the subframe duration</w:t>
      </w:r>
    </w:p>
    <w:p w:rsidR="00E2228A" w:rsidRPr="00DF7AC8" w:rsidRDefault="00E2228A" w:rsidP="00E2228A">
      <w:pPr>
        <w:numPr>
          <w:ilvl w:val="1"/>
          <w:numId w:val="33"/>
        </w:numPr>
        <w:spacing w:after="0"/>
      </w:pPr>
      <w:r w:rsidRPr="00DF7AC8">
        <w:t xml:space="preserve">This does not preclude one </w:t>
      </w:r>
      <w:r w:rsidRPr="00DF7AC8">
        <w:rPr>
          <w:rFonts w:hint="eastAsia"/>
        </w:rPr>
        <w:t>data transmission to span</w:t>
      </w:r>
      <w:r w:rsidRPr="00DF7AC8">
        <w:t xml:space="preserve"> over multiple subframe durations</w:t>
      </w:r>
    </w:p>
    <w:p w:rsidR="00E2228A" w:rsidRPr="00DF7AC8" w:rsidRDefault="00E2228A" w:rsidP="00E2228A">
      <w:pPr>
        <w:numPr>
          <w:ilvl w:val="0"/>
          <w:numId w:val="33"/>
        </w:numPr>
        <w:spacing w:after="0"/>
      </w:pPr>
      <w:r w:rsidRPr="00DF7AC8">
        <w:t xml:space="preserve">A UE </w:t>
      </w:r>
      <w:r w:rsidRPr="00DF7AC8">
        <w:rPr>
          <w:rFonts w:hint="eastAsia"/>
        </w:rPr>
        <w:t>ha</w:t>
      </w:r>
      <w:r w:rsidRPr="00DF7AC8">
        <w:t>s one reference numerology in a given NR carrier which defines subframe duration</w:t>
      </w:r>
      <w:r w:rsidRPr="00DF7AC8">
        <w:rPr>
          <w:rFonts w:hint="eastAsia"/>
        </w:rPr>
        <w:t xml:space="preserve"> for the given NR carrier</w:t>
      </w:r>
    </w:p>
    <w:p w:rsidR="00E2228A" w:rsidRPr="00DF7AC8" w:rsidRDefault="00E2228A" w:rsidP="00E2228A">
      <w:pPr>
        <w:numPr>
          <w:ilvl w:val="1"/>
          <w:numId w:val="33"/>
        </w:numPr>
        <w:spacing w:after="0"/>
      </w:pPr>
      <w:r w:rsidRPr="00DF7AC8">
        <w:rPr>
          <w:rFonts w:hint="eastAsia"/>
        </w:rPr>
        <w:t>FFS: In a given NR carrier, whether different UEs may have different reference numerologies or may not</w:t>
      </w:r>
    </w:p>
    <w:p w:rsidR="00E2228A" w:rsidRPr="00660E26" w:rsidRDefault="00E2228A" w:rsidP="00E2228A">
      <w:pPr>
        <w:numPr>
          <w:ilvl w:val="0"/>
          <w:numId w:val="33"/>
        </w:numPr>
        <w:spacing w:after="0"/>
      </w:pPr>
      <w:r w:rsidRPr="00DF7AC8">
        <w:t>Specification supports multiplexing numerologies in TDM and/or FDM within/across (a) subframe duration(s)</w:t>
      </w:r>
      <w:r w:rsidRPr="00DF7AC8">
        <w:rPr>
          <w:rFonts w:hint="eastAsia"/>
        </w:rPr>
        <w:t xml:space="preserve"> from a UE perspective</w:t>
      </w:r>
    </w:p>
    <w:p w:rsidR="00E2228A" w:rsidRDefault="00E2228A" w:rsidP="00E2228A"/>
    <w:p w:rsidR="00E2228A" w:rsidRPr="00745611" w:rsidRDefault="00E2228A" w:rsidP="00E2228A">
      <w:r w:rsidRPr="00080908">
        <w:rPr>
          <w:rFonts w:hint="eastAsia"/>
          <w:highlight w:val="green"/>
        </w:rPr>
        <w:t>Agreements:</w:t>
      </w:r>
    </w:p>
    <w:p w:rsidR="00E2228A" w:rsidRPr="00AD2B5E" w:rsidRDefault="00E2228A" w:rsidP="00E2228A">
      <w:pPr>
        <w:numPr>
          <w:ilvl w:val="0"/>
          <w:numId w:val="34"/>
        </w:numPr>
        <w:spacing w:after="0"/>
      </w:pPr>
      <w:r w:rsidRPr="00AD2B5E">
        <w:rPr>
          <w:rFonts w:hint="eastAsia"/>
        </w:rPr>
        <w:t>Followings are considered as starting points of NR frame structure</w:t>
      </w:r>
      <w:r>
        <w:rPr>
          <w:rFonts w:hint="eastAsia"/>
        </w:rPr>
        <w:t xml:space="preserve"> at least within the CP overhead </w:t>
      </w:r>
    </w:p>
    <w:p w:rsidR="00E2228A" w:rsidRPr="00AD2B5E" w:rsidRDefault="00E2228A" w:rsidP="00E2228A">
      <w:pPr>
        <w:numPr>
          <w:ilvl w:val="1"/>
          <w:numId w:val="34"/>
        </w:numPr>
        <w:spacing w:after="0"/>
      </w:pPr>
      <w:r w:rsidRPr="00AD2B5E">
        <w:t>Subframe</w:t>
      </w:r>
    </w:p>
    <w:p w:rsidR="00E2228A" w:rsidRPr="00AD2B5E" w:rsidRDefault="00E2228A" w:rsidP="00E2228A">
      <w:pPr>
        <w:numPr>
          <w:ilvl w:val="2"/>
          <w:numId w:val="34"/>
        </w:numPr>
        <w:spacing w:after="0"/>
      </w:pPr>
      <w:r w:rsidRPr="00AD2B5E">
        <w:t>Already agreed upon</w:t>
      </w:r>
    </w:p>
    <w:p w:rsidR="00E2228A" w:rsidRPr="00AD2B5E" w:rsidRDefault="00E2228A" w:rsidP="00E2228A">
      <w:pPr>
        <w:numPr>
          <w:ilvl w:val="2"/>
          <w:numId w:val="34"/>
        </w:numPr>
        <w:spacing w:after="0"/>
      </w:pPr>
      <w:r w:rsidRPr="00AD2B5E">
        <w:t>Assume x=14 in the reference numerology for subframe definition (for normal CP)</w:t>
      </w:r>
    </w:p>
    <w:p w:rsidR="00E2228A" w:rsidRPr="00AD2B5E" w:rsidRDefault="00E2228A" w:rsidP="00E2228A">
      <w:pPr>
        <w:numPr>
          <w:ilvl w:val="2"/>
          <w:numId w:val="34"/>
        </w:numPr>
        <w:spacing w:after="0"/>
      </w:pPr>
      <w:r w:rsidRPr="00AD2B5E">
        <w:t>FFS: y=x and/or y=x/2</w:t>
      </w:r>
      <w:r>
        <w:rPr>
          <w:rFonts w:hint="eastAsia"/>
        </w:rPr>
        <w:t xml:space="preserve"> and/or y is signalled</w:t>
      </w:r>
    </w:p>
    <w:p w:rsidR="00E2228A" w:rsidRPr="00AD2B5E" w:rsidRDefault="00E2228A" w:rsidP="00E2228A">
      <w:pPr>
        <w:numPr>
          <w:ilvl w:val="1"/>
          <w:numId w:val="34"/>
        </w:numPr>
        <w:spacing w:after="0"/>
      </w:pPr>
      <w:r w:rsidRPr="00AD2B5E">
        <w:t>Slot</w:t>
      </w:r>
    </w:p>
    <w:p w:rsidR="00E2228A" w:rsidRPr="00AD2B5E" w:rsidRDefault="00E2228A" w:rsidP="00E2228A">
      <w:pPr>
        <w:numPr>
          <w:ilvl w:val="2"/>
          <w:numId w:val="34"/>
        </w:numPr>
        <w:spacing w:after="0"/>
      </w:pPr>
      <w:r w:rsidRPr="00AD2B5E">
        <w:t>Slot of duration y OFDM symbols in the numerology used for transmission</w:t>
      </w:r>
    </w:p>
    <w:p w:rsidR="00E2228A" w:rsidRPr="00AD2B5E" w:rsidRDefault="00E2228A" w:rsidP="00E2228A">
      <w:pPr>
        <w:numPr>
          <w:ilvl w:val="2"/>
          <w:numId w:val="34"/>
        </w:numPr>
        <w:spacing w:after="0"/>
      </w:pPr>
      <w:r w:rsidRPr="00AD2B5E">
        <w:t xml:space="preserve">An integer number of slots fit within one subframe duration (at least for </w:t>
      </w:r>
      <w:r>
        <w:rPr>
          <w:rFonts w:hint="eastAsia"/>
        </w:rPr>
        <w:t>subcarrier spacing is larger</w:t>
      </w:r>
      <w:r w:rsidRPr="00AD2B5E">
        <w:t xml:space="preserve"> than or equal the reference numerology)</w:t>
      </w:r>
    </w:p>
    <w:p w:rsidR="00E2228A" w:rsidRPr="00AD2B5E" w:rsidRDefault="00E2228A" w:rsidP="00E2228A">
      <w:pPr>
        <w:numPr>
          <w:ilvl w:val="2"/>
          <w:numId w:val="34"/>
        </w:numPr>
        <w:spacing w:after="0"/>
      </w:pPr>
      <w:r w:rsidRPr="00AD2B5E">
        <w:t>The structure allows for ctrl at the beginning</w:t>
      </w:r>
      <w:r>
        <w:rPr>
          <w:rFonts w:hint="eastAsia"/>
        </w:rPr>
        <w:t xml:space="preserve"> only</w:t>
      </w:r>
    </w:p>
    <w:p w:rsidR="00E2228A" w:rsidRPr="00AD2B5E" w:rsidRDefault="00E2228A" w:rsidP="00E2228A">
      <w:pPr>
        <w:numPr>
          <w:ilvl w:val="2"/>
          <w:numId w:val="34"/>
        </w:numPr>
        <w:spacing w:after="0"/>
      </w:pPr>
      <w:r w:rsidRPr="00AD2B5E">
        <w:t>The structure allows for ctrl at the end</w:t>
      </w:r>
      <w:r>
        <w:rPr>
          <w:rFonts w:hint="eastAsia"/>
        </w:rPr>
        <w:t xml:space="preserve"> only</w:t>
      </w:r>
    </w:p>
    <w:p w:rsidR="00E2228A" w:rsidRDefault="00E2228A" w:rsidP="00E2228A">
      <w:pPr>
        <w:numPr>
          <w:ilvl w:val="2"/>
          <w:numId w:val="34"/>
        </w:numPr>
        <w:spacing w:after="0"/>
      </w:pPr>
      <w:r w:rsidRPr="00AD2B5E">
        <w:t>The structure allows for ctrl at the end and at the beginning</w:t>
      </w:r>
    </w:p>
    <w:p w:rsidR="00E2228A" w:rsidRDefault="00E2228A" w:rsidP="00E2228A">
      <w:pPr>
        <w:numPr>
          <w:ilvl w:val="2"/>
          <w:numId w:val="34"/>
        </w:numPr>
        <w:spacing w:after="0"/>
      </w:pPr>
      <w:r>
        <w:rPr>
          <w:rFonts w:hint="eastAsia"/>
        </w:rPr>
        <w:t>Other structure is not precluded</w:t>
      </w:r>
    </w:p>
    <w:p w:rsidR="00E2228A" w:rsidRPr="00AD2B5E" w:rsidRDefault="00E2228A" w:rsidP="00E2228A">
      <w:pPr>
        <w:numPr>
          <w:ilvl w:val="2"/>
          <w:numId w:val="34"/>
        </w:numPr>
        <w:spacing w:after="0"/>
      </w:pPr>
      <w:r w:rsidRPr="00AD2B5E">
        <w:t>One possible scheduling unit</w:t>
      </w:r>
    </w:p>
    <w:p w:rsidR="00E2228A" w:rsidRPr="00AD2B5E" w:rsidRDefault="00E2228A" w:rsidP="00E2228A">
      <w:pPr>
        <w:numPr>
          <w:ilvl w:val="1"/>
          <w:numId w:val="34"/>
        </w:numPr>
        <w:spacing w:after="0"/>
      </w:pPr>
      <w:r w:rsidRPr="00AD2B5E">
        <w:t>Mini-slot</w:t>
      </w:r>
    </w:p>
    <w:p w:rsidR="00E2228A" w:rsidRPr="00AD2B5E" w:rsidRDefault="00E2228A" w:rsidP="00E2228A">
      <w:pPr>
        <w:numPr>
          <w:ilvl w:val="2"/>
          <w:numId w:val="34"/>
        </w:numPr>
        <w:spacing w:after="0"/>
      </w:pPr>
      <w:r w:rsidRPr="00AD2B5E">
        <w:t>Should at least support transmission shorter than y OFDM symbols in the numerology used for transmission</w:t>
      </w:r>
    </w:p>
    <w:p w:rsidR="00E2228A" w:rsidRPr="00AD2B5E" w:rsidRDefault="00E2228A" w:rsidP="00E2228A">
      <w:pPr>
        <w:numPr>
          <w:ilvl w:val="2"/>
          <w:numId w:val="34"/>
        </w:numPr>
        <w:spacing w:after="0"/>
      </w:pPr>
      <w:r w:rsidRPr="00AD2B5E">
        <w:t>May contain ctrl at the beginning and/or ctrl at the end</w:t>
      </w:r>
    </w:p>
    <w:p w:rsidR="00E2228A" w:rsidRPr="00AD2B5E" w:rsidRDefault="00E2228A" w:rsidP="00E2228A">
      <w:pPr>
        <w:numPr>
          <w:ilvl w:val="2"/>
          <w:numId w:val="34"/>
        </w:numPr>
        <w:spacing w:after="0"/>
      </w:pPr>
      <w:r w:rsidRPr="00AD2B5E">
        <w:t>The smallest mini-slot is the smallest possible scheduling unit (FFS: smallest number of symbols)</w:t>
      </w:r>
    </w:p>
    <w:p w:rsidR="00E2228A" w:rsidRDefault="00E2228A" w:rsidP="00E2228A">
      <w:pPr>
        <w:numPr>
          <w:ilvl w:val="1"/>
          <w:numId w:val="34"/>
        </w:numPr>
        <w:spacing w:after="0"/>
      </w:pPr>
      <w:r w:rsidRPr="00AD2B5E">
        <w:t>Note: the names are for the purpose of discussion. Whether some terms can be merged or not is FFS</w:t>
      </w:r>
    </w:p>
    <w:p w:rsidR="00E2228A" w:rsidRPr="00D31515" w:rsidRDefault="00E2228A" w:rsidP="00E2228A">
      <w:pPr>
        <w:numPr>
          <w:ilvl w:val="1"/>
          <w:numId w:val="34"/>
        </w:numPr>
        <w:spacing w:after="0"/>
      </w:pPr>
      <w:r>
        <w:rPr>
          <w:rFonts w:hint="eastAsia"/>
        </w:rPr>
        <w:t>FFS whether NR frame structure needs to support both slot and mini-slot or these can be merged</w:t>
      </w:r>
    </w:p>
    <w:p w:rsidR="00E2228A" w:rsidRDefault="00E2228A" w:rsidP="00E2228A">
      <w:pPr>
        <w:rPr>
          <w:highlight w:val="green"/>
        </w:rPr>
      </w:pPr>
    </w:p>
    <w:p w:rsidR="00E2228A" w:rsidRPr="007B276D" w:rsidRDefault="00E2228A" w:rsidP="00E2228A">
      <w:r w:rsidRPr="0063512C">
        <w:rPr>
          <w:rFonts w:hint="eastAsia"/>
          <w:highlight w:val="green"/>
        </w:rPr>
        <w:t>Agreements:</w:t>
      </w:r>
    </w:p>
    <w:p w:rsidR="00E2228A" w:rsidRPr="007B276D" w:rsidRDefault="00E2228A" w:rsidP="00E2228A">
      <w:pPr>
        <w:numPr>
          <w:ilvl w:val="0"/>
          <w:numId w:val="35"/>
        </w:numPr>
        <w:spacing w:after="0"/>
      </w:pPr>
      <w:r w:rsidRPr="007B276D">
        <w:t>A slot can contain all downlink, all uplink, or {at least one downlink part and at least one uplink part}</w:t>
      </w:r>
    </w:p>
    <w:p w:rsidR="00E2228A" w:rsidRDefault="00E2228A" w:rsidP="00E2228A">
      <w:pPr>
        <w:numPr>
          <w:ilvl w:val="1"/>
          <w:numId w:val="35"/>
        </w:numPr>
        <w:spacing w:after="0"/>
      </w:pPr>
      <w:r w:rsidRPr="007B276D">
        <w:t>FFS regarding the number of switching points, multiplexing of differen</w:t>
      </w:r>
      <w:r>
        <w:t xml:space="preserve">t use cases </w:t>
      </w:r>
      <w:r>
        <w:rPr>
          <w:rFonts w:hint="eastAsia"/>
        </w:rPr>
        <w:t xml:space="preserve">(e.g., multiplexing eMBB and URLLC use cases) </w:t>
      </w:r>
      <w:r>
        <w:t>and/or numerologies</w:t>
      </w:r>
      <w:r>
        <w:rPr>
          <w:rFonts w:hint="eastAsia"/>
        </w:rPr>
        <w:t xml:space="preserve"> in the time domain</w:t>
      </w:r>
    </w:p>
    <w:p w:rsidR="00B526FE" w:rsidRDefault="00B526FE" w:rsidP="00B526FE">
      <w:pPr>
        <w:spacing w:after="0"/>
      </w:pPr>
    </w:p>
    <w:p w:rsidR="00B526FE" w:rsidRDefault="00B526FE" w:rsidP="00B526FE">
      <w:pPr>
        <w:spacing w:after="0"/>
      </w:pPr>
      <w:r>
        <w:t>In RAN1#86bis, the definitions of subframe and slot are further specified as follows,</w:t>
      </w:r>
    </w:p>
    <w:p w:rsidR="00B526FE" w:rsidRDefault="00B526FE" w:rsidP="00B526FE">
      <w:pPr>
        <w:spacing w:after="0"/>
      </w:pPr>
    </w:p>
    <w:p w:rsidR="00B526FE" w:rsidRPr="00DD212D" w:rsidRDefault="00B526FE" w:rsidP="00B526FE">
      <w:pPr>
        <w:rPr>
          <w:b/>
          <w:u w:val="single"/>
        </w:rPr>
      </w:pPr>
      <w:r w:rsidRPr="00DD212D">
        <w:rPr>
          <w:rFonts w:hint="eastAsia"/>
          <w:b/>
          <w:highlight w:val="green"/>
          <w:u w:val="single"/>
        </w:rPr>
        <w:t>Agreements:</w:t>
      </w:r>
    </w:p>
    <w:p w:rsidR="00B526FE" w:rsidRPr="00D61F0E" w:rsidRDefault="00B526FE" w:rsidP="00B526FE">
      <w:pPr>
        <w:numPr>
          <w:ilvl w:val="0"/>
          <w:numId w:val="37"/>
        </w:numPr>
        <w:spacing w:after="0"/>
      </w:pPr>
      <w:r w:rsidRPr="00D61F0E">
        <w:rPr>
          <w:lang w:val="sv-SE"/>
        </w:rPr>
        <w:t xml:space="preserve">Sub-frame duration is </w:t>
      </w:r>
      <w:r w:rsidRPr="00D61F0E">
        <w:rPr>
          <w:rFonts w:hint="eastAsia"/>
          <w:lang w:val="sv-SE"/>
        </w:rPr>
        <w:t xml:space="preserve">fixed to </w:t>
      </w:r>
      <w:r w:rsidRPr="00D61F0E">
        <w:rPr>
          <w:lang w:val="sv-SE"/>
        </w:rPr>
        <w:t>1ms</w:t>
      </w:r>
    </w:p>
    <w:p w:rsidR="00B526FE" w:rsidRPr="00D61F0E" w:rsidRDefault="00B526FE" w:rsidP="00B526FE">
      <w:pPr>
        <w:numPr>
          <w:ilvl w:val="0"/>
          <w:numId w:val="37"/>
        </w:numPr>
        <w:spacing w:after="0"/>
      </w:pPr>
      <w:r w:rsidRPr="00D61F0E">
        <w:rPr>
          <w:lang w:val="sv-SE"/>
        </w:rPr>
        <w:t>Reference numerology for defin</w:t>
      </w:r>
      <w:r>
        <w:rPr>
          <w:lang w:val="sv-SE"/>
        </w:rPr>
        <w:t>ing subframe duration is 15 kH</w:t>
      </w:r>
      <w:r>
        <w:rPr>
          <w:rFonts w:hint="eastAsia"/>
          <w:lang w:val="sv-SE"/>
        </w:rPr>
        <w:t>z</w:t>
      </w:r>
    </w:p>
    <w:p w:rsidR="00B526FE" w:rsidRDefault="00B526FE" w:rsidP="00B526FE">
      <w:pPr>
        <w:rPr>
          <w:b/>
        </w:rPr>
      </w:pPr>
    </w:p>
    <w:p w:rsidR="00B526FE" w:rsidRPr="00DD212D" w:rsidRDefault="00B526FE" w:rsidP="00B526FE">
      <w:pPr>
        <w:rPr>
          <w:b/>
          <w:u w:val="single"/>
        </w:rPr>
      </w:pPr>
      <w:r w:rsidRPr="00DD212D">
        <w:rPr>
          <w:rFonts w:hint="eastAsia"/>
          <w:b/>
          <w:highlight w:val="green"/>
          <w:u w:val="single"/>
        </w:rPr>
        <w:t>Agreements:</w:t>
      </w:r>
    </w:p>
    <w:p w:rsidR="00B526FE" w:rsidRPr="007E3B61" w:rsidRDefault="00B526FE" w:rsidP="00B526FE">
      <w:pPr>
        <w:numPr>
          <w:ilvl w:val="0"/>
          <w:numId w:val="38"/>
        </w:numPr>
        <w:spacing w:after="0"/>
      </w:pPr>
      <w:r w:rsidRPr="007E3B61">
        <w:rPr>
          <w:rFonts w:hint="eastAsia"/>
        </w:rPr>
        <w:t>For SCS of up to 60kHz with NCP, y = 7 and 14</w:t>
      </w:r>
    </w:p>
    <w:p w:rsidR="00B526FE" w:rsidRPr="007E3B61" w:rsidRDefault="00B526FE" w:rsidP="00B526FE">
      <w:pPr>
        <w:numPr>
          <w:ilvl w:val="1"/>
          <w:numId w:val="38"/>
        </w:numPr>
        <w:spacing w:after="0"/>
      </w:pPr>
      <w:r w:rsidRPr="007E3B61">
        <w:rPr>
          <w:rFonts w:hint="eastAsia"/>
        </w:rPr>
        <w:t>FFS: whether/which to down select for certain SCS(s)</w:t>
      </w:r>
    </w:p>
    <w:p w:rsidR="00B526FE" w:rsidRPr="007E3B61" w:rsidRDefault="00B526FE" w:rsidP="00B526FE">
      <w:pPr>
        <w:numPr>
          <w:ilvl w:val="0"/>
          <w:numId w:val="38"/>
        </w:numPr>
        <w:spacing w:after="0"/>
      </w:pPr>
      <w:r w:rsidRPr="007E3B61">
        <w:rPr>
          <w:rFonts w:hint="eastAsia"/>
        </w:rPr>
        <w:t>For SCS of higher than 60kHz with NCP, y = 14</w:t>
      </w:r>
    </w:p>
    <w:p w:rsidR="00B526FE" w:rsidRDefault="00B526FE" w:rsidP="00B526FE">
      <w:pPr>
        <w:spacing w:after="0"/>
      </w:pPr>
    </w:p>
    <w:p w:rsidR="00E2228A" w:rsidRDefault="00E2228A" w:rsidP="00715A33"/>
    <w:p w:rsidR="00E2228A" w:rsidRPr="00715A33" w:rsidRDefault="00E2228A" w:rsidP="00715A33">
      <w:r>
        <w:t xml:space="preserve">This paper discusses NR frame structure design and its relationship to subframe, slot, and mini-slot.  </w:t>
      </w:r>
    </w:p>
    <w:p w:rsidR="00687154" w:rsidRPr="00687154" w:rsidRDefault="00687154" w:rsidP="00687154">
      <w:pPr>
        <w:spacing w:after="0"/>
        <w:ind w:left="1440"/>
        <w:rPr>
          <w:lang w:val="en-US"/>
        </w:rPr>
      </w:pPr>
    </w:p>
    <w:p w:rsidR="00256724" w:rsidRDefault="000E1FD3" w:rsidP="00B413AB">
      <w:pPr>
        <w:pStyle w:val="1"/>
      </w:pPr>
      <w:r>
        <w:t xml:space="preserve">NR Frame Structure </w:t>
      </w:r>
      <w:r w:rsidR="00256724">
        <w:t>Design</w:t>
      </w:r>
      <w:r>
        <w:t xml:space="preserve"> Target</w:t>
      </w:r>
    </w:p>
    <w:p w:rsidR="00256724" w:rsidRPr="00256724" w:rsidRDefault="00256724" w:rsidP="00256724">
      <w:r>
        <w:t xml:space="preserve">The design targets of NR frame structure are to optimize the radio resources in meeting all the performance and service requirements in the given deployment scenarios and to have the flexibility for the future applications.  </w:t>
      </w:r>
      <w:r>
        <w:rPr>
          <w:rStyle w:val="afe"/>
          <w:b w:val="0"/>
          <w:bCs w:val="0"/>
        </w:rPr>
        <w:t>In order to optimize the radio resource for all target applications, such as eMBB, mMTC, and</w:t>
      </w:r>
      <w:r w:rsidR="000E1FD3">
        <w:rPr>
          <w:rStyle w:val="afe"/>
          <w:b w:val="0"/>
          <w:bCs w:val="0"/>
        </w:rPr>
        <w:t xml:space="preserve"> URLLC, the radio resources should be </w:t>
      </w:r>
      <w:r>
        <w:rPr>
          <w:rStyle w:val="afe"/>
          <w:b w:val="0"/>
          <w:bCs w:val="0"/>
        </w:rPr>
        <w:t xml:space="preserve">flexibly partitioned for different applications in time and frequency with statistical multiplexing of varied types of traffic, such as MTC data, unicast, group communication, TV broadcast, and system information.  The statistical multiplexing of different type of traffic maximizes the resource utilization and </w:t>
      </w:r>
      <w:r w:rsidR="000E1FD3">
        <w:rPr>
          <w:rStyle w:val="afe"/>
          <w:b w:val="0"/>
          <w:bCs w:val="0"/>
        </w:rPr>
        <w:t xml:space="preserve">minimizes the latency.   The </w:t>
      </w:r>
      <w:r>
        <w:rPr>
          <w:rStyle w:val="afe"/>
          <w:b w:val="0"/>
          <w:bCs w:val="0"/>
        </w:rPr>
        <w:t xml:space="preserve">NR frame structure design should avoid customizing the radio resource for a physical channel or an application.  For examples in LTE system design, the dedicated resource for PDCCH limits the flexibility of resource utilization.   The MBSFN subframes would not allow the multiplexing of MBMS traffic and unicast data traffic in a same subframe.  </w:t>
      </w:r>
    </w:p>
    <w:p w:rsidR="00C61847" w:rsidRDefault="000E1FD3" w:rsidP="00C61847">
      <w:pPr>
        <w:rPr>
          <w:rStyle w:val="afe"/>
          <w:b w:val="0"/>
        </w:rPr>
      </w:pPr>
      <w:r>
        <w:rPr>
          <w:rStyle w:val="afe"/>
          <w:b w:val="0"/>
        </w:rPr>
        <w:t xml:space="preserve">The NR system </w:t>
      </w:r>
      <w:r w:rsidR="00C61847">
        <w:rPr>
          <w:rStyle w:val="afe"/>
          <w:b w:val="0"/>
        </w:rPr>
        <w:t>should support both FDD and TDD wi</w:t>
      </w:r>
      <w:r>
        <w:rPr>
          <w:rStyle w:val="afe"/>
          <w:b w:val="0"/>
        </w:rPr>
        <w:t xml:space="preserve">th </w:t>
      </w:r>
      <w:r w:rsidR="00ED08BC">
        <w:rPr>
          <w:rStyle w:val="afe"/>
          <w:b w:val="0"/>
        </w:rPr>
        <w:t xml:space="preserve">the target of commonality </w:t>
      </w:r>
      <w:r w:rsidR="007A47FD">
        <w:rPr>
          <w:rStyle w:val="afe"/>
          <w:b w:val="0"/>
        </w:rPr>
        <w:t xml:space="preserve">in the </w:t>
      </w:r>
      <w:r>
        <w:rPr>
          <w:rStyle w:val="afe"/>
          <w:b w:val="0"/>
        </w:rPr>
        <w:t>frame structure</w:t>
      </w:r>
      <w:r w:rsidR="00E53AEF">
        <w:rPr>
          <w:rStyle w:val="afe"/>
          <w:b w:val="0"/>
        </w:rPr>
        <w:t xml:space="preserve"> and timing relationship</w:t>
      </w:r>
      <w:r>
        <w:rPr>
          <w:rStyle w:val="afe"/>
          <w:b w:val="0"/>
        </w:rPr>
        <w:t>.  The NR</w:t>
      </w:r>
      <w:r w:rsidR="00C61847">
        <w:rPr>
          <w:rStyle w:val="afe"/>
          <w:b w:val="0"/>
        </w:rPr>
        <w:t xml:space="preserve"> frame structure should operate in licensed and unlicensed spectrum with same efficiency.  The new frame structure should be designed to be effect</w:t>
      </w:r>
      <w:r w:rsidR="0066609E">
        <w:rPr>
          <w:rStyle w:val="afe"/>
          <w:b w:val="0"/>
        </w:rPr>
        <w:t>ive for UE-to-network access link,</w:t>
      </w:r>
      <w:r w:rsidR="00C61847">
        <w:rPr>
          <w:rStyle w:val="afe"/>
          <w:b w:val="0"/>
        </w:rPr>
        <w:t xml:space="preserve"> UE-to-UE direct communication</w:t>
      </w:r>
      <w:r w:rsidR="0066609E">
        <w:rPr>
          <w:rStyle w:val="afe"/>
          <w:b w:val="0"/>
        </w:rPr>
        <w:t>, and backhaul link</w:t>
      </w:r>
      <w:r w:rsidR="00C61847">
        <w:rPr>
          <w:rStyle w:val="afe"/>
          <w:b w:val="0"/>
        </w:rPr>
        <w:t>.  With the addition of UE-to-UE direct</w:t>
      </w:r>
      <w:r w:rsidR="004022D4">
        <w:rPr>
          <w:rStyle w:val="afe"/>
          <w:b w:val="0"/>
        </w:rPr>
        <w:t xml:space="preserve"> communication, the NR</w:t>
      </w:r>
      <w:r w:rsidR="00C61847">
        <w:rPr>
          <w:rStyle w:val="afe"/>
          <w:b w:val="0"/>
        </w:rPr>
        <w:t xml:space="preserve"> interface is moving away from traditional client and server network central control style frame structure design.   The access links, such as downlink, uplink, and sidelink, have a lot of functions with similarity.  The frame structures should be universal to all access links.  </w:t>
      </w:r>
      <w:r w:rsidR="004E2F0F">
        <w:rPr>
          <w:rStyle w:val="afe"/>
          <w:b w:val="0"/>
        </w:rPr>
        <w:t xml:space="preserve"> A</w:t>
      </w:r>
      <w:r w:rsidR="00C61847">
        <w:rPr>
          <w:rStyle w:val="afe"/>
          <w:b w:val="0"/>
        </w:rPr>
        <w:t xml:space="preserve"> universal frame structure design gives the flexibility of radio resource allocation and interference management when UE-to-network communication and UE-to-UE direct communication are in the same cluster.  </w:t>
      </w:r>
    </w:p>
    <w:p w:rsidR="003F3F69" w:rsidRDefault="006E60F2" w:rsidP="00C61847">
      <w:pPr>
        <w:rPr>
          <w:rStyle w:val="afe"/>
        </w:rPr>
      </w:pPr>
      <w:r>
        <w:rPr>
          <w:rStyle w:val="afe"/>
        </w:rPr>
        <w:t>Proposal 1: The NR</w:t>
      </w:r>
      <w:r w:rsidR="00C61847">
        <w:rPr>
          <w:rStyle w:val="afe"/>
        </w:rPr>
        <w:t xml:space="preserve"> frame structure should be universal for FDD and TDD as well as all access links (DL/UL/SL)</w:t>
      </w:r>
    </w:p>
    <w:p w:rsidR="00C61847" w:rsidRDefault="004022D4" w:rsidP="004022D4">
      <w:pPr>
        <w:pStyle w:val="1"/>
      </w:pPr>
      <w:r>
        <w:t xml:space="preserve"> </w:t>
      </w:r>
      <w:r w:rsidR="00B8250B">
        <w:t>NR F</w:t>
      </w:r>
      <w:r w:rsidR="00775384">
        <w:t>rame Structure</w:t>
      </w:r>
      <w:r>
        <w:t xml:space="preserve"> in Time Domain</w:t>
      </w:r>
    </w:p>
    <w:p w:rsidR="007A47FD" w:rsidRDefault="007A47FD" w:rsidP="007A47FD">
      <w:pPr>
        <w:spacing w:after="0"/>
        <w:ind w:left="720"/>
        <w:rPr>
          <w:lang w:val="en-US"/>
        </w:rPr>
      </w:pPr>
    </w:p>
    <w:p w:rsidR="004022D4" w:rsidRPr="00660E26" w:rsidRDefault="004022D4" w:rsidP="004022D4">
      <w:r>
        <w:t>The basic time domain units of subframe, slot, and mini-slot in the NR frame structure were agreed in RAN1#8</w:t>
      </w:r>
      <w:r w:rsidR="000D58A0">
        <w:t xml:space="preserve">6.  The subframe is defined as 14 OFDM </w:t>
      </w:r>
      <w:r>
        <w:t>symbols</w:t>
      </w:r>
      <w:r w:rsidR="000D58A0">
        <w:t xml:space="preserve"> along with the “slot” and “mini-slot</w:t>
      </w:r>
      <w:proofErr w:type="gramStart"/>
      <w:r w:rsidR="000D58A0">
        <w:t xml:space="preserve">” </w:t>
      </w:r>
      <w:r>
        <w:t xml:space="preserve"> as</w:t>
      </w:r>
      <w:proofErr w:type="gramEnd"/>
      <w:r>
        <w:t xml:space="preserve"> follows</w:t>
      </w:r>
      <w:r w:rsidRPr="00DF1CB7">
        <w:t xml:space="preserve">, </w:t>
      </w:r>
    </w:p>
    <w:p w:rsidR="000D58A0" w:rsidRDefault="000D58A0" w:rsidP="000D58A0">
      <w:pPr>
        <w:numPr>
          <w:ilvl w:val="0"/>
          <w:numId w:val="33"/>
        </w:numPr>
        <w:spacing w:after="0"/>
      </w:pPr>
      <w:r>
        <w:t xml:space="preserve">Subframe - </w:t>
      </w:r>
    </w:p>
    <w:p w:rsidR="00B526FE" w:rsidRDefault="00B526FE" w:rsidP="000D58A0">
      <w:pPr>
        <w:numPr>
          <w:ilvl w:val="1"/>
          <w:numId w:val="33"/>
        </w:numPr>
        <w:spacing w:after="0"/>
      </w:pPr>
      <w:r>
        <w:t xml:space="preserve">A subframe duration is fixed at 1 ms based on the reference numerology of </w:t>
      </w:r>
      <w:proofErr w:type="gramStart"/>
      <w:r>
        <w:t>15kHz</w:t>
      </w:r>
      <w:proofErr w:type="gramEnd"/>
      <w:r>
        <w:t xml:space="preserve"> subcarrier spacing.</w:t>
      </w:r>
    </w:p>
    <w:p w:rsidR="000D58A0" w:rsidRDefault="004022D4" w:rsidP="000D58A0">
      <w:pPr>
        <w:numPr>
          <w:ilvl w:val="0"/>
          <w:numId w:val="34"/>
        </w:numPr>
        <w:spacing w:after="0"/>
      </w:pPr>
      <w:r w:rsidRPr="00AD2B5E">
        <w:t>Slot</w:t>
      </w:r>
    </w:p>
    <w:p w:rsidR="004022D4" w:rsidRPr="00AD2B5E" w:rsidRDefault="00B526FE" w:rsidP="000D58A0">
      <w:pPr>
        <w:numPr>
          <w:ilvl w:val="1"/>
          <w:numId w:val="34"/>
        </w:numPr>
        <w:spacing w:after="0"/>
      </w:pPr>
      <w:r>
        <w:t xml:space="preserve">Slot duration  – 7 and 14 for up to 60 kHz  SCS and 14 for above </w:t>
      </w:r>
    </w:p>
    <w:p w:rsidR="004022D4" w:rsidRPr="000D58A0" w:rsidRDefault="004022D4" w:rsidP="000D58A0">
      <w:pPr>
        <w:pStyle w:val="afa"/>
        <w:numPr>
          <w:ilvl w:val="0"/>
          <w:numId w:val="36"/>
        </w:numPr>
        <w:rPr>
          <w:sz w:val="20"/>
          <w:szCs w:val="20"/>
        </w:rPr>
      </w:pPr>
      <w:r w:rsidRPr="000D58A0">
        <w:rPr>
          <w:sz w:val="20"/>
          <w:szCs w:val="20"/>
        </w:rPr>
        <w:lastRenderedPageBreak/>
        <w:t>Mini-slot</w:t>
      </w:r>
    </w:p>
    <w:p w:rsidR="004022D4" w:rsidRPr="00AD2B5E" w:rsidRDefault="004022D4" w:rsidP="000D58A0">
      <w:pPr>
        <w:numPr>
          <w:ilvl w:val="1"/>
          <w:numId w:val="34"/>
        </w:numPr>
        <w:spacing w:after="0"/>
      </w:pPr>
      <w:r w:rsidRPr="00AD2B5E">
        <w:t>Should at least supp</w:t>
      </w:r>
      <w:r w:rsidR="00B526FE">
        <w:t xml:space="preserve">ort transmission shorter than 7 </w:t>
      </w:r>
      <w:r w:rsidRPr="00AD2B5E">
        <w:t>OFDM symbols in the numerology used for transmission</w:t>
      </w:r>
    </w:p>
    <w:p w:rsidR="008610C1" w:rsidRDefault="004022D4" w:rsidP="00043CEE">
      <w:pPr>
        <w:numPr>
          <w:ilvl w:val="1"/>
          <w:numId w:val="34"/>
        </w:numPr>
        <w:spacing w:after="0"/>
      </w:pPr>
      <w:r w:rsidRPr="00AD2B5E">
        <w:t>The smallest mini-slot is the sma</w:t>
      </w:r>
      <w:r w:rsidR="00B526FE">
        <w:t xml:space="preserve">llest possible scheduling unit </w:t>
      </w:r>
    </w:p>
    <w:p w:rsidR="008610C1" w:rsidRDefault="008610C1" w:rsidP="00043CEE"/>
    <w:p w:rsidR="00DD7B0E" w:rsidRDefault="003F3F69" w:rsidP="00043CEE">
      <w:r>
        <w:t xml:space="preserve">The NR frame </w:t>
      </w:r>
      <w:r w:rsidR="007A47FD">
        <w:t>structu</w:t>
      </w:r>
      <w:r w:rsidR="00FF1993">
        <w:t>re consists of the smallest scheduling unit of “mini-slot”, the scheduling unit of “slot”, and the</w:t>
      </w:r>
      <w:r w:rsidR="00ED515C" w:rsidRPr="00043CEE">
        <w:t xml:space="preserve"> cou</w:t>
      </w:r>
      <w:r w:rsidR="00906D6A" w:rsidRPr="00043CEE">
        <w:t>nting and timing reference</w:t>
      </w:r>
      <w:r w:rsidR="00FF1993">
        <w:t xml:space="preserve"> unit of “subframe”</w:t>
      </w:r>
      <w:r w:rsidR="00906D6A" w:rsidRPr="00043CEE">
        <w:t xml:space="preserve"> for the system access</w:t>
      </w:r>
      <w:r w:rsidR="003E64A4">
        <w:t xml:space="preserve">. </w:t>
      </w:r>
      <w:r w:rsidR="007A47FD">
        <w:t xml:space="preserve"> </w:t>
      </w:r>
      <w:r w:rsidR="00FF1993">
        <w:t>The subframe</w:t>
      </w:r>
      <w:r w:rsidR="00010359">
        <w:t xml:space="preserve"> along with the system fame number (SFN)</w:t>
      </w:r>
      <w:r w:rsidR="00FF1993">
        <w:t xml:space="preserve"> in NR frame structure has the significance of being the reference timing and counter for the configuration of DL </w:t>
      </w:r>
      <w:r w:rsidR="00010359">
        <w:t xml:space="preserve">common </w:t>
      </w:r>
      <w:r w:rsidR="00FF1993">
        <w:t>signals/channels, such as synchronization channels, broadcast channels, and control channels.</w:t>
      </w:r>
      <w:r w:rsidR="00010359">
        <w:t xml:space="preserve">  UEs can set the reference system timing and demodulate the essential system information</w:t>
      </w:r>
      <w:r w:rsidR="00FF1993">
        <w:t xml:space="preserve"> </w:t>
      </w:r>
      <w:r w:rsidR="00010359">
        <w:t xml:space="preserve">from broadcast channel after the initial detection of the synchronization channels with a given numerology.    The subframe is used to describe the resource allocation of DL common signals/channels and their association with the detected synchronization signals in a given numerology.   </w:t>
      </w:r>
      <w:r w:rsidR="00FF1993">
        <w:t xml:space="preserve"> T</w:t>
      </w:r>
      <w:r w:rsidR="00010359">
        <w:t>he allocation of dedicated channels and the scheduling unit “slot” and “mini-slot” are also use the subframe as the reference</w:t>
      </w:r>
      <w:r w:rsidR="00DD7B0E">
        <w:t xml:space="preserve"> time.   Thus,</w:t>
      </w:r>
      <w:r w:rsidR="00534EB8">
        <w:t xml:space="preserve"> the</w:t>
      </w:r>
      <w:r w:rsidR="00DD7B0E">
        <w:t xml:space="preserve"> subframe</w:t>
      </w:r>
      <w:r w:rsidR="00534EB8">
        <w:t xml:space="preserve"> along with the system frame number (SFN) is a</w:t>
      </w:r>
      <w:r w:rsidR="00DD7B0E">
        <w:t xml:space="preserve"> cell-specific configuration</w:t>
      </w:r>
      <w:r w:rsidR="00534EB8">
        <w:t xml:space="preserve"> and used </w:t>
      </w:r>
      <w:r w:rsidR="00DD7B0E">
        <w:t>as the reference of DL common channel resource allocation.</w:t>
      </w:r>
    </w:p>
    <w:p w:rsidR="00DD7B0E" w:rsidRDefault="00DD7B0E" w:rsidP="00043CEE"/>
    <w:p w:rsidR="00DD7B0E" w:rsidRPr="00DD7B0E" w:rsidRDefault="00DD7B0E" w:rsidP="00043CEE">
      <w:pPr>
        <w:rPr>
          <w:b/>
        </w:rPr>
      </w:pPr>
      <w:r>
        <w:rPr>
          <w:b/>
        </w:rPr>
        <w:t>Propo</w:t>
      </w:r>
      <w:r w:rsidR="00534EB8">
        <w:rPr>
          <w:b/>
        </w:rPr>
        <w:t>sal 2: The s</w:t>
      </w:r>
      <w:r>
        <w:rPr>
          <w:b/>
        </w:rPr>
        <w:t>ubframe</w:t>
      </w:r>
      <w:r w:rsidR="00534EB8">
        <w:rPr>
          <w:b/>
        </w:rPr>
        <w:t xml:space="preserve"> along with the system frame number (SFN)</w:t>
      </w:r>
      <w:r>
        <w:rPr>
          <w:b/>
        </w:rPr>
        <w:t xml:space="preserve"> is a </w:t>
      </w:r>
      <w:r w:rsidR="00534EB8">
        <w:rPr>
          <w:b/>
        </w:rPr>
        <w:t>cell-specific configuration and used</w:t>
      </w:r>
      <w:r>
        <w:rPr>
          <w:b/>
        </w:rPr>
        <w:t xml:space="preserve"> as the reference of DL common channel resource allocation.</w:t>
      </w:r>
    </w:p>
    <w:p w:rsidR="00FF1993" w:rsidRDefault="00010359" w:rsidP="00043CEE">
      <w:r>
        <w:t xml:space="preserve"> </w:t>
      </w:r>
    </w:p>
    <w:p w:rsidR="00800250" w:rsidRDefault="00534EB8" w:rsidP="00043CEE">
      <w:r>
        <w:t xml:space="preserve">The “slot” in the NR is one possible scheduling </w:t>
      </w:r>
      <w:r w:rsidR="0007432D">
        <w:t xml:space="preserve">unit. </w:t>
      </w:r>
      <w:r w:rsidR="00800250">
        <w:t xml:space="preserve">  In the design </w:t>
      </w:r>
      <w:r w:rsidR="001A00FA">
        <w:t>of self-contained structure, a</w:t>
      </w:r>
      <w:r w:rsidR="00800250">
        <w:t xml:space="preserve"> slot could contain DL transmission part, gap period and UL transmission part. </w:t>
      </w:r>
      <w:r w:rsidR="0007432D">
        <w:t xml:space="preserve"> </w:t>
      </w:r>
      <w:r w:rsidR="00800250">
        <w:t xml:space="preserve"> UE monitors the DL control channel on the DL transmission part of</w:t>
      </w:r>
      <w:r w:rsidR="001A00FA">
        <w:t xml:space="preserve"> the</w:t>
      </w:r>
      <w:r w:rsidR="00800250">
        <w:t xml:space="preserve"> slot for potential DL or UL grant.   The slot is configured based on the referen</w:t>
      </w:r>
      <w:r w:rsidR="001A00FA">
        <w:t>ce timing of the subframe</w:t>
      </w:r>
      <w:r w:rsidR="00800250">
        <w:t xml:space="preserve">, where is the reference of the DL common channels configurations. </w:t>
      </w:r>
      <w:r w:rsidR="00DF5DC0">
        <w:t xml:space="preserve"> If the slot is UE-specific</w:t>
      </w:r>
      <w:r w:rsidR="001A00FA">
        <w:t>ally</w:t>
      </w:r>
      <w:r w:rsidR="00DF5DC0">
        <w:t xml:space="preserve"> configured, the radio resource could be allocated dynamically </w:t>
      </w:r>
      <w:r w:rsidR="001A00FA">
        <w:t xml:space="preserve">with minimization of system GP overhead </w:t>
      </w:r>
      <w:r w:rsidR="00DF5DC0">
        <w:t xml:space="preserve">as shown in Figure 1.  </w:t>
      </w:r>
    </w:p>
    <w:p w:rsidR="007A47FD" w:rsidRDefault="0007432D" w:rsidP="00043CEE">
      <w:r>
        <w:t xml:space="preserve">The slot could </w:t>
      </w:r>
      <w:r w:rsidR="001A00FA">
        <w:t xml:space="preserve">also </w:t>
      </w:r>
      <w:r>
        <w:t>be design</w:t>
      </w:r>
      <w:r w:rsidR="001A00FA">
        <w:t>ed</w:t>
      </w:r>
      <w:r>
        <w:t xml:space="preserve"> with flexible </w:t>
      </w:r>
      <w:r w:rsidR="007A47FD">
        <w:t>configuration for different deployment sc</w:t>
      </w:r>
      <w:r w:rsidR="00800250">
        <w:t>enarios and application</w:t>
      </w:r>
      <w:r w:rsidR="007F0900">
        <w:t xml:space="preserve"> types.  The configuration of the </w:t>
      </w:r>
      <w:r w:rsidR="00800250">
        <w:t>slot</w:t>
      </w:r>
      <w:r w:rsidR="007F0900">
        <w:t xml:space="preserve"> length</w:t>
      </w:r>
      <w:r w:rsidR="007A47FD">
        <w:t xml:space="preserve"> for delay sensitive app</w:t>
      </w:r>
      <w:r w:rsidR="001A00FA">
        <w:t>lications, such as URLLC, could</w:t>
      </w:r>
      <w:r w:rsidR="007A47FD">
        <w:t xml:space="preserve"> be short to meet the latency </w:t>
      </w:r>
      <w:r w:rsidR="00800250">
        <w:t>requirement.  The</w:t>
      </w:r>
      <w:r w:rsidR="007F0900">
        <w:t xml:space="preserve"> length of a</w:t>
      </w:r>
      <w:r w:rsidR="00800250">
        <w:t xml:space="preserve"> slot could be configured to be long </w:t>
      </w:r>
      <w:r w:rsidR="007A47FD">
        <w:t>for coverage extension and low power type MT</w:t>
      </w:r>
      <w:r w:rsidR="00800250">
        <w:t>C application.   Thus, the slot length could be</w:t>
      </w:r>
      <w:r w:rsidR="007A47FD">
        <w:t xml:space="preserve"> application specific</w:t>
      </w:r>
      <w:r w:rsidR="00800250">
        <w:t>.  The configuration of the slot should be</w:t>
      </w:r>
      <w:r w:rsidR="007A47FD">
        <w:t xml:space="preserve"> UE-specific </w:t>
      </w:r>
      <w:r w:rsidR="00800250">
        <w:t xml:space="preserve">and </w:t>
      </w:r>
      <w:r w:rsidR="007A47FD">
        <w:t xml:space="preserve">dynamically configured by the network.   </w:t>
      </w:r>
    </w:p>
    <w:p w:rsidR="007A47FD" w:rsidRPr="007A47FD" w:rsidRDefault="00534EB8" w:rsidP="00043CEE">
      <w:pPr>
        <w:rPr>
          <w:b/>
          <w:bCs/>
        </w:rPr>
      </w:pPr>
      <w:r>
        <w:rPr>
          <w:rStyle w:val="afe"/>
        </w:rPr>
        <w:t>Proposal 3</w:t>
      </w:r>
      <w:r w:rsidR="007A47FD">
        <w:rPr>
          <w:rStyle w:val="afe"/>
        </w:rPr>
        <w:t xml:space="preserve">: </w:t>
      </w:r>
      <w:r w:rsidR="001A00FA">
        <w:rPr>
          <w:rStyle w:val="afe"/>
        </w:rPr>
        <w:t xml:space="preserve"> Slot is the unit for UE to monitor the DL control channel for potential DL and UL grant. </w:t>
      </w:r>
      <w:r w:rsidR="007A47FD">
        <w:rPr>
          <w:rStyle w:val="afe"/>
        </w:rPr>
        <w:t xml:space="preserve"> </w:t>
      </w:r>
      <w:r w:rsidR="001A00FA">
        <w:rPr>
          <w:rStyle w:val="afe"/>
        </w:rPr>
        <w:t>NR should support more than one length of a slot.  The length of a</w:t>
      </w:r>
      <w:r w:rsidR="007A47FD">
        <w:rPr>
          <w:rStyle w:val="afe"/>
        </w:rPr>
        <w:t xml:space="preserve"> </w:t>
      </w:r>
      <w:r w:rsidR="001A00FA">
        <w:rPr>
          <w:rStyle w:val="afe"/>
        </w:rPr>
        <w:t>slot</w:t>
      </w:r>
      <w:r w:rsidR="00800250">
        <w:rPr>
          <w:rStyle w:val="afe"/>
        </w:rPr>
        <w:t xml:space="preserve"> is application</w:t>
      </w:r>
      <w:r w:rsidR="001A00FA">
        <w:rPr>
          <w:rStyle w:val="afe"/>
        </w:rPr>
        <w:t>-</w:t>
      </w:r>
      <w:r w:rsidR="00800250">
        <w:rPr>
          <w:rStyle w:val="afe"/>
        </w:rPr>
        <w:t>specific.  The configuration of the slot should be</w:t>
      </w:r>
      <w:r w:rsidR="00800250" w:rsidRPr="00800250">
        <w:rPr>
          <w:rStyle w:val="afe"/>
        </w:rPr>
        <w:t xml:space="preserve"> UE-specific </w:t>
      </w:r>
      <w:r w:rsidR="00800250">
        <w:rPr>
          <w:rStyle w:val="afe"/>
        </w:rPr>
        <w:t xml:space="preserve">and </w:t>
      </w:r>
      <w:r w:rsidR="00800250" w:rsidRPr="00800250">
        <w:rPr>
          <w:rStyle w:val="afe"/>
        </w:rPr>
        <w:t xml:space="preserve">dynamically configured by the network.   </w:t>
      </w:r>
    </w:p>
    <w:p w:rsidR="003F3F69" w:rsidRPr="00ED515C" w:rsidRDefault="00B542E4" w:rsidP="00B542E4">
      <w:pPr>
        <w:jc w:val="center"/>
        <w:rPr>
          <w:lang w:val="en-US"/>
        </w:rPr>
      </w:pPr>
      <w:r w:rsidRPr="00B542E4">
        <w:rPr>
          <w:noProof/>
          <w:lang w:val="en-US" w:eastAsia="zh-CN"/>
        </w:rPr>
        <w:drawing>
          <wp:inline distT="0" distB="0" distL="0" distR="0">
            <wp:extent cx="5486400" cy="2270760"/>
            <wp:effectExtent l="1905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003F8E" w:rsidRDefault="00003F8E" w:rsidP="00003F8E">
      <w:pPr>
        <w:keepNext/>
        <w:jc w:val="center"/>
      </w:pPr>
    </w:p>
    <w:p w:rsidR="00003F8E" w:rsidRDefault="00003F8E" w:rsidP="00003F8E">
      <w:pPr>
        <w:pStyle w:val="af9"/>
        <w:jc w:val="center"/>
      </w:pPr>
      <w:bookmarkStart w:id="0" w:name="_Ref450708901"/>
      <w:r>
        <w:t xml:space="preserve">Figure </w:t>
      </w:r>
      <w:fldSimple w:instr=" SEQ Figure \* ARABIC ">
        <w:r>
          <w:rPr>
            <w:noProof/>
          </w:rPr>
          <w:t>1</w:t>
        </w:r>
      </w:fldSimple>
      <w:bookmarkEnd w:id="0"/>
      <w:r>
        <w:rPr>
          <w:rFonts w:asciiTheme="minorEastAsia" w:eastAsiaTheme="minorEastAsia" w:hAnsiTheme="minorEastAsia" w:hint="eastAsia"/>
          <w:noProof/>
          <w:lang w:eastAsia="zh-CN"/>
        </w:rPr>
        <w:t>:</w:t>
      </w:r>
      <w:r w:rsidR="00B542E4">
        <w:rPr>
          <w:rFonts w:eastAsiaTheme="minorEastAsia"/>
          <w:noProof/>
          <w:lang w:eastAsia="zh-CN"/>
        </w:rPr>
        <w:t xml:space="preserve">UE-specific slot in relation to </w:t>
      </w:r>
      <w:r w:rsidR="007F0900">
        <w:rPr>
          <w:rFonts w:eastAsiaTheme="minorEastAsia"/>
          <w:noProof/>
          <w:lang w:eastAsia="zh-CN"/>
        </w:rPr>
        <w:t xml:space="preserve">the reference of the </w:t>
      </w:r>
      <w:r w:rsidR="00B542E4">
        <w:rPr>
          <w:rFonts w:eastAsiaTheme="minorEastAsia"/>
          <w:noProof/>
          <w:lang w:eastAsia="zh-CN"/>
        </w:rPr>
        <w:t>cell-specific</w:t>
      </w:r>
      <w:r w:rsidR="008610C1">
        <w:rPr>
          <w:rFonts w:eastAsiaTheme="minorEastAsia"/>
          <w:noProof/>
          <w:lang w:eastAsia="zh-CN"/>
        </w:rPr>
        <w:t xml:space="preserve"> subframe</w:t>
      </w:r>
      <w:r w:rsidR="007F0900">
        <w:rPr>
          <w:rFonts w:eastAsiaTheme="minorEastAsia"/>
          <w:noProof/>
          <w:lang w:eastAsia="zh-CN"/>
        </w:rPr>
        <w:t xml:space="preserve"> timing</w:t>
      </w:r>
      <w:r w:rsidR="00B542E4">
        <w:rPr>
          <w:rFonts w:eastAsiaTheme="minorEastAsia"/>
          <w:noProof/>
          <w:lang w:eastAsia="zh-CN"/>
        </w:rPr>
        <w:t xml:space="preserve"> in </w:t>
      </w:r>
      <w:r w:rsidRPr="00003F8E">
        <w:rPr>
          <w:rFonts w:eastAsiaTheme="minorEastAsia"/>
          <w:noProof/>
          <w:lang w:eastAsia="zh-CN"/>
        </w:rPr>
        <w:t>NR frame structure</w:t>
      </w:r>
    </w:p>
    <w:p w:rsidR="008D371D" w:rsidRDefault="008D371D" w:rsidP="008D371D">
      <w:pPr>
        <w:rPr>
          <w:rStyle w:val="afe"/>
          <w:b w:val="0"/>
        </w:rPr>
      </w:pPr>
    </w:p>
    <w:p w:rsidR="00534EB8" w:rsidRPr="00043CEE" w:rsidRDefault="00DF5DC0" w:rsidP="00534EB8">
      <w:r>
        <w:lastRenderedPageBreak/>
        <w:t>The “mini-slot”</w:t>
      </w:r>
      <w:r w:rsidR="00534EB8">
        <w:t xml:space="preserve"> is defined as the smallest unit in time for scheduling.  </w:t>
      </w:r>
      <w:r w:rsidR="00904B82">
        <w:t>A slot could c</w:t>
      </w:r>
      <w:r w:rsidR="00D64393">
        <w:t>ontain</w:t>
      </w:r>
      <w:r w:rsidR="00904B82">
        <w:t xml:space="preserve"> DL transmission part, gap</w:t>
      </w:r>
      <w:r w:rsidR="00D64393">
        <w:t xml:space="preserve"> period, and UL transmission part in time.   The number of symbols of DL transmission part, gap period and UL transmission part could be dynamically allocated based on dynamic TDD DL/UL configuration of each slot.  If slot is used as the unit for the resource allocation, the available resource in time for scheduler to allocate for DL or UL might be different at each slot.   The scheduler might not be able to schedule a DL or UL retransmission at the next slot due to insufficient DL or UL radio resource at the next slot in dynamic TDD configuration.    Instead of slot</w:t>
      </w:r>
      <w:r w:rsidR="00FF08A6">
        <w:t xml:space="preserve"> as the reference unit for the resource allocation, the</w:t>
      </w:r>
      <w:r w:rsidR="00904B82">
        <w:t xml:space="preserve"> mini-slot could be used as the basic scheduling unit within the slot.  </w:t>
      </w:r>
      <w:r w:rsidR="00FF08A6">
        <w:t xml:space="preserve">The scheduler could partition the radio resource in both frequency and time domain when the unit of resource allocation is the mini-slot.  </w:t>
      </w:r>
      <w:r w:rsidR="00534EB8">
        <w:t>The basic unit</w:t>
      </w:r>
      <w:r w:rsidR="00FF08A6">
        <w:t xml:space="preserve"> of mini-slot</w:t>
      </w:r>
      <w:r w:rsidR="00534EB8">
        <w:t xml:space="preserve"> should be small enou</w:t>
      </w:r>
      <w:r w:rsidR="00FF08A6">
        <w:t xml:space="preserve">gh in order to satisfy the </w:t>
      </w:r>
      <w:r w:rsidR="00534EB8">
        <w:t>latency requirements</w:t>
      </w:r>
      <w:r w:rsidR="00FF08A6">
        <w:t xml:space="preserve"> of some services and the dynamic TDD DL/GP/UL configuration within a slot</w:t>
      </w:r>
      <w:r w:rsidR="00534EB8">
        <w:t xml:space="preserve">.   </w:t>
      </w:r>
      <w:r w:rsidR="00FF08A6">
        <w:t xml:space="preserve">When a transport block requires large number of radio resource, the scheduler could allocate the radio resource of one or more mini-slots within the slot or cross slots as shown in Figure 2.  This would provide the scheduler the flexibility of resource allocation and the potential reduction of DL control channel overhead.   </w:t>
      </w:r>
      <w:r w:rsidR="00534EB8">
        <w:t xml:space="preserve">We propose to define the </w:t>
      </w:r>
      <w:r w:rsidR="00FF08A6">
        <w:t>“mini-slot</w:t>
      </w:r>
      <w:r w:rsidR="00534EB8">
        <w:t>” is as</w:t>
      </w:r>
      <w:r w:rsidR="00FF08A6">
        <w:t xml:space="preserve"> the reference unit for the resource allocation</w:t>
      </w:r>
      <w:r w:rsidR="00534EB8">
        <w:t xml:space="preserve">.  </w:t>
      </w:r>
      <w:r w:rsidR="00534EB8" w:rsidRPr="00043CEE">
        <w:t xml:space="preserve"> </w:t>
      </w:r>
      <w:r w:rsidR="00FF08A6">
        <w:t>The properties of the mini-slot</w:t>
      </w:r>
      <w:r w:rsidR="00534EB8">
        <w:t xml:space="preserve"> are as follows,</w:t>
      </w:r>
      <w:r w:rsidR="00534EB8" w:rsidRPr="00043CEE">
        <w:t xml:space="preserve">  </w:t>
      </w:r>
    </w:p>
    <w:p w:rsidR="00534EB8" w:rsidRPr="00043CEE" w:rsidRDefault="00534EB8" w:rsidP="00534EB8">
      <w:pPr>
        <w:pStyle w:val="afa"/>
        <w:numPr>
          <w:ilvl w:val="0"/>
          <w:numId w:val="18"/>
        </w:numPr>
        <w:rPr>
          <w:sz w:val="20"/>
          <w:szCs w:val="20"/>
        </w:rPr>
      </w:pPr>
      <w:r>
        <w:rPr>
          <w:sz w:val="20"/>
          <w:szCs w:val="20"/>
        </w:rPr>
        <w:t>The mini-slot</w:t>
      </w:r>
      <w:r w:rsidRPr="00043CEE">
        <w:rPr>
          <w:sz w:val="20"/>
          <w:szCs w:val="20"/>
        </w:rPr>
        <w:t xml:space="preserve"> is the basic unit in time domain for the resource allocation and transmission.  </w:t>
      </w:r>
    </w:p>
    <w:p w:rsidR="00534EB8" w:rsidRPr="00043CEE" w:rsidRDefault="00534EB8" w:rsidP="00534EB8">
      <w:pPr>
        <w:pStyle w:val="afa"/>
        <w:numPr>
          <w:ilvl w:val="0"/>
          <w:numId w:val="18"/>
        </w:numPr>
        <w:rPr>
          <w:sz w:val="20"/>
          <w:szCs w:val="20"/>
        </w:rPr>
      </w:pPr>
      <w:r w:rsidRPr="00043CEE">
        <w:rPr>
          <w:sz w:val="20"/>
          <w:szCs w:val="20"/>
        </w:rPr>
        <w:t>The mini-</w:t>
      </w:r>
      <w:r w:rsidR="00FF08A6">
        <w:rPr>
          <w:sz w:val="20"/>
          <w:szCs w:val="20"/>
        </w:rPr>
        <w:t xml:space="preserve">slot </w:t>
      </w:r>
      <w:r w:rsidRPr="00043CEE">
        <w:rPr>
          <w:sz w:val="20"/>
          <w:szCs w:val="20"/>
        </w:rPr>
        <w:t xml:space="preserve">is the resource grid for the mapping of the physical channel in the time domain.  </w:t>
      </w:r>
    </w:p>
    <w:p w:rsidR="00534EB8" w:rsidRDefault="00534EB8" w:rsidP="00534EB8">
      <w:pPr>
        <w:pStyle w:val="afa"/>
        <w:numPr>
          <w:ilvl w:val="0"/>
          <w:numId w:val="18"/>
        </w:numPr>
        <w:rPr>
          <w:sz w:val="20"/>
          <w:szCs w:val="20"/>
        </w:rPr>
      </w:pPr>
      <w:r w:rsidRPr="00043CEE">
        <w:rPr>
          <w:sz w:val="20"/>
          <w:szCs w:val="20"/>
        </w:rPr>
        <w:t>The transport channel maps to one or multiple mini-</w:t>
      </w:r>
      <w:r w:rsidR="00FF08A6">
        <w:rPr>
          <w:sz w:val="20"/>
          <w:szCs w:val="20"/>
        </w:rPr>
        <w:t>slot</w:t>
      </w:r>
      <w:r w:rsidRPr="00043CEE">
        <w:rPr>
          <w:sz w:val="20"/>
          <w:szCs w:val="20"/>
        </w:rPr>
        <w:t xml:space="preserve"> resource grids in time, which is defined as the transmission time interval (TTI).  </w:t>
      </w:r>
    </w:p>
    <w:p w:rsidR="00534EB8" w:rsidRPr="00043CEE" w:rsidRDefault="00534EB8" w:rsidP="00534EB8">
      <w:pPr>
        <w:pStyle w:val="afa"/>
        <w:rPr>
          <w:sz w:val="20"/>
          <w:szCs w:val="20"/>
        </w:rPr>
      </w:pPr>
    </w:p>
    <w:p w:rsidR="00534EB8" w:rsidRPr="003E64A4" w:rsidRDefault="00534EB8" w:rsidP="00534EB8">
      <w:r>
        <w:t>The length of mini-slot</w:t>
      </w:r>
      <w:r w:rsidRPr="003E64A4">
        <w:t xml:space="preserve"> should be specified based on the following considerations,</w:t>
      </w:r>
    </w:p>
    <w:p w:rsidR="00534EB8" w:rsidRPr="00043CEE" w:rsidRDefault="00FF08A6" w:rsidP="00534EB8">
      <w:pPr>
        <w:pStyle w:val="afa"/>
        <w:numPr>
          <w:ilvl w:val="0"/>
          <w:numId w:val="18"/>
        </w:numPr>
        <w:rPr>
          <w:sz w:val="20"/>
          <w:szCs w:val="20"/>
        </w:rPr>
      </w:pPr>
      <w:r>
        <w:rPr>
          <w:sz w:val="20"/>
          <w:szCs w:val="20"/>
        </w:rPr>
        <w:t>The length of mini-slot</w:t>
      </w:r>
      <w:r w:rsidR="00534EB8">
        <w:rPr>
          <w:sz w:val="20"/>
          <w:szCs w:val="20"/>
        </w:rPr>
        <w:t xml:space="preserve"> </w:t>
      </w:r>
      <w:r w:rsidR="00534EB8" w:rsidRPr="00043CEE">
        <w:rPr>
          <w:sz w:val="20"/>
          <w:szCs w:val="20"/>
        </w:rPr>
        <w:t>should be integer multiple of OFDM symbol with smallest subcarrier spacing and much shorter than 0.5 ms in</w:t>
      </w:r>
      <w:r w:rsidR="00534EB8">
        <w:rPr>
          <w:sz w:val="20"/>
          <w:szCs w:val="20"/>
        </w:rPr>
        <w:t xml:space="preserve"> length in order to meet the 1</w:t>
      </w:r>
      <w:r w:rsidR="00534EB8" w:rsidRPr="00043CEE">
        <w:rPr>
          <w:sz w:val="20"/>
          <w:szCs w:val="20"/>
        </w:rPr>
        <w:t xml:space="preserve"> ms end-to-end latency </w:t>
      </w:r>
      <w:r w:rsidR="00534EB8">
        <w:rPr>
          <w:sz w:val="20"/>
          <w:szCs w:val="20"/>
        </w:rPr>
        <w:t xml:space="preserve">service </w:t>
      </w:r>
      <w:r w:rsidR="00534EB8" w:rsidRPr="00043CEE">
        <w:rPr>
          <w:sz w:val="20"/>
          <w:szCs w:val="20"/>
        </w:rPr>
        <w:t>requirements of URLLC.</w:t>
      </w:r>
    </w:p>
    <w:p w:rsidR="00534EB8" w:rsidRPr="00043CEE" w:rsidRDefault="00FF08A6" w:rsidP="00534EB8">
      <w:pPr>
        <w:pStyle w:val="afa"/>
        <w:numPr>
          <w:ilvl w:val="0"/>
          <w:numId w:val="18"/>
        </w:numPr>
        <w:rPr>
          <w:sz w:val="20"/>
          <w:szCs w:val="20"/>
        </w:rPr>
      </w:pPr>
      <w:r>
        <w:rPr>
          <w:sz w:val="20"/>
          <w:szCs w:val="20"/>
        </w:rPr>
        <w:t>The mini-slot</w:t>
      </w:r>
      <w:r w:rsidR="00534EB8" w:rsidRPr="00043CEE">
        <w:rPr>
          <w:sz w:val="20"/>
          <w:szCs w:val="20"/>
        </w:rPr>
        <w:t xml:space="preserve"> length should be sub-multiple of 10 ms for the use of system frame counter (SFN).</w:t>
      </w:r>
    </w:p>
    <w:p w:rsidR="00534EB8" w:rsidRPr="00043CEE" w:rsidRDefault="00FF08A6" w:rsidP="00534EB8">
      <w:pPr>
        <w:pStyle w:val="afa"/>
        <w:numPr>
          <w:ilvl w:val="0"/>
          <w:numId w:val="18"/>
        </w:numPr>
        <w:rPr>
          <w:sz w:val="20"/>
          <w:szCs w:val="20"/>
        </w:rPr>
      </w:pPr>
      <w:r>
        <w:rPr>
          <w:sz w:val="20"/>
          <w:szCs w:val="20"/>
        </w:rPr>
        <w:t>The length of mini-slot</w:t>
      </w:r>
      <w:r w:rsidR="00534EB8" w:rsidRPr="00043CEE">
        <w:rPr>
          <w:sz w:val="20"/>
          <w:szCs w:val="20"/>
        </w:rPr>
        <w:t xml:space="preserve"> should be sub-multiple of 1 </w:t>
      </w:r>
      <w:proofErr w:type="gramStart"/>
      <w:r w:rsidR="00534EB8" w:rsidRPr="00043CEE">
        <w:rPr>
          <w:sz w:val="20"/>
          <w:szCs w:val="20"/>
        </w:rPr>
        <w:t>ms</w:t>
      </w:r>
      <w:proofErr w:type="gramEnd"/>
      <w:r w:rsidR="00534EB8" w:rsidRPr="00043CEE">
        <w:rPr>
          <w:sz w:val="20"/>
          <w:szCs w:val="20"/>
        </w:rPr>
        <w:t xml:space="preserve"> for adjacent channel interference management with LTE.   </w:t>
      </w:r>
    </w:p>
    <w:p w:rsidR="00534EB8" w:rsidRDefault="00534EB8" w:rsidP="00534EB8">
      <w:pPr>
        <w:pStyle w:val="afa"/>
        <w:numPr>
          <w:ilvl w:val="0"/>
          <w:numId w:val="18"/>
        </w:numPr>
        <w:rPr>
          <w:sz w:val="20"/>
          <w:szCs w:val="20"/>
        </w:rPr>
      </w:pPr>
      <w:r>
        <w:rPr>
          <w:sz w:val="20"/>
          <w:szCs w:val="20"/>
        </w:rPr>
        <w:t>The length of mi</w:t>
      </w:r>
      <w:r w:rsidR="00FF08A6">
        <w:rPr>
          <w:sz w:val="20"/>
          <w:szCs w:val="20"/>
        </w:rPr>
        <w:t>ni-slot</w:t>
      </w:r>
      <w:r>
        <w:rPr>
          <w:sz w:val="20"/>
          <w:szCs w:val="20"/>
        </w:rPr>
        <w:t xml:space="preserve"> should support the scalability in the time inte</w:t>
      </w:r>
      <w:r w:rsidR="00FF08A6">
        <w:rPr>
          <w:sz w:val="20"/>
          <w:szCs w:val="20"/>
        </w:rPr>
        <w:t>rval.  The number of mini-slot</w:t>
      </w:r>
      <w:r>
        <w:rPr>
          <w:sz w:val="20"/>
          <w:szCs w:val="20"/>
        </w:rPr>
        <w:t xml:space="preserve"> should be able to scale with power of 2 for a TTI.  </w:t>
      </w:r>
    </w:p>
    <w:p w:rsidR="00783079" w:rsidRDefault="00783079" w:rsidP="00534EB8">
      <w:pPr>
        <w:rPr>
          <w:rStyle w:val="afe"/>
          <w:b w:val="0"/>
        </w:rPr>
      </w:pPr>
    </w:p>
    <w:p w:rsidR="00534EB8" w:rsidRPr="008D371D" w:rsidRDefault="00783079" w:rsidP="00534EB8">
      <w:r>
        <w:t xml:space="preserve">It is clear from aforementioned that the mini-slot should be defined as one OFDM symbol.   To minimize the control overhead, variable TTI with multiple mini-slot resource allocation should be supported.  </w:t>
      </w:r>
    </w:p>
    <w:p w:rsidR="00534EB8" w:rsidRDefault="00534EB8" w:rsidP="00534EB8">
      <w:pPr>
        <w:rPr>
          <w:rStyle w:val="afe"/>
        </w:rPr>
      </w:pPr>
      <w:r>
        <w:rPr>
          <w:rStyle w:val="afe"/>
        </w:rPr>
        <w:t xml:space="preserve">Proposal 4: </w:t>
      </w:r>
      <w:r w:rsidR="001A00FA">
        <w:rPr>
          <w:rStyle w:val="afe"/>
        </w:rPr>
        <w:t xml:space="preserve"> The length of mini-slot is proposed to be 1 OFDM symbol.  </w:t>
      </w:r>
      <w:r>
        <w:rPr>
          <w:rStyle w:val="afe"/>
        </w:rPr>
        <w:t xml:space="preserve"> </w:t>
      </w:r>
      <w:r w:rsidR="00783079">
        <w:rPr>
          <w:rStyle w:val="afe"/>
        </w:rPr>
        <w:t>Mini-slot is used as the unit of resource allocation for bo</w:t>
      </w:r>
      <w:r w:rsidR="00321638">
        <w:rPr>
          <w:rStyle w:val="afe"/>
        </w:rPr>
        <w:t xml:space="preserve">th DL and UL. </w:t>
      </w:r>
      <w:r w:rsidR="00783079" w:rsidRPr="00783079">
        <w:rPr>
          <w:rStyle w:val="afe"/>
        </w:rPr>
        <w:t xml:space="preserve">  To minimize the control overhead, variable TTI with multiple mini-slot resource allocation should be supported.  </w:t>
      </w:r>
    </w:p>
    <w:p w:rsidR="00534EB8" w:rsidRDefault="00534EB8" w:rsidP="008D371D"/>
    <w:p w:rsidR="00534EB8" w:rsidRDefault="0007432D" w:rsidP="00534EB8">
      <w:pPr>
        <w:jc w:val="center"/>
      </w:pPr>
      <w:r w:rsidRPr="0007432D">
        <w:rPr>
          <w:noProof/>
          <w:lang w:val="en-US" w:eastAsia="zh-CN"/>
        </w:rPr>
        <w:drawing>
          <wp:inline distT="0" distB="0" distL="0" distR="0">
            <wp:extent cx="5486400" cy="1638935"/>
            <wp:effectExtent l="0" t="0" r="0" b="0"/>
            <wp:docPr id="8"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701" cy="1871628"/>
                      <a:chOff x="683563" y="4005064"/>
                      <a:chExt cx="6264701" cy="1871628"/>
                    </a:xfrm>
                  </a:grpSpPr>
                  <a:grpSp>
                    <a:nvGrpSpPr>
                      <a:cNvPr id="128" name="组合 127"/>
                      <a:cNvGrpSpPr/>
                    </a:nvGrpSpPr>
                    <a:grpSpPr>
                      <a:xfrm>
                        <a:off x="683563" y="4005064"/>
                        <a:ext cx="6264701" cy="1871628"/>
                        <a:chOff x="683563" y="3356992"/>
                        <a:chExt cx="8064901" cy="2519700"/>
                      </a:xfrm>
                    </a:grpSpPr>
                    <a:sp>
                      <a:nvSpPr>
                        <a:cNvPr id="109" name="Rectangle 26"/>
                        <a:cNvSpPr>
                          <a:spLocks noChangeArrowheads="1"/>
                        </a:cNvSpPr>
                      </a:nvSpPr>
                      <a:spPr bwMode="auto">
                        <a:xfrm>
                          <a:off x="8330214"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104" name="Rectangle 26"/>
                        <a:cNvSpPr>
                          <a:spLocks noChangeArrowheads="1"/>
                        </a:cNvSpPr>
                      </a:nvSpPr>
                      <a:spPr bwMode="auto">
                        <a:xfrm>
                          <a:off x="6876256" y="3974184"/>
                          <a:ext cx="438207"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8" name="Rectangle 26"/>
                        <a:cNvSpPr>
                          <a:spLocks noChangeArrowheads="1"/>
                        </a:cNvSpPr>
                      </a:nvSpPr>
                      <a:spPr bwMode="auto">
                        <a:xfrm>
                          <a:off x="3433671"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3" name="Rectangle 26"/>
                        <a:cNvSpPr>
                          <a:spLocks noChangeArrowheads="1"/>
                        </a:cNvSpPr>
                      </a:nvSpPr>
                      <a:spPr bwMode="auto">
                        <a:xfrm>
                          <a:off x="2178920" y="3974184"/>
                          <a:ext cx="2390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6" name="矩形 5"/>
                        <a:cNvSpPr/>
                      </a:nvSpPr>
                      <a:spPr>
                        <a:xfrm>
                          <a:off x="92339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1952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24000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6049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34164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566402"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80978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924170"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83563"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15" name="直接连接符 14"/>
                        <a:cNvCxnSpPr/>
                      </a:nvCxnSpPr>
                      <a:spPr>
                        <a:xfrm>
                          <a:off x="906319"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16" name="矩形 15"/>
                        <a:cNvSpPr/>
                      </a:nvSpPr>
                      <a:spPr>
                        <a:xfrm>
                          <a:off x="1778850"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99889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133920"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01464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3612921"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40900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连接符 21"/>
                        <a:cNvCxnSpPr/>
                      </a:nvCxnSpPr>
                      <a:spPr>
                        <a:xfrm>
                          <a:off x="906319"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906319"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906319"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906319"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906319"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924170"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924170"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906319"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906319"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906319"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906319"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直接连接符 32"/>
                        <a:cNvCxnSpPr/>
                      </a:nvCxnSpPr>
                      <a:spPr>
                        <a:xfrm>
                          <a:off x="906319"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连接符 33"/>
                        <a:cNvCxnSpPr/>
                      </a:nvCxnSpPr>
                      <a:spPr>
                        <a:xfrm>
                          <a:off x="906319"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906319"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36" name="矩形 35"/>
                        <a:cNvSpPr/>
                      </a:nvSpPr>
                      <a:spPr>
                        <a:xfrm>
                          <a:off x="1521670" y="3974184"/>
                          <a:ext cx="460149" cy="411443"/>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924170"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156356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1521671" y="4385626"/>
                          <a:ext cx="239000" cy="720025"/>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760670" y="4385626"/>
                          <a:ext cx="239000" cy="118289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2417920" y="3974184"/>
                          <a:ext cx="776750" cy="308582"/>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1563568" y="5105651"/>
                          <a:ext cx="197101" cy="462873"/>
                        </a:xfrm>
                        <a:prstGeom prst="rect">
                          <a:avLst/>
                        </a:prstGeom>
                        <a:solidFill>
                          <a:srgbClr val="00B0F0">
                            <a:alpha val="20000"/>
                          </a:srgbClr>
                        </a:solid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563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563569" y="5105651"/>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417920"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02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417920" y="428276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417920" y="4282766"/>
                          <a:ext cx="776750" cy="128575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TextBox 48"/>
                        <a:cNvSpPr txBox="1"/>
                      </a:nvSpPr>
                      <a:spPr>
                        <a:xfrm>
                          <a:off x="1342420"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50" name="直接箭头连接符 49"/>
                        <a:cNvCxnSpPr/>
                      </a:nvCxnSpPr>
                      <a:spPr>
                        <a:xfrm>
                          <a:off x="92417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51" name="矩形 50"/>
                        <a:cNvSpPr/>
                      </a:nvSpPr>
                      <a:spPr>
                        <a:xfrm>
                          <a:off x="1103420"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114531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Freeform 102"/>
                        <a:cNvSpPr>
                          <a:spLocks/>
                        </a:cNvSpPr>
                      </a:nvSpPr>
                      <a:spPr bwMode="auto">
                        <a:xfrm rot="1015952">
                          <a:off x="1274475" y="3898885"/>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5" name="Freeform 102"/>
                        <a:cNvSpPr>
                          <a:spLocks/>
                        </a:cNvSpPr>
                      </a:nvSpPr>
                      <a:spPr bwMode="auto">
                        <a:xfrm rot="5996914">
                          <a:off x="1507440" y="4168218"/>
                          <a:ext cx="533433" cy="16133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6" name="Freeform 102"/>
                        <a:cNvSpPr>
                          <a:spLocks/>
                        </a:cNvSpPr>
                      </a:nvSpPr>
                      <a:spPr bwMode="auto">
                        <a:xfrm rot="15760076" flipV="1">
                          <a:off x="1658283" y="4463774"/>
                          <a:ext cx="709683" cy="615159"/>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7" name="矩形 56"/>
                        <a:cNvSpPr/>
                      </a:nvSpPr>
                      <a:spPr>
                        <a:xfrm>
                          <a:off x="320414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Freeform 102"/>
                        <a:cNvSpPr>
                          <a:spLocks/>
                        </a:cNvSpPr>
                      </a:nvSpPr>
                      <a:spPr bwMode="auto">
                        <a:xfrm rot="5996914">
                          <a:off x="1403033" y="4677609"/>
                          <a:ext cx="751475" cy="304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cxnSp>
                      <a:nvCxnSpPr>
                        <a:cNvPr id="60" name="直接箭头连接符 59"/>
                        <a:cNvCxnSpPr/>
                      </a:nvCxnSpPr>
                      <a:spPr>
                        <a:xfrm>
                          <a:off x="241792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61" name="TextBox 60"/>
                        <a:cNvSpPr txBox="1"/>
                      </a:nvSpPr>
                      <a:spPr>
                        <a:xfrm>
                          <a:off x="2716671"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sp>
                      <a:nvSpPr>
                        <a:cNvPr id="63" name="矩形 62"/>
                        <a:cNvSpPr/>
                      </a:nvSpPr>
                      <a:spPr>
                        <a:xfrm>
                          <a:off x="581993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09175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72966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5014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23818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6462945"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7063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5820713"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TextBox 70"/>
                        <a:cNvSpPr txBox="1"/>
                      </a:nvSpPr>
                      <a:spPr>
                        <a:xfrm>
                          <a:off x="5580106"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72" name="直接连接符 71"/>
                        <a:cNvCxnSpPr/>
                      </a:nvCxnSpPr>
                      <a:spPr>
                        <a:xfrm>
                          <a:off x="5802862"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73" name="矩形 72"/>
                        <a:cNvSpPr/>
                      </a:nvSpPr>
                      <a:spPr>
                        <a:xfrm>
                          <a:off x="6675393"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689543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6030463"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791118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850946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830554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直接连接符 78"/>
                        <a:cNvCxnSpPr/>
                      </a:nvCxnSpPr>
                      <a:spPr>
                        <a:xfrm>
                          <a:off x="5802862"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0" name="直接连接符 79"/>
                        <a:cNvCxnSpPr/>
                      </a:nvCxnSpPr>
                      <a:spPr>
                        <a:xfrm>
                          <a:off x="5802862"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81" name="直接连接符 80"/>
                        <a:cNvCxnSpPr/>
                      </a:nvCxnSpPr>
                      <a:spPr>
                        <a:xfrm>
                          <a:off x="5802862"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2" name="直接连接符 81"/>
                        <a:cNvCxnSpPr/>
                      </a:nvCxnSpPr>
                      <a:spPr>
                        <a:xfrm>
                          <a:off x="5802862"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3" name="直接连接符 82"/>
                        <a:cNvCxnSpPr/>
                      </a:nvCxnSpPr>
                      <a:spPr>
                        <a:xfrm>
                          <a:off x="5802862"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4" name="直接连接符 83"/>
                        <a:cNvCxnSpPr/>
                      </a:nvCxnSpPr>
                      <a:spPr>
                        <a:xfrm>
                          <a:off x="5820713"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5" name="直接连接符 84"/>
                        <a:cNvCxnSpPr/>
                      </a:nvCxnSpPr>
                      <a:spPr>
                        <a:xfrm>
                          <a:off x="5820713"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6" name="直接连接符 85"/>
                        <a:cNvCxnSpPr/>
                      </a:nvCxnSpPr>
                      <a:spPr>
                        <a:xfrm>
                          <a:off x="5802862"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a:off x="5802862"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a:off x="5802862"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9" name="直接连接符 88"/>
                        <a:cNvCxnSpPr/>
                      </a:nvCxnSpPr>
                      <a:spPr>
                        <a:xfrm>
                          <a:off x="5802862"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0" name="直接连接符 89"/>
                        <a:cNvCxnSpPr/>
                      </a:nvCxnSpPr>
                      <a:spPr>
                        <a:xfrm>
                          <a:off x="5802862"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1" name="直接连接符 90"/>
                        <a:cNvCxnSpPr/>
                      </a:nvCxnSpPr>
                      <a:spPr>
                        <a:xfrm>
                          <a:off x="5802862"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2" name="直接连接符 91"/>
                        <a:cNvCxnSpPr/>
                      </a:nvCxnSpPr>
                      <a:spPr>
                        <a:xfrm>
                          <a:off x="5802862"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93" name="矩形 92"/>
                        <a:cNvSpPr/>
                      </a:nvSpPr>
                      <a:spPr>
                        <a:xfrm>
                          <a:off x="5820713"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46011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444208" y="4005064"/>
                          <a:ext cx="216024" cy="158417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7314462" y="3974184"/>
                          <a:ext cx="785929" cy="750960"/>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314463"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308304" y="472514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308304" y="4725144"/>
                          <a:ext cx="792088" cy="86409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TextBox 99"/>
                        <a:cNvSpPr txBox="1"/>
                      </a:nvSpPr>
                      <a:spPr>
                        <a:xfrm>
                          <a:off x="6238963"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01" name="直接箭头连接符 100"/>
                        <a:cNvCxnSpPr/>
                      </a:nvCxnSpPr>
                      <a:spPr>
                        <a:xfrm>
                          <a:off x="582071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02" name="矩形 101"/>
                        <a:cNvSpPr/>
                      </a:nvSpPr>
                      <a:spPr>
                        <a:xfrm>
                          <a:off x="5999963"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604186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5" name="Freeform 102"/>
                        <a:cNvSpPr>
                          <a:spLocks/>
                        </a:cNvSpPr>
                      </a:nvSpPr>
                      <a:spPr bwMode="auto">
                        <a:xfrm rot="1029264">
                          <a:off x="6197593"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6" name="Freeform 102"/>
                        <a:cNvSpPr>
                          <a:spLocks/>
                        </a:cNvSpPr>
                      </a:nvSpPr>
                      <a:spPr bwMode="auto">
                        <a:xfrm rot="5996914">
                          <a:off x="2492759" y="4107621"/>
                          <a:ext cx="342057" cy="159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7" name="Freeform 102"/>
                        <a:cNvSpPr>
                          <a:spLocks/>
                        </a:cNvSpPr>
                      </a:nvSpPr>
                      <a:spPr bwMode="auto">
                        <a:xfrm rot="6476922">
                          <a:off x="7271462" y="4275157"/>
                          <a:ext cx="715118" cy="33005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8" name="矩形 107"/>
                        <a:cNvSpPr/>
                      </a:nvSpPr>
                      <a:spPr>
                        <a:xfrm>
                          <a:off x="810068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0" name="直接箭头连接符 109"/>
                        <a:cNvCxnSpPr/>
                      </a:nvCxnSpPr>
                      <a:spPr>
                        <a:xfrm>
                          <a:off x="731446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7613214"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12" name="直接连接符 111"/>
                        <a:cNvCxnSpPr/>
                      </a:nvCxnSpPr>
                      <a:spPr>
                        <a:xfrm>
                          <a:off x="4067944" y="4725144"/>
                          <a:ext cx="1440160" cy="0"/>
                        </a:xfrm>
                        <a:prstGeom prst="line">
                          <a:avLst/>
                        </a:prstGeom>
                        <a:ln w="31750">
                          <a:prstDash val="sysDash"/>
                        </a:ln>
                      </a:spPr>
                      <a:style>
                        <a:lnRef idx="1">
                          <a:schemeClr val="accent1"/>
                        </a:lnRef>
                        <a:fillRef idx="0">
                          <a:schemeClr val="accent1"/>
                        </a:fillRef>
                        <a:effectRef idx="0">
                          <a:schemeClr val="accent1"/>
                        </a:effectRef>
                        <a:fontRef idx="minor">
                          <a:schemeClr val="tx1"/>
                        </a:fontRef>
                      </a:style>
                    </a:cxnSp>
                    <a:cxnSp>
                      <a:nvCxnSpPr>
                        <a:cNvPr id="113" name="直接箭头连接符 112"/>
                        <a:cNvCxnSpPr/>
                      </a:nvCxnSpPr>
                      <a:spPr>
                        <a:xfrm>
                          <a:off x="899592" y="3645024"/>
                          <a:ext cx="4824536"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4" name="TextBox 113"/>
                        <a:cNvSpPr txBox="1"/>
                      </a:nvSpPr>
                      <a:spPr>
                        <a:xfrm>
                          <a:off x="2771800" y="3429000"/>
                          <a:ext cx="939681" cy="215444"/>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DL Time Interval</a:t>
                            </a:r>
                            <a:endParaRPr lang="en-US" sz="800" dirty="0"/>
                          </a:p>
                        </a:txBody>
                        <a:useSpRect/>
                      </a:txSp>
                    </a:sp>
                    <a:sp>
                      <a:nvSpPr>
                        <a:cNvPr id="115" name="矩形 114"/>
                        <a:cNvSpPr/>
                      </a:nvSpPr>
                      <a:spPr>
                        <a:xfrm>
                          <a:off x="899592"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矩形 115"/>
                        <a:cNvSpPr/>
                      </a:nvSpPr>
                      <a:spPr>
                        <a:xfrm>
                          <a:off x="5796136"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9" name="直接连接符 118"/>
                        <a:cNvCxnSpPr/>
                      </a:nvCxnSpPr>
                      <a:spPr>
                        <a:xfrm>
                          <a:off x="899592"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0" name="直接连接符 119"/>
                        <a:cNvCxnSpPr/>
                      </a:nvCxnSpPr>
                      <a:spPr>
                        <a:xfrm>
                          <a:off x="5724128"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2" name="直接箭头连接符 121"/>
                        <a:cNvCxnSpPr/>
                      </a:nvCxnSpPr>
                      <a:spPr>
                        <a:xfrm flipV="1">
                          <a:off x="1115616" y="3861048"/>
                          <a:ext cx="207640" cy="8384"/>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24" name="TextBox 123"/>
                        <a:cNvSpPr txBox="1"/>
                      </a:nvSpPr>
                      <a:spPr>
                        <a:xfrm>
                          <a:off x="827584" y="3717032"/>
                          <a:ext cx="720080" cy="123111"/>
                        </a:xfrm>
                        <a:prstGeom prst="rect">
                          <a:avLst/>
                        </a:prstGeom>
                        <a:solidFill>
                          <a:schemeClr val="bg1"/>
                        </a:solidFill>
                      </a:spPr>
                      <a:txSp>
                        <a:txBody>
                          <a:bodyPr wrap="squar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Mini-slot</a:t>
                            </a:r>
                            <a:endParaRPr lang="en-US" sz="800" dirty="0"/>
                          </a:p>
                        </a:txBody>
                        <a:useSpRect/>
                      </a:txSp>
                    </a:sp>
                    <a:cxnSp>
                      <a:nvCxnSpPr>
                        <a:cNvPr id="125" name="直接箭头连接符 124"/>
                        <a:cNvCxnSpPr/>
                      </a:nvCxnSpPr>
                      <a:spPr>
                        <a:xfrm flipV="1">
                          <a:off x="2411760" y="3861048"/>
                          <a:ext cx="792088" cy="8384"/>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2411760" y="3717032"/>
                          <a:ext cx="720080" cy="123111"/>
                        </a:xfrm>
                        <a:prstGeom prst="rect">
                          <a:avLst/>
                        </a:prstGeom>
                        <a:solidFill>
                          <a:schemeClr val="bg1"/>
                        </a:solidFill>
                      </a:spPr>
                      <a:txSp>
                        <a:txBody>
                          <a:bodyPr wrap="squar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Variable TTI</a:t>
                            </a:r>
                            <a:endParaRPr lang="en-US" sz="800" dirty="0"/>
                          </a:p>
                        </a:txBody>
                        <a:useSpRect/>
                      </a:txSp>
                    </a:sp>
                  </a:grpSp>
                </lc:lockedCanvas>
              </a:graphicData>
            </a:graphic>
          </wp:inline>
        </w:drawing>
      </w:r>
    </w:p>
    <w:p w:rsidR="00534EB8" w:rsidRDefault="00534EB8" w:rsidP="00534EB8">
      <w:pPr>
        <w:pStyle w:val="af9"/>
        <w:jc w:val="center"/>
      </w:pPr>
      <w:r>
        <w:t>Figure 2</w:t>
      </w:r>
      <w:r>
        <w:rPr>
          <w:rFonts w:asciiTheme="minorEastAsia" w:eastAsiaTheme="minorEastAsia" w:hAnsiTheme="minorEastAsia" w:hint="eastAsia"/>
          <w:noProof/>
          <w:lang w:eastAsia="zh-CN"/>
        </w:rPr>
        <w:t>:</w:t>
      </w:r>
      <w:r w:rsidR="0007432D">
        <w:rPr>
          <w:rFonts w:eastAsiaTheme="minorEastAsia"/>
          <w:noProof/>
          <w:lang w:eastAsia="zh-CN"/>
        </w:rPr>
        <w:t xml:space="preserve">Mini- slot as a basic scheduling unit within a slot </w:t>
      </w:r>
      <w:r>
        <w:rPr>
          <w:rFonts w:eastAsiaTheme="minorEastAsia"/>
          <w:noProof/>
          <w:lang w:eastAsia="zh-CN"/>
        </w:rPr>
        <w:t xml:space="preserve">in </w:t>
      </w:r>
      <w:r w:rsidRPr="00003F8E">
        <w:rPr>
          <w:rFonts w:eastAsiaTheme="minorEastAsia"/>
          <w:noProof/>
          <w:lang w:eastAsia="zh-CN"/>
        </w:rPr>
        <w:t>NR frame structure</w:t>
      </w:r>
    </w:p>
    <w:p w:rsidR="00D500FA" w:rsidRPr="00F949F2" w:rsidRDefault="00D500FA" w:rsidP="00D500FA">
      <w:pPr>
        <w:rPr>
          <w:rStyle w:val="afe"/>
          <w:b w:val="0"/>
          <w:u w:val="single"/>
        </w:rPr>
      </w:pPr>
    </w:p>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783079" w:rsidP="00D500FA">
      <w:r>
        <w:t>This paper discusses the time domain structure of NR</w:t>
      </w:r>
      <w:r w:rsidR="00D500FA">
        <w:t xml:space="preserve"> frame structure design.   We have the following p</w:t>
      </w:r>
      <w:r>
        <w:t>roposals of subframe, slot, and mini-slot specifications for the NR</w:t>
      </w:r>
      <w:r w:rsidR="00D500FA">
        <w:t xml:space="preserve"> frame structure,</w:t>
      </w:r>
    </w:p>
    <w:p w:rsidR="00D500FA" w:rsidRPr="00622EA2" w:rsidRDefault="006E60F2" w:rsidP="00D500FA">
      <w:pPr>
        <w:pStyle w:val="afa"/>
        <w:numPr>
          <w:ilvl w:val="0"/>
          <w:numId w:val="7"/>
        </w:numPr>
        <w:rPr>
          <w:rStyle w:val="afe"/>
          <w:b w:val="0"/>
          <w:sz w:val="20"/>
          <w:szCs w:val="20"/>
        </w:rPr>
      </w:pPr>
      <w:r w:rsidRPr="006E60F2">
        <w:rPr>
          <w:rStyle w:val="afe"/>
          <w:b w:val="0"/>
          <w:sz w:val="20"/>
          <w:szCs w:val="20"/>
        </w:rPr>
        <w:lastRenderedPageBreak/>
        <w:t>Pro</w:t>
      </w:r>
      <w:r>
        <w:rPr>
          <w:rStyle w:val="afe"/>
          <w:b w:val="0"/>
          <w:sz w:val="20"/>
          <w:szCs w:val="20"/>
        </w:rPr>
        <w:t xml:space="preserve">posal 1: The NR frame </w:t>
      </w:r>
      <w:r w:rsidRPr="006E60F2">
        <w:rPr>
          <w:rStyle w:val="afe"/>
          <w:b w:val="0"/>
          <w:sz w:val="20"/>
          <w:szCs w:val="20"/>
        </w:rPr>
        <w:t>structure should be universal for FDD and TDD as well as all access links (DL/UL/SL)</w:t>
      </w:r>
    </w:p>
    <w:p w:rsidR="006E60F2" w:rsidRPr="00783079" w:rsidRDefault="00783079" w:rsidP="001F64C7">
      <w:pPr>
        <w:pStyle w:val="afa"/>
        <w:numPr>
          <w:ilvl w:val="0"/>
          <w:numId w:val="7"/>
        </w:numPr>
        <w:rPr>
          <w:rStyle w:val="afe"/>
          <w:b w:val="0"/>
          <w:sz w:val="20"/>
          <w:szCs w:val="20"/>
          <w:lang w:val="en-GB"/>
        </w:rPr>
      </w:pPr>
      <w:r w:rsidRPr="00783079">
        <w:rPr>
          <w:rStyle w:val="afe"/>
          <w:b w:val="0"/>
          <w:sz w:val="20"/>
          <w:szCs w:val="20"/>
          <w:lang w:val="en-GB"/>
        </w:rPr>
        <w:t>Proposal 2: The subframe along with the system frame number (SFN) is a cell-specific configuration and used as the reference of DL common channel resource allocation.</w:t>
      </w:r>
      <w:r w:rsidR="007A47FD" w:rsidRPr="00783079">
        <w:rPr>
          <w:rStyle w:val="afe"/>
          <w:b w:val="0"/>
          <w:sz w:val="20"/>
          <w:szCs w:val="20"/>
          <w:lang w:val="en-GB"/>
        </w:rPr>
        <w:t xml:space="preserve"> </w:t>
      </w:r>
    </w:p>
    <w:p w:rsidR="001A00FA" w:rsidRPr="001A00FA" w:rsidRDefault="00D500FA" w:rsidP="001F64C7">
      <w:pPr>
        <w:pStyle w:val="afa"/>
        <w:numPr>
          <w:ilvl w:val="0"/>
          <w:numId w:val="7"/>
        </w:numPr>
        <w:rPr>
          <w:rStyle w:val="afe"/>
          <w:b w:val="0"/>
          <w:sz w:val="20"/>
          <w:szCs w:val="20"/>
          <w:lang w:val="en-GB"/>
        </w:rPr>
      </w:pPr>
      <w:r w:rsidRPr="001A00FA">
        <w:rPr>
          <w:rStyle w:val="afe"/>
          <w:b w:val="0"/>
          <w:sz w:val="20"/>
          <w:szCs w:val="20"/>
        </w:rPr>
        <w:t>P</w:t>
      </w:r>
      <w:r w:rsidR="006E60F2" w:rsidRPr="001A00FA">
        <w:rPr>
          <w:rStyle w:val="afe"/>
          <w:b w:val="0"/>
          <w:sz w:val="20"/>
          <w:szCs w:val="20"/>
        </w:rPr>
        <w:t xml:space="preserve">roposal 3:  </w:t>
      </w:r>
      <w:r w:rsidR="001A00FA" w:rsidRPr="001A00FA">
        <w:rPr>
          <w:rStyle w:val="afe"/>
          <w:b w:val="0"/>
          <w:sz w:val="20"/>
          <w:szCs w:val="20"/>
        </w:rPr>
        <w:t xml:space="preserve">Slot is the unit for UE to monitor the DL control channel for potential DL and UL grant.  NR should support more than one length of a slot.  The length of a slot is application-specific.  The configuration of the slot should be UE-specific and dynamically configured by the network.   </w:t>
      </w:r>
    </w:p>
    <w:p w:rsidR="001F64C7" w:rsidRPr="001A00FA" w:rsidRDefault="001F64C7" w:rsidP="001F64C7">
      <w:pPr>
        <w:pStyle w:val="afa"/>
        <w:numPr>
          <w:ilvl w:val="0"/>
          <w:numId w:val="7"/>
        </w:numPr>
        <w:rPr>
          <w:rStyle w:val="afe"/>
          <w:b w:val="0"/>
          <w:sz w:val="20"/>
          <w:szCs w:val="20"/>
          <w:lang w:val="en-GB"/>
        </w:rPr>
      </w:pPr>
      <w:r w:rsidRPr="001A00FA">
        <w:rPr>
          <w:sz w:val="20"/>
          <w:szCs w:val="20"/>
        </w:rPr>
        <w:t xml:space="preserve">Proposal 4: </w:t>
      </w:r>
      <w:r w:rsidR="001A00FA" w:rsidRPr="001A00FA">
        <w:rPr>
          <w:sz w:val="20"/>
          <w:szCs w:val="20"/>
        </w:rPr>
        <w:t xml:space="preserve">The length of mini-slot is proposed to be 1 OFDM symbol.   </w:t>
      </w:r>
      <w:r w:rsidR="00783079" w:rsidRPr="001A00FA">
        <w:rPr>
          <w:sz w:val="20"/>
          <w:szCs w:val="20"/>
        </w:rPr>
        <w:t>Mini-slot is used as the unit of resource allocation for</w:t>
      </w:r>
      <w:r w:rsidR="00321638">
        <w:rPr>
          <w:sz w:val="20"/>
          <w:szCs w:val="20"/>
        </w:rPr>
        <w:t xml:space="preserve"> both DL and UL.  </w:t>
      </w:r>
      <w:r w:rsidR="00783079" w:rsidRPr="001A00FA">
        <w:rPr>
          <w:sz w:val="20"/>
          <w:szCs w:val="20"/>
        </w:rPr>
        <w:t xml:space="preserve"> To minimize the control overhead, variable TTI with multiple mini-slot resource allocation should be supported.  </w:t>
      </w:r>
      <w:r w:rsidRPr="001A00FA">
        <w:rPr>
          <w:sz w:val="20"/>
          <w:szCs w:val="20"/>
        </w:rPr>
        <w:t xml:space="preserve">   </w:t>
      </w:r>
    </w:p>
    <w:p w:rsidR="00017155" w:rsidRPr="00A4102F" w:rsidRDefault="00017155" w:rsidP="00086ACB">
      <w:pPr>
        <w:pStyle w:val="2"/>
        <w:numPr>
          <w:ilvl w:val="0"/>
          <w:numId w:val="1"/>
        </w:numPr>
        <w:rPr>
          <w:rFonts w:cs="Arial"/>
        </w:rPr>
      </w:pPr>
      <w:r>
        <w:rPr>
          <w:rFonts w:cs="Arial"/>
        </w:rPr>
        <w:t>Reference</w:t>
      </w:r>
    </w:p>
    <w:p w:rsidR="0066736A" w:rsidRPr="00F96EFF" w:rsidRDefault="0072107C" w:rsidP="00F96EFF">
      <w:pPr>
        <w:pStyle w:val="afa"/>
        <w:numPr>
          <w:ilvl w:val="0"/>
          <w:numId w:val="21"/>
        </w:numPr>
        <w:ind w:left="864" w:hanging="432"/>
        <w:rPr>
          <w:rFonts w:eastAsia="MS Mincho"/>
          <w:sz w:val="20"/>
          <w:szCs w:val="20"/>
        </w:rPr>
      </w:pPr>
      <w:bookmarkStart w:id="1" w:name="_Ref430885014"/>
      <w:r w:rsidRPr="00F96EFF">
        <w:rPr>
          <w:rFonts w:eastAsia="MS Mincho"/>
          <w:sz w:val="20"/>
          <w:szCs w:val="20"/>
        </w:rPr>
        <w:t>RP-160671, “Study on New Radio Access Technology”</w:t>
      </w:r>
      <w:r w:rsidR="00ED418A" w:rsidRPr="00F96EFF">
        <w:rPr>
          <w:rFonts w:eastAsia="MS Mincho"/>
          <w:sz w:val="20"/>
          <w:szCs w:val="20"/>
        </w:rPr>
        <w:t xml:space="preserve">, </w:t>
      </w:r>
      <w:proofErr w:type="spellStart"/>
      <w:r w:rsidR="00ED418A" w:rsidRPr="00F96EFF">
        <w:rPr>
          <w:rFonts w:eastAsia="MS Mincho"/>
          <w:sz w:val="20"/>
          <w:szCs w:val="20"/>
        </w:rPr>
        <w:t>DoCoMo</w:t>
      </w:r>
      <w:proofErr w:type="spellEnd"/>
    </w:p>
    <w:p w:rsidR="00E53AEF" w:rsidRDefault="0022790C" w:rsidP="00E53AEF">
      <w:pPr>
        <w:pStyle w:val="afa"/>
        <w:numPr>
          <w:ilvl w:val="0"/>
          <w:numId w:val="21"/>
        </w:numPr>
        <w:ind w:left="864" w:hanging="432"/>
        <w:rPr>
          <w:rFonts w:eastAsia="MS Mincho"/>
          <w:sz w:val="20"/>
          <w:szCs w:val="20"/>
        </w:rPr>
      </w:pPr>
      <w:bookmarkStart w:id="2" w:name="_Ref446581113"/>
      <w:r w:rsidRPr="00F96EFF">
        <w:rPr>
          <w:rFonts w:eastAsia="MS Mincho"/>
          <w:sz w:val="20"/>
          <w:szCs w:val="20"/>
        </w:rPr>
        <w:t>TR38.913v0.2.1, “Study on Scenarios and Requirements for Next Generation Access Technologies”, CMC</w:t>
      </w:r>
      <w:bookmarkStart w:id="3" w:name="_Ref447173825"/>
      <w:r w:rsidR="00E53AEF">
        <w:rPr>
          <w:rFonts w:eastAsia="MS Mincho"/>
          <w:sz w:val="20"/>
          <w:szCs w:val="20"/>
        </w:rPr>
        <w:t>C</w:t>
      </w:r>
    </w:p>
    <w:p w:rsidR="00B526FE" w:rsidRPr="00B526FE" w:rsidRDefault="00B526FE" w:rsidP="00B526FE">
      <w:pPr>
        <w:pStyle w:val="afa"/>
        <w:numPr>
          <w:ilvl w:val="0"/>
          <w:numId w:val="21"/>
        </w:numPr>
        <w:ind w:left="792"/>
        <w:rPr>
          <w:rFonts w:eastAsia="MS Mincho"/>
          <w:sz w:val="20"/>
          <w:szCs w:val="20"/>
        </w:rPr>
      </w:pPr>
      <w:r w:rsidRPr="00B526FE">
        <w:rPr>
          <w:rFonts w:eastAsia="MS Mincho"/>
          <w:sz w:val="20"/>
          <w:szCs w:val="20"/>
        </w:rPr>
        <w:t>R1-1608763</w:t>
      </w:r>
      <w:r w:rsidR="00B058A6">
        <w:rPr>
          <w:rFonts w:eastAsia="MS Mincho"/>
          <w:sz w:val="20"/>
          <w:szCs w:val="20"/>
        </w:rPr>
        <w:t>, “</w:t>
      </w:r>
      <w:r w:rsidRPr="00B526FE">
        <w:rPr>
          <w:rFonts w:eastAsia="MS Mincho"/>
          <w:sz w:val="20"/>
          <w:szCs w:val="20"/>
        </w:rPr>
        <w:tab/>
        <w:t>NR Time domain structure: subframe, slot and mini-slot and time interval</w:t>
      </w:r>
      <w:r w:rsidR="00B058A6">
        <w:rPr>
          <w:rFonts w:eastAsia="MS Mincho"/>
          <w:sz w:val="20"/>
          <w:szCs w:val="20"/>
        </w:rPr>
        <w:t>”,</w:t>
      </w:r>
      <w:r w:rsidRPr="00B526FE">
        <w:rPr>
          <w:rFonts w:eastAsia="MS Mincho"/>
          <w:sz w:val="20"/>
          <w:szCs w:val="20"/>
        </w:rPr>
        <w:tab/>
        <w:t>CATT</w:t>
      </w:r>
    </w:p>
    <w:p w:rsidR="00B526FE" w:rsidRPr="00B526FE" w:rsidRDefault="00B526FE" w:rsidP="00B526FE">
      <w:pPr>
        <w:pStyle w:val="afa"/>
        <w:numPr>
          <w:ilvl w:val="0"/>
          <w:numId w:val="21"/>
        </w:numPr>
        <w:ind w:left="792"/>
        <w:rPr>
          <w:rFonts w:eastAsia="MS Mincho"/>
          <w:sz w:val="20"/>
          <w:szCs w:val="20"/>
        </w:rPr>
      </w:pPr>
      <w:r w:rsidRPr="00B526FE">
        <w:rPr>
          <w:rFonts w:eastAsia="MS Mincho"/>
          <w:sz w:val="20"/>
          <w:szCs w:val="20"/>
        </w:rPr>
        <w:t>R1-1610521</w:t>
      </w:r>
      <w:r>
        <w:rPr>
          <w:rFonts w:eastAsia="MS Mincho"/>
          <w:sz w:val="20"/>
          <w:szCs w:val="20"/>
        </w:rPr>
        <w:t>, “</w:t>
      </w:r>
      <w:r w:rsidRPr="00B526FE">
        <w:rPr>
          <w:rFonts w:eastAsia="MS Mincho" w:hint="eastAsia"/>
          <w:sz w:val="20"/>
          <w:szCs w:val="20"/>
        </w:rPr>
        <w:tab/>
      </w:r>
      <w:r w:rsidRPr="00B526FE">
        <w:rPr>
          <w:rFonts w:eastAsia="MS Mincho"/>
          <w:sz w:val="20"/>
          <w:szCs w:val="20"/>
        </w:rPr>
        <w:t>WF on Subframe duration</w:t>
      </w:r>
      <w:r>
        <w:rPr>
          <w:rFonts w:eastAsia="MS Mincho"/>
          <w:sz w:val="20"/>
          <w:szCs w:val="20"/>
        </w:rPr>
        <w:t xml:space="preserve">”, </w:t>
      </w:r>
      <w:r w:rsidRPr="00B526FE">
        <w:rPr>
          <w:rFonts w:eastAsia="MS Mincho" w:hint="eastAsia"/>
          <w:sz w:val="20"/>
          <w:szCs w:val="20"/>
        </w:rPr>
        <w:tab/>
      </w:r>
      <w:r w:rsidRPr="00B526FE">
        <w:rPr>
          <w:rFonts w:eastAsia="MS Mincho"/>
          <w:sz w:val="20"/>
          <w:szCs w:val="20"/>
          <w:lang w:val="sv-SE"/>
        </w:rPr>
        <w:t>ZTE, ZTE Microelectronics,</w:t>
      </w:r>
      <w:r w:rsidRPr="00B526FE">
        <w:rPr>
          <w:rFonts w:eastAsia="MS Mincho" w:hint="eastAsia"/>
          <w:sz w:val="20"/>
          <w:szCs w:val="20"/>
          <w:lang w:val="sv-SE"/>
        </w:rPr>
        <w:t xml:space="preserve"> </w:t>
      </w:r>
      <w:r w:rsidRPr="00B526FE">
        <w:rPr>
          <w:rFonts w:eastAsia="MS Mincho"/>
          <w:sz w:val="20"/>
          <w:szCs w:val="20"/>
          <w:lang w:val="sv-SE"/>
        </w:rPr>
        <w:t>Ericsson, NTT Docomo, Nokia</w:t>
      </w:r>
      <w:r w:rsidRPr="00B526FE">
        <w:rPr>
          <w:rFonts w:eastAsia="MS Mincho" w:hint="eastAsia"/>
          <w:sz w:val="20"/>
          <w:szCs w:val="20"/>
          <w:lang w:val="sv-SE"/>
        </w:rPr>
        <w:t>,</w:t>
      </w:r>
      <w:r w:rsidRPr="00B526FE">
        <w:rPr>
          <w:rFonts w:eastAsia="MS Mincho"/>
          <w:sz w:val="20"/>
          <w:szCs w:val="20"/>
          <w:lang w:val="sv-SE"/>
        </w:rPr>
        <w:t xml:space="preserve"> Qualcomm, Panasonic, CATT, Mediatek, Convida Wireless, </w:t>
      </w:r>
    </w:p>
    <w:p w:rsidR="00B526FE" w:rsidRPr="00B526FE" w:rsidRDefault="00B526FE" w:rsidP="00B526FE">
      <w:pPr>
        <w:pStyle w:val="afa"/>
        <w:numPr>
          <w:ilvl w:val="0"/>
          <w:numId w:val="21"/>
        </w:numPr>
        <w:ind w:left="792"/>
        <w:rPr>
          <w:rFonts w:eastAsia="MS Mincho"/>
          <w:sz w:val="20"/>
          <w:szCs w:val="20"/>
        </w:rPr>
      </w:pPr>
      <w:r w:rsidRPr="00B526FE">
        <w:rPr>
          <w:rFonts w:eastAsia="MS Mincho"/>
          <w:sz w:val="20"/>
          <w:szCs w:val="20"/>
        </w:rPr>
        <w:t>R1-1610540</w:t>
      </w:r>
      <w:r>
        <w:rPr>
          <w:rFonts w:eastAsia="MS Mincho"/>
          <w:sz w:val="20"/>
          <w:szCs w:val="20"/>
        </w:rPr>
        <w:t>, “</w:t>
      </w:r>
      <w:r w:rsidRPr="00B526FE">
        <w:rPr>
          <w:rFonts w:eastAsia="MS Mincho" w:hint="eastAsia"/>
          <w:sz w:val="20"/>
          <w:szCs w:val="20"/>
        </w:rPr>
        <w:tab/>
        <w:t>WF on slot</w:t>
      </w:r>
      <w:r>
        <w:rPr>
          <w:rFonts w:eastAsia="MS Mincho"/>
          <w:sz w:val="20"/>
          <w:szCs w:val="20"/>
        </w:rPr>
        <w:t xml:space="preserve">”, </w:t>
      </w:r>
      <w:r w:rsidRPr="00B526FE">
        <w:rPr>
          <w:rFonts w:eastAsia="MS Mincho" w:hint="eastAsia"/>
          <w:sz w:val="20"/>
          <w:szCs w:val="20"/>
        </w:rPr>
        <w:t xml:space="preserve">NTT DOCOMO, INC., Ericsson, Panasonic, Nokia, Alcatel-Lucent Shanghai Bell, Qualcomm, </w:t>
      </w:r>
      <w:proofErr w:type="spellStart"/>
      <w:r w:rsidRPr="00B526FE">
        <w:rPr>
          <w:rFonts w:eastAsia="MS Mincho" w:hint="eastAsia"/>
          <w:sz w:val="20"/>
          <w:szCs w:val="20"/>
        </w:rPr>
        <w:t>Huawei</w:t>
      </w:r>
      <w:proofErr w:type="spellEnd"/>
      <w:r w:rsidRPr="00B526FE">
        <w:rPr>
          <w:rFonts w:eastAsia="MS Mincho" w:hint="eastAsia"/>
          <w:sz w:val="20"/>
          <w:szCs w:val="20"/>
        </w:rPr>
        <w:t xml:space="preserve">, </w:t>
      </w:r>
      <w:proofErr w:type="spellStart"/>
      <w:r w:rsidRPr="00B526FE">
        <w:rPr>
          <w:rFonts w:eastAsia="MS Mincho" w:hint="eastAsia"/>
          <w:sz w:val="20"/>
          <w:szCs w:val="20"/>
        </w:rPr>
        <w:t>HiSilicon</w:t>
      </w:r>
      <w:proofErr w:type="spellEnd"/>
    </w:p>
    <w:p w:rsidR="00DF5DC0" w:rsidRPr="00DF5DC0" w:rsidRDefault="00DF5DC0" w:rsidP="00DF5DC0">
      <w:pPr>
        <w:pStyle w:val="afa"/>
        <w:numPr>
          <w:ilvl w:val="0"/>
          <w:numId w:val="21"/>
        </w:numPr>
        <w:ind w:left="864" w:hanging="432"/>
        <w:rPr>
          <w:rFonts w:eastAsia="MS Mincho"/>
          <w:sz w:val="20"/>
          <w:szCs w:val="20"/>
        </w:rPr>
      </w:pPr>
      <w:r w:rsidRPr="00DF5DC0">
        <w:rPr>
          <w:rFonts w:eastAsia="MS Mincho"/>
          <w:sz w:val="20"/>
          <w:szCs w:val="20"/>
        </w:rPr>
        <w:t>R1-168294</w:t>
      </w:r>
      <w:r>
        <w:rPr>
          <w:rFonts w:eastAsia="MS Mincho"/>
          <w:b/>
          <w:sz w:val="20"/>
          <w:szCs w:val="20"/>
        </w:rPr>
        <w:t>, “</w:t>
      </w:r>
      <w:r w:rsidRPr="00DF5DC0">
        <w:rPr>
          <w:rFonts w:eastAsia="MS Mincho" w:hint="eastAsia"/>
          <w:b/>
          <w:sz w:val="20"/>
          <w:szCs w:val="20"/>
        </w:rPr>
        <w:tab/>
      </w:r>
      <w:r w:rsidRPr="00DF5DC0">
        <w:rPr>
          <w:rFonts w:eastAsia="MS Mincho"/>
          <w:sz w:val="20"/>
          <w:szCs w:val="20"/>
        </w:rPr>
        <w:t>WF on Frame Structure</w:t>
      </w:r>
      <w:r>
        <w:rPr>
          <w:rFonts w:eastAsia="MS Mincho"/>
          <w:sz w:val="20"/>
          <w:szCs w:val="20"/>
        </w:rPr>
        <w:t xml:space="preserve">”, </w:t>
      </w:r>
      <w:r w:rsidRPr="00DF5DC0">
        <w:rPr>
          <w:rFonts w:eastAsia="MS Mincho"/>
          <w:sz w:val="20"/>
          <w:szCs w:val="20"/>
        </w:rPr>
        <w:t xml:space="preserve">Ericsson, </w:t>
      </w:r>
      <w:proofErr w:type="spellStart"/>
      <w:r w:rsidRPr="00DF5DC0">
        <w:rPr>
          <w:rFonts w:eastAsia="MS Mincho"/>
          <w:sz w:val="20"/>
          <w:szCs w:val="20"/>
        </w:rPr>
        <w:t>Huawei</w:t>
      </w:r>
      <w:proofErr w:type="spellEnd"/>
      <w:r w:rsidRPr="00DF5DC0">
        <w:rPr>
          <w:rFonts w:eastAsia="MS Mincho"/>
          <w:sz w:val="20"/>
          <w:szCs w:val="20"/>
        </w:rPr>
        <w:t xml:space="preserve">, Qualcomm, Nokia, Sony, </w:t>
      </w:r>
      <w:proofErr w:type="spellStart"/>
      <w:r w:rsidRPr="00DF5DC0">
        <w:rPr>
          <w:rFonts w:eastAsia="MS Mincho"/>
          <w:sz w:val="20"/>
          <w:szCs w:val="20"/>
        </w:rPr>
        <w:t>DoCoMo</w:t>
      </w:r>
      <w:proofErr w:type="spellEnd"/>
      <w:r w:rsidRPr="00DF5DC0">
        <w:rPr>
          <w:rFonts w:eastAsia="MS Mincho"/>
          <w:sz w:val="20"/>
          <w:szCs w:val="20"/>
        </w:rPr>
        <w:t xml:space="preserve">, </w:t>
      </w:r>
      <w:proofErr w:type="spellStart"/>
      <w:r w:rsidRPr="00DF5DC0">
        <w:rPr>
          <w:rFonts w:eastAsia="MS Mincho"/>
          <w:sz w:val="20"/>
          <w:szCs w:val="20"/>
        </w:rPr>
        <w:t>MediaTek</w:t>
      </w:r>
      <w:proofErr w:type="spellEnd"/>
      <w:r w:rsidRPr="00DF5DC0">
        <w:rPr>
          <w:rFonts w:eastAsia="MS Mincho"/>
          <w:sz w:val="20"/>
          <w:szCs w:val="20"/>
        </w:rPr>
        <w:t xml:space="preserve">, Fujitsu, CATT, Intel, ZTE, </w:t>
      </w:r>
      <w:proofErr w:type="spellStart"/>
      <w:r w:rsidRPr="00DF5DC0">
        <w:rPr>
          <w:rFonts w:eastAsia="MS Mincho"/>
          <w:sz w:val="20"/>
          <w:szCs w:val="20"/>
        </w:rPr>
        <w:t>InterDigital</w:t>
      </w:r>
      <w:proofErr w:type="spellEnd"/>
      <w:r w:rsidRPr="00DF5DC0">
        <w:rPr>
          <w:rFonts w:eastAsia="MS Mincho"/>
          <w:b/>
          <w:sz w:val="20"/>
          <w:szCs w:val="20"/>
        </w:rPr>
        <w:t xml:space="preserve"> </w:t>
      </w:r>
    </w:p>
    <w:bookmarkEnd w:id="1"/>
    <w:bookmarkEnd w:id="2"/>
    <w:bookmarkEnd w:id="3"/>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55D" w:rsidRDefault="0037155D" w:rsidP="00086ACB">
      <w:r>
        <w:separator/>
      </w:r>
    </w:p>
  </w:endnote>
  <w:endnote w:type="continuationSeparator" w:id="0">
    <w:p w:rsidR="0037155D" w:rsidRDefault="0037155D"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70" w:rsidRDefault="00F27F77" w:rsidP="00747190">
    <w:pPr>
      <w:pStyle w:val="a9"/>
      <w:framePr w:wrap="around" w:vAnchor="text" w:hAnchor="margin" w:xAlign="center" w:y="1"/>
      <w:rPr>
        <w:rStyle w:val="af6"/>
      </w:rPr>
    </w:pPr>
    <w:r>
      <w:rPr>
        <w:rStyle w:val="af6"/>
      </w:rPr>
      <w:fldChar w:fldCharType="begin"/>
    </w:r>
    <w:r w:rsidR="00C84470">
      <w:rPr>
        <w:rStyle w:val="af6"/>
      </w:rPr>
      <w:instrText xml:space="preserve">PAGE  </w:instrText>
    </w:r>
    <w:r>
      <w:rPr>
        <w:rStyle w:val="af6"/>
      </w:rPr>
      <w:fldChar w:fldCharType="end"/>
    </w:r>
  </w:p>
  <w:p w:rsidR="00C84470" w:rsidRDefault="00C8447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70" w:rsidRDefault="00F27F77" w:rsidP="00747190">
    <w:pPr>
      <w:pStyle w:val="a9"/>
      <w:framePr w:wrap="around" w:vAnchor="text" w:hAnchor="margin" w:xAlign="center" w:y="1"/>
      <w:rPr>
        <w:rStyle w:val="af6"/>
      </w:rPr>
    </w:pPr>
    <w:r>
      <w:rPr>
        <w:rStyle w:val="af6"/>
      </w:rPr>
      <w:fldChar w:fldCharType="begin"/>
    </w:r>
    <w:r w:rsidR="00C84470">
      <w:rPr>
        <w:rStyle w:val="af6"/>
      </w:rPr>
      <w:instrText xml:space="preserve">PAGE  </w:instrText>
    </w:r>
    <w:r>
      <w:rPr>
        <w:rStyle w:val="af6"/>
      </w:rPr>
      <w:fldChar w:fldCharType="separate"/>
    </w:r>
    <w:r w:rsidR="00B058A6">
      <w:rPr>
        <w:rStyle w:val="af6"/>
      </w:rPr>
      <w:t>5</w:t>
    </w:r>
    <w:r>
      <w:rPr>
        <w:rStyle w:val="af6"/>
      </w:rPr>
      <w:fldChar w:fldCharType="end"/>
    </w:r>
  </w:p>
  <w:p w:rsidR="00C84470" w:rsidRDefault="00C8447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55D" w:rsidRDefault="0037155D" w:rsidP="00086ACB">
      <w:r>
        <w:separator/>
      </w:r>
    </w:p>
  </w:footnote>
  <w:footnote w:type="continuationSeparator" w:id="0">
    <w:p w:rsidR="0037155D" w:rsidRDefault="0037155D"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70" w:rsidRDefault="00C84470">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5CEC"/>
    <w:multiLevelType w:val="hybridMultilevel"/>
    <w:tmpl w:val="03AC2294"/>
    <w:lvl w:ilvl="0" w:tplc="04090001">
      <w:start w:val="1"/>
      <w:numFmt w:val="bullet"/>
      <w:lvlText w:val=""/>
      <w:lvlJc w:val="left"/>
      <w:pPr>
        <w:tabs>
          <w:tab w:val="num" w:pos="720"/>
        </w:tabs>
        <w:ind w:left="720" w:hanging="360"/>
      </w:pPr>
      <w:rPr>
        <w:rFonts w:ascii="Symbol" w:hAnsi="Symbo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2">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
    <w:nsid w:val="169E6BDE"/>
    <w:multiLevelType w:val="hybridMultilevel"/>
    <w:tmpl w:val="4D02C1D6"/>
    <w:lvl w:ilvl="0" w:tplc="04090001">
      <w:start w:val="1"/>
      <w:numFmt w:val="bullet"/>
      <w:lvlText w:val=""/>
      <w:lvlJc w:val="left"/>
      <w:pPr>
        <w:tabs>
          <w:tab w:val="num" w:pos="720"/>
        </w:tabs>
        <w:ind w:left="720" w:hanging="360"/>
      </w:pPr>
      <w:rPr>
        <w:rFonts w:ascii="Symbol" w:hAnsi="Symbo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1B500138"/>
    <w:multiLevelType w:val="hybridMultilevel"/>
    <w:tmpl w:val="DF881112"/>
    <w:lvl w:ilvl="0" w:tplc="04090001">
      <w:start w:val="1"/>
      <w:numFmt w:val="bullet"/>
      <w:lvlText w:val=""/>
      <w:lvlJc w:val="left"/>
      <w:pPr>
        <w:tabs>
          <w:tab w:val="num" w:pos="720"/>
        </w:tabs>
        <w:ind w:left="720" w:hanging="360"/>
      </w:pPr>
      <w:rPr>
        <w:rFonts w:ascii="Symbol" w:hAnsi="Symbo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9">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1">
    <w:nsid w:val="28A17122"/>
    <w:multiLevelType w:val="hybridMultilevel"/>
    <w:tmpl w:val="B3A65E1A"/>
    <w:lvl w:ilvl="0" w:tplc="3E280F06">
      <w:start w:val="1"/>
      <w:numFmt w:val="decimal"/>
      <w:pStyle w:val="2"/>
      <w:lvlText w:val="3.%1"/>
      <w:lvlJc w:val="left"/>
      <w:pPr>
        <w:ind w:left="360" w:hanging="360"/>
      </w:pPr>
      <w:rPr>
        <w:rFonts w:ascii="Arial" w:hAnsi="Arial" w:hint="default"/>
        <w:b w:val="0"/>
        <w:i w:val="0"/>
        <w:color w:val="auto"/>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A1E68ED"/>
    <w:multiLevelType w:val="hybridMultilevel"/>
    <w:tmpl w:val="2E42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4">
    <w:nsid w:val="341D6884"/>
    <w:multiLevelType w:val="hybridMultilevel"/>
    <w:tmpl w:val="BE707BB0"/>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6">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9">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FFC1552"/>
    <w:multiLevelType w:val="hybridMultilevel"/>
    <w:tmpl w:val="6328514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282802"/>
    <w:multiLevelType w:val="hybridMultilevel"/>
    <w:tmpl w:val="65420A98"/>
    <w:lvl w:ilvl="0" w:tplc="92E28100">
      <w:start w:val="1"/>
      <w:numFmt w:val="decimal"/>
      <w:lvlText w:val="%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4">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DF20B9"/>
    <w:multiLevelType w:val="hybridMultilevel"/>
    <w:tmpl w:val="03426C88"/>
    <w:lvl w:ilvl="0" w:tplc="EEF4B442">
      <w:start w:val="1"/>
      <w:numFmt w:val="decimal"/>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386EC8"/>
    <w:multiLevelType w:val="hybridMultilevel"/>
    <w:tmpl w:val="77EAC3C2"/>
    <w:lvl w:ilvl="0" w:tplc="8D7AE598">
      <w:start w:val="1"/>
      <w:numFmt w:val="bullet"/>
      <w:lvlText w:val="•"/>
      <w:lvlJc w:val="left"/>
      <w:pPr>
        <w:tabs>
          <w:tab w:val="num" w:pos="720"/>
        </w:tabs>
        <w:ind w:left="720" w:hanging="360"/>
      </w:pPr>
      <w:rPr>
        <w:rFonts w:ascii="Arial" w:hAnsi="Arial" w:hint="default"/>
      </w:rPr>
    </w:lvl>
    <w:lvl w:ilvl="1" w:tplc="AAD40470">
      <w:start w:val="532"/>
      <w:numFmt w:val="bullet"/>
      <w:lvlText w:val="–"/>
      <w:lvlJc w:val="left"/>
      <w:pPr>
        <w:tabs>
          <w:tab w:val="num" w:pos="1440"/>
        </w:tabs>
        <w:ind w:left="1440" w:hanging="360"/>
      </w:pPr>
      <w:rPr>
        <w:rFonts w:ascii="Arial" w:hAnsi="Arial" w:hint="default"/>
      </w:rPr>
    </w:lvl>
    <w:lvl w:ilvl="2" w:tplc="81D4315A" w:tentative="1">
      <w:start w:val="1"/>
      <w:numFmt w:val="bullet"/>
      <w:lvlText w:val="•"/>
      <w:lvlJc w:val="left"/>
      <w:pPr>
        <w:tabs>
          <w:tab w:val="num" w:pos="2160"/>
        </w:tabs>
        <w:ind w:left="2160" w:hanging="360"/>
      </w:pPr>
      <w:rPr>
        <w:rFonts w:ascii="Arial" w:hAnsi="Arial" w:hint="default"/>
      </w:rPr>
    </w:lvl>
    <w:lvl w:ilvl="3" w:tplc="DB0ABE10" w:tentative="1">
      <w:start w:val="1"/>
      <w:numFmt w:val="bullet"/>
      <w:lvlText w:val="•"/>
      <w:lvlJc w:val="left"/>
      <w:pPr>
        <w:tabs>
          <w:tab w:val="num" w:pos="2880"/>
        </w:tabs>
        <w:ind w:left="2880" w:hanging="360"/>
      </w:pPr>
      <w:rPr>
        <w:rFonts w:ascii="Arial" w:hAnsi="Arial" w:hint="default"/>
      </w:rPr>
    </w:lvl>
    <w:lvl w:ilvl="4" w:tplc="13C6ED06" w:tentative="1">
      <w:start w:val="1"/>
      <w:numFmt w:val="bullet"/>
      <w:lvlText w:val="•"/>
      <w:lvlJc w:val="left"/>
      <w:pPr>
        <w:tabs>
          <w:tab w:val="num" w:pos="3600"/>
        </w:tabs>
        <w:ind w:left="3600" w:hanging="360"/>
      </w:pPr>
      <w:rPr>
        <w:rFonts w:ascii="Arial" w:hAnsi="Arial" w:hint="default"/>
      </w:rPr>
    </w:lvl>
    <w:lvl w:ilvl="5" w:tplc="A07A0B0C" w:tentative="1">
      <w:start w:val="1"/>
      <w:numFmt w:val="bullet"/>
      <w:lvlText w:val="•"/>
      <w:lvlJc w:val="left"/>
      <w:pPr>
        <w:tabs>
          <w:tab w:val="num" w:pos="4320"/>
        </w:tabs>
        <w:ind w:left="4320" w:hanging="360"/>
      </w:pPr>
      <w:rPr>
        <w:rFonts w:ascii="Arial" w:hAnsi="Arial" w:hint="default"/>
      </w:rPr>
    </w:lvl>
    <w:lvl w:ilvl="6" w:tplc="3DE6FE1C" w:tentative="1">
      <w:start w:val="1"/>
      <w:numFmt w:val="bullet"/>
      <w:lvlText w:val="•"/>
      <w:lvlJc w:val="left"/>
      <w:pPr>
        <w:tabs>
          <w:tab w:val="num" w:pos="5040"/>
        </w:tabs>
        <w:ind w:left="5040" w:hanging="360"/>
      </w:pPr>
      <w:rPr>
        <w:rFonts w:ascii="Arial" w:hAnsi="Arial" w:hint="default"/>
      </w:rPr>
    </w:lvl>
    <w:lvl w:ilvl="7" w:tplc="25385150" w:tentative="1">
      <w:start w:val="1"/>
      <w:numFmt w:val="bullet"/>
      <w:lvlText w:val="•"/>
      <w:lvlJc w:val="left"/>
      <w:pPr>
        <w:tabs>
          <w:tab w:val="num" w:pos="5760"/>
        </w:tabs>
        <w:ind w:left="5760" w:hanging="360"/>
      </w:pPr>
      <w:rPr>
        <w:rFonts w:ascii="Arial" w:hAnsi="Arial" w:hint="default"/>
      </w:rPr>
    </w:lvl>
    <w:lvl w:ilvl="8" w:tplc="D110D0C4" w:tentative="1">
      <w:start w:val="1"/>
      <w:numFmt w:val="bullet"/>
      <w:lvlText w:val="•"/>
      <w:lvlJc w:val="left"/>
      <w:pPr>
        <w:tabs>
          <w:tab w:val="num" w:pos="6480"/>
        </w:tabs>
        <w:ind w:left="6480" w:hanging="360"/>
      </w:pPr>
      <w:rPr>
        <w:rFonts w:ascii="Arial" w:hAnsi="Arial" w:hint="default"/>
      </w:rPr>
    </w:lvl>
  </w:abstractNum>
  <w:abstractNum w:abstractNumId="28">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6CD0180"/>
    <w:multiLevelType w:val="hybridMultilevel"/>
    <w:tmpl w:val="541C0F6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8710A5E"/>
    <w:multiLevelType w:val="hybridMultilevel"/>
    <w:tmpl w:val="FA169F1A"/>
    <w:lvl w:ilvl="0" w:tplc="6F2E9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2">
    <w:nsid w:val="713311D1"/>
    <w:multiLevelType w:val="hybridMultilevel"/>
    <w:tmpl w:val="546C193E"/>
    <w:lvl w:ilvl="0" w:tplc="B594929C">
      <w:start w:val="1"/>
      <w:numFmt w:val="decimal"/>
      <w:pStyle w:val="1"/>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3">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4484595"/>
    <w:multiLevelType w:val="hybridMultilevel"/>
    <w:tmpl w:val="6F54635E"/>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7">
    <w:nsid w:val="7B966CF4"/>
    <w:multiLevelType w:val="hybridMultilevel"/>
    <w:tmpl w:val="4324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0"/>
  </w:num>
  <w:num w:numId="3">
    <w:abstractNumId w:val="19"/>
  </w:num>
  <w:num w:numId="4">
    <w:abstractNumId w:val="6"/>
  </w:num>
  <w:num w:numId="5">
    <w:abstractNumId w:val="16"/>
  </w:num>
  <w:num w:numId="6">
    <w:abstractNumId w:val="9"/>
  </w:num>
  <w:num w:numId="7">
    <w:abstractNumId w:val="24"/>
  </w:num>
  <w:num w:numId="8">
    <w:abstractNumId w:val="25"/>
  </w:num>
  <w:num w:numId="9">
    <w:abstractNumId w:val="34"/>
  </w:num>
  <w:num w:numId="10">
    <w:abstractNumId w:val="14"/>
  </w:num>
  <w:num w:numId="11">
    <w:abstractNumId w:val="22"/>
  </w:num>
  <w:num w:numId="12">
    <w:abstractNumId w:val="26"/>
  </w:num>
  <w:num w:numId="13">
    <w:abstractNumId w:val="11"/>
  </w:num>
  <w:num w:numId="14">
    <w:abstractNumId w:val="12"/>
  </w:num>
  <w:num w:numId="15">
    <w:abstractNumId w:val="7"/>
  </w:num>
  <w:num w:numId="16">
    <w:abstractNumId w:val="35"/>
  </w:num>
  <w:num w:numId="17">
    <w:abstractNumId w:val="29"/>
  </w:num>
  <w:num w:numId="18">
    <w:abstractNumId w:val="21"/>
  </w:num>
  <w:num w:numId="19">
    <w:abstractNumId w:val="8"/>
  </w:num>
  <w:num w:numId="20">
    <w:abstractNumId w:val="33"/>
  </w:num>
  <w:num w:numId="21">
    <w:abstractNumId w:val="30"/>
  </w:num>
  <w:num w:numId="22">
    <w:abstractNumId w:val="36"/>
  </w:num>
  <w:num w:numId="23">
    <w:abstractNumId w:val="15"/>
  </w:num>
  <w:num w:numId="24">
    <w:abstractNumId w:val="31"/>
  </w:num>
  <w:num w:numId="25">
    <w:abstractNumId w:val="4"/>
  </w:num>
  <w:num w:numId="26">
    <w:abstractNumId w:val="13"/>
  </w:num>
  <w:num w:numId="27">
    <w:abstractNumId w:val="18"/>
  </w:num>
  <w:num w:numId="28">
    <w:abstractNumId w:val="17"/>
  </w:num>
  <w:num w:numId="29">
    <w:abstractNumId w:val="27"/>
  </w:num>
  <w:num w:numId="30">
    <w:abstractNumId w:val="28"/>
  </w:num>
  <w:num w:numId="31">
    <w:abstractNumId w:val="2"/>
  </w:num>
  <w:num w:numId="32">
    <w:abstractNumId w:val="37"/>
  </w:num>
  <w:num w:numId="33">
    <w:abstractNumId w:val="3"/>
  </w:num>
  <w:num w:numId="34">
    <w:abstractNumId w:val="5"/>
  </w:num>
  <w:num w:numId="35">
    <w:abstractNumId w:val="10"/>
  </w:num>
  <w:num w:numId="36">
    <w:abstractNumId w:val="0"/>
  </w:num>
  <w:num w:numId="37">
    <w:abstractNumId w:val="1"/>
  </w:num>
  <w:num w:numId="38">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113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0359"/>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32D"/>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58A0"/>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0FA"/>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1306"/>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1B1"/>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5DB9"/>
    <w:rsid w:val="002860E0"/>
    <w:rsid w:val="00286797"/>
    <w:rsid w:val="00287689"/>
    <w:rsid w:val="00290E5E"/>
    <w:rsid w:val="00291BFC"/>
    <w:rsid w:val="00291F3E"/>
    <w:rsid w:val="00297999"/>
    <w:rsid w:val="00297BA8"/>
    <w:rsid w:val="00297C57"/>
    <w:rsid w:val="002A163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5CFF"/>
    <w:rsid w:val="00317434"/>
    <w:rsid w:val="00320783"/>
    <w:rsid w:val="00320EFA"/>
    <w:rsid w:val="00321638"/>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155D"/>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2D4"/>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7EF7"/>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3D3E"/>
    <w:rsid w:val="004F5155"/>
    <w:rsid w:val="004F545D"/>
    <w:rsid w:val="004F5786"/>
    <w:rsid w:val="004F657F"/>
    <w:rsid w:val="004F668B"/>
    <w:rsid w:val="004F7531"/>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4EB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5983"/>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5CA5"/>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5384"/>
    <w:rsid w:val="0077770C"/>
    <w:rsid w:val="00777B45"/>
    <w:rsid w:val="007809F9"/>
    <w:rsid w:val="00781EB9"/>
    <w:rsid w:val="007821E5"/>
    <w:rsid w:val="00782B01"/>
    <w:rsid w:val="00783079"/>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78A8"/>
    <w:rsid w:val="007E16F7"/>
    <w:rsid w:val="007E2BC8"/>
    <w:rsid w:val="007E2DFD"/>
    <w:rsid w:val="007E30CB"/>
    <w:rsid w:val="007E36FE"/>
    <w:rsid w:val="007E3ECD"/>
    <w:rsid w:val="007E4A00"/>
    <w:rsid w:val="007E4A4A"/>
    <w:rsid w:val="007E4C86"/>
    <w:rsid w:val="007E5079"/>
    <w:rsid w:val="007F0900"/>
    <w:rsid w:val="007F0DC5"/>
    <w:rsid w:val="007F1345"/>
    <w:rsid w:val="007F15D5"/>
    <w:rsid w:val="007F1CA3"/>
    <w:rsid w:val="007F2669"/>
    <w:rsid w:val="007F2756"/>
    <w:rsid w:val="007F3983"/>
    <w:rsid w:val="007F45AA"/>
    <w:rsid w:val="007F4CBD"/>
    <w:rsid w:val="007F4D0E"/>
    <w:rsid w:val="007F73BB"/>
    <w:rsid w:val="007F7B29"/>
    <w:rsid w:val="00800148"/>
    <w:rsid w:val="00800250"/>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0C1"/>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0DA9"/>
    <w:rsid w:val="008F2109"/>
    <w:rsid w:val="008F30B9"/>
    <w:rsid w:val="008F31B4"/>
    <w:rsid w:val="008F5571"/>
    <w:rsid w:val="008F6C9E"/>
    <w:rsid w:val="008F7731"/>
    <w:rsid w:val="00901039"/>
    <w:rsid w:val="00901B51"/>
    <w:rsid w:val="00903A8E"/>
    <w:rsid w:val="00903BF0"/>
    <w:rsid w:val="00903D2A"/>
    <w:rsid w:val="00904080"/>
    <w:rsid w:val="00904B82"/>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3C6"/>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BE2"/>
    <w:rsid w:val="00A87D89"/>
    <w:rsid w:val="00A87F81"/>
    <w:rsid w:val="00A90087"/>
    <w:rsid w:val="00A902A0"/>
    <w:rsid w:val="00A9094C"/>
    <w:rsid w:val="00A90D3E"/>
    <w:rsid w:val="00A91149"/>
    <w:rsid w:val="00A912C6"/>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58A6"/>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26FE"/>
    <w:rsid w:val="00B5413C"/>
    <w:rsid w:val="00B542E4"/>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203"/>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2FC"/>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4F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07C44"/>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470"/>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69A"/>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4393"/>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1E7E"/>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D7B0E"/>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4139"/>
    <w:rsid w:val="00DF4684"/>
    <w:rsid w:val="00DF54A7"/>
    <w:rsid w:val="00DF5DC0"/>
    <w:rsid w:val="00E0012A"/>
    <w:rsid w:val="00E02A71"/>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2515"/>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08BC"/>
    <w:rsid w:val="00ED1548"/>
    <w:rsid w:val="00ED163F"/>
    <w:rsid w:val="00ED2524"/>
    <w:rsid w:val="00ED29EC"/>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27F77"/>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08A6"/>
    <w:rsid w:val="00FF1004"/>
    <w:rsid w:val="00FF166E"/>
    <w:rsid w:val="00FF17DC"/>
    <w:rsid w:val="00FF1993"/>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10D613-5572-4EE8-9E3E-BBEFDB597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2038</Words>
  <Characters>11621</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cp:revision>
  <cp:lastPrinted>2006-02-09T13:55:00Z</cp:lastPrinted>
  <dcterms:created xsi:type="dcterms:W3CDTF">2016-11-04T13:24:00Z</dcterms:created>
  <dcterms:modified xsi:type="dcterms:W3CDTF">2016-11-04T13:24:00Z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