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390244" w:rsidRPr="006E2006">
        <w:rPr>
          <w:b/>
          <w:sz w:val="22"/>
          <w:szCs w:val="22"/>
        </w:rPr>
        <w:t>8</w:t>
      </w:r>
      <w:r w:rsidR="00393E71">
        <w:rPr>
          <w:rFonts w:eastAsiaTheme="minorEastAsia" w:hint="eastAsia"/>
          <w:b/>
          <w:sz w:val="22"/>
          <w:szCs w:val="22"/>
          <w:lang w:eastAsia="zh-CN"/>
        </w:rPr>
        <w:t>7</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16</w:t>
      </w:r>
      <w:r w:rsidR="005B5B4C">
        <w:rPr>
          <w:rFonts w:eastAsiaTheme="minorEastAsia"/>
          <w:b/>
          <w:sz w:val="22"/>
          <w:szCs w:val="22"/>
          <w:lang w:eastAsia="zh-CN"/>
        </w:rPr>
        <w:t>11286</w:t>
      </w:r>
    </w:p>
    <w:p w:rsidR="00291CCF" w:rsidRPr="006E2006" w:rsidRDefault="00393E71" w:rsidP="00291CCF">
      <w:pPr>
        <w:pStyle w:val="CRCoverPage"/>
        <w:tabs>
          <w:tab w:val="right" w:pos="9639"/>
        </w:tabs>
        <w:spacing w:after="0"/>
        <w:jc w:val="both"/>
        <w:rPr>
          <w:b/>
          <w:sz w:val="22"/>
          <w:szCs w:val="22"/>
        </w:rPr>
      </w:pPr>
      <w:r w:rsidRPr="00393E71">
        <w:rPr>
          <w:rFonts w:hint="eastAsia"/>
          <w:b/>
          <w:sz w:val="22"/>
          <w:szCs w:val="22"/>
        </w:rPr>
        <w:t>Reno</w:t>
      </w:r>
      <w:r w:rsidRPr="00393E71">
        <w:rPr>
          <w:b/>
          <w:sz w:val="22"/>
          <w:szCs w:val="22"/>
        </w:rPr>
        <w:t xml:space="preserve">, </w:t>
      </w:r>
      <w:r w:rsidRPr="00393E71">
        <w:rPr>
          <w:rFonts w:hint="eastAsia"/>
          <w:b/>
          <w:sz w:val="22"/>
          <w:szCs w:val="22"/>
        </w:rPr>
        <w:t>USA</w:t>
      </w:r>
      <w:r w:rsidRPr="00393E71">
        <w:rPr>
          <w:b/>
          <w:sz w:val="22"/>
          <w:szCs w:val="22"/>
        </w:rPr>
        <w:t xml:space="preserve"> </w:t>
      </w:r>
      <w:r w:rsidRPr="00393E71">
        <w:rPr>
          <w:rFonts w:hint="eastAsia"/>
          <w:b/>
          <w:sz w:val="22"/>
          <w:szCs w:val="22"/>
        </w:rPr>
        <w:t>14</w:t>
      </w:r>
      <w:r w:rsidRPr="00393E71">
        <w:rPr>
          <w:rFonts w:hint="eastAsia"/>
          <w:b/>
          <w:sz w:val="24"/>
          <w:szCs w:val="24"/>
          <w:vertAlign w:val="superscript"/>
        </w:rPr>
        <w:t>th</w:t>
      </w:r>
      <w:r w:rsidRPr="00393E71">
        <w:rPr>
          <w:rFonts w:hint="eastAsia"/>
          <w:b/>
          <w:sz w:val="24"/>
          <w:szCs w:val="24"/>
        </w:rPr>
        <w:t xml:space="preserve"> </w:t>
      </w:r>
      <w:r w:rsidRPr="00393E71">
        <w:rPr>
          <w:b/>
          <w:sz w:val="22"/>
          <w:szCs w:val="22"/>
        </w:rPr>
        <w:t xml:space="preserve">- </w:t>
      </w:r>
      <w:r w:rsidRPr="00393E71">
        <w:rPr>
          <w:rFonts w:hint="eastAsia"/>
          <w:b/>
          <w:sz w:val="22"/>
          <w:szCs w:val="22"/>
        </w:rPr>
        <w:t>18</w:t>
      </w:r>
      <w:r w:rsidRPr="00393E71">
        <w:rPr>
          <w:b/>
          <w:sz w:val="24"/>
          <w:szCs w:val="24"/>
          <w:vertAlign w:val="superscript"/>
        </w:rPr>
        <w:t>th</w:t>
      </w:r>
      <w:r w:rsidRPr="00393E71">
        <w:rPr>
          <w:b/>
          <w:sz w:val="22"/>
          <w:szCs w:val="22"/>
        </w:rPr>
        <w:t xml:space="preserve"> </w:t>
      </w:r>
      <w:r w:rsidRPr="00393E71">
        <w:rPr>
          <w:rFonts w:hint="eastAsia"/>
          <w:b/>
          <w:sz w:val="22"/>
          <w:szCs w:val="22"/>
        </w:rPr>
        <w:t>November</w:t>
      </w:r>
      <w:r w:rsidRPr="00393E71">
        <w:rPr>
          <w:b/>
          <w:sz w:val="22"/>
          <w:szCs w:val="22"/>
        </w:rPr>
        <w:t xml:space="preserve"> 2016</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F61433">
        <w:rPr>
          <w:rFonts w:eastAsiaTheme="minorEastAsia" w:hint="eastAsia"/>
          <w:b/>
          <w:sz w:val="22"/>
          <w:szCs w:val="22"/>
          <w:lang w:eastAsia="zh-CN"/>
        </w:rPr>
        <w:t>7</w:t>
      </w:r>
      <w:r w:rsidR="008B11DA" w:rsidRPr="006E2006">
        <w:rPr>
          <w:rFonts w:eastAsia="SimSun"/>
          <w:b/>
          <w:sz w:val="22"/>
          <w:szCs w:val="22"/>
          <w:lang w:eastAsia="zh-CN"/>
        </w:rPr>
        <w:t>.1.</w:t>
      </w:r>
      <w:r w:rsidR="004C6916">
        <w:rPr>
          <w:rFonts w:eastAsiaTheme="minorEastAsia"/>
          <w:b/>
          <w:sz w:val="22"/>
          <w:szCs w:val="22"/>
          <w:lang w:eastAsia="zh-CN"/>
        </w:rPr>
        <w:t>1</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r w:rsidR="004C6916">
        <w:rPr>
          <w:rFonts w:eastAsia="SimSun"/>
          <w:b/>
          <w:noProof/>
          <w:sz w:val="22"/>
          <w:szCs w:val="22"/>
          <w:lang w:eastAsia="zh-CN"/>
        </w:rPr>
        <w:t>, ZTE Microelectronics</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4C6916">
        <w:rPr>
          <w:b/>
          <w:sz w:val="22"/>
          <w:szCs w:val="22"/>
        </w:rPr>
        <w:t xml:space="preserve">About </w:t>
      </w:r>
      <w:r w:rsidR="005B5B4C">
        <w:rPr>
          <w:b/>
          <w:sz w:val="22"/>
          <w:szCs w:val="22"/>
        </w:rPr>
        <w:t>Mini-Slots</w:t>
      </w:r>
      <w:r w:rsidR="005E4866" w:rsidRPr="006E2006">
        <w:rPr>
          <w:b/>
          <w:sz w:val="22"/>
          <w:szCs w:val="22"/>
        </w:rPr>
        <w:t xml:space="preserve"> </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5D64B3" w:rsidRDefault="00A303AF"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w:t>
      </w:r>
      <w:r w:rsidR="000A2611">
        <w:rPr>
          <w:rFonts w:eastAsiaTheme="minorEastAsia"/>
          <w:sz w:val="20"/>
          <w:lang w:eastAsia="zh-CN"/>
        </w:rPr>
        <w:t xml:space="preserve">the </w:t>
      </w:r>
      <w:r w:rsidRPr="00A303AF">
        <w:rPr>
          <w:rFonts w:eastAsiaTheme="minorEastAsia"/>
          <w:sz w:val="20"/>
          <w:lang w:eastAsia="zh-CN"/>
        </w:rPr>
        <w:t>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4C6916">
        <w:rPr>
          <w:rFonts w:eastAsiaTheme="minorEastAsia"/>
          <w:sz w:val="20"/>
          <w:lang w:eastAsia="zh-CN"/>
        </w:rPr>
        <w:t xml:space="preserve">[1], </w:t>
      </w:r>
      <w:r w:rsidR="00C43D84">
        <w:rPr>
          <w:rFonts w:eastAsiaTheme="minorEastAsia"/>
          <w:sz w:val="20"/>
          <w:lang w:eastAsia="zh-CN"/>
        </w:rPr>
        <w:t>t</w:t>
      </w:r>
      <w:r w:rsidR="00EE1194">
        <w:rPr>
          <w:rFonts w:eastAsiaTheme="minorEastAsia"/>
          <w:sz w:val="20"/>
          <w:lang w:eastAsia="zh-CN"/>
        </w:rPr>
        <w:t>h</w:t>
      </w:r>
      <w:r w:rsidR="00C43D84">
        <w:rPr>
          <w:rFonts w:eastAsiaTheme="minorEastAsia"/>
          <w:sz w:val="20"/>
          <w:lang w:eastAsia="zh-CN"/>
        </w:rPr>
        <w:t xml:space="preserve">e working assumption has been set that mini-slots shall be supported. </w:t>
      </w:r>
    </w:p>
    <w:tbl>
      <w:tblPr>
        <w:tblStyle w:val="TableGrid"/>
        <w:tblW w:w="0" w:type="auto"/>
        <w:tblLook w:val="04A0"/>
      </w:tblPr>
      <w:tblGrid>
        <w:gridCol w:w="10112"/>
      </w:tblGrid>
      <w:tr w:rsidR="00BE6C26" w:rsidTr="00C43D84">
        <w:trPr>
          <w:trHeight w:val="1549"/>
        </w:trPr>
        <w:tc>
          <w:tcPr>
            <w:tcW w:w="10112" w:type="dxa"/>
          </w:tcPr>
          <w:p w:rsidR="004F6F55" w:rsidRPr="00DD162C" w:rsidRDefault="004F6F55" w:rsidP="004F6F55">
            <w:pPr>
              <w:rPr>
                <w:rFonts w:eastAsia="MS Mincho"/>
                <w:b/>
                <w:u w:val="single"/>
                <w:lang w:val="en-US"/>
              </w:rPr>
            </w:pPr>
            <w:r w:rsidRPr="000170D9">
              <w:rPr>
                <w:rFonts w:eastAsia="MS Mincho" w:hint="eastAsia"/>
                <w:b/>
                <w:highlight w:val="darkYellow"/>
                <w:u w:val="single"/>
                <w:lang w:val="en-US"/>
              </w:rPr>
              <w:t>Working assumption</w:t>
            </w:r>
            <w:r>
              <w:rPr>
                <w:rFonts w:eastAsia="MS Mincho" w:hint="eastAsia"/>
                <w:b/>
                <w:highlight w:val="darkYellow"/>
                <w:u w:val="single"/>
                <w:lang w:val="en-US"/>
              </w:rPr>
              <w:t>s</w:t>
            </w:r>
            <w:r w:rsidRPr="000170D9">
              <w:rPr>
                <w:rFonts w:eastAsia="MS Mincho" w:hint="eastAsia"/>
                <w:b/>
                <w:highlight w:val="darkYellow"/>
                <w:u w:val="single"/>
                <w:lang w:val="en-US"/>
              </w:rPr>
              <w:t>:</w:t>
            </w:r>
          </w:p>
          <w:p w:rsidR="004F6F55" w:rsidRPr="00DD162C" w:rsidRDefault="004F6F55" w:rsidP="004F6F55">
            <w:pPr>
              <w:numPr>
                <w:ilvl w:val="0"/>
                <w:numId w:val="38"/>
              </w:numPr>
              <w:spacing w:after="0" w:afterAutospacing="0"/>
              <w:rPr>
                <w:rFonts w:eastAsia="MS Mincho"/>
                <w:lang w:val="en-US"/>
              </w:rPr>
            </w:pPr>
            <w:r w:rsidRPr="00DD162C">
              <w:rPr>
                <w:rFonts w:eastAsia="MS Mincho"/>
                <w:lang w:val="en-US"/>
              </w:rPr>
              <w:t>The NR frame structure should support both slots and mini-slots</w:t>
            </w:r>
          </w:p>
          <w:p w:rsidR="004F6F55" w:rsidRPr="00DD162C" w:rsidRDefault="004F6F55" w:rsidP="004F6F55">
            <w:pPr>
              <w:numPr>
                <w:ilvl w:val="1"/>
                <w:numId w:val="38"/>
              </w:numPr>
              <w:spacing w:after="0" w:afterAutospacing="0"/>
              <w:rPr>
                <w:rFonts w:eastAsia="MS Mincho"/>
                <w:lang w:val="en-US"/>
              </w:rPr>
            </w:pPr>
            <w:r w:rsidRPr="00DD162C">
              <w:rPr>
                <w:rFonts w:eastAsia="MS Mincho"/>
                <w:lang w:val="en-US"/>
              </w:rPr>
              <w:t>FFS: Timeline granularity for monitoring control of the mini-slot</w:t>
            </w:r>
          </w:p>
          <w:p w:rsidR="004F6F55" w:rsidRPr="00DD162C" w:rsidRDefault="004F6F55" w:rsidP="004F6F55">
            <w:pPr>
              <w:numPr>
                <w:ilvl w:val="1"/>
                <w:numId w:val="38"/>
              </w:numPr>
              <w:spacing w:after="0" w:afterAutospacing="0"/>
              <w:rPr>
                <w:rFonts w:eastAsia="MS Mincho"/>
                <w:lang w:val="en-US"/>
              </w:rPr>
            </w:pPr>
            <w:r w:rsidRPr="00DD162C">
              <w:rPr>
                <w:rFonts w:eastAsia="MS Mincho" w:hint="eastAsia"/>
                <w:lang w:val="en-US"/>
              </w:rPr>
              <w:t>FFS: Terminologies of mini-slot</w:t>
            </w:r>
          </w:p>
          <w:p w:rsidR="00BE6C26" w:rsidRPr="00BE6C26" w:rsidRDefault="00BE6C26" w:rsidP="004F6F55">
            <w:pPr>
              <w:widowControl w:val="0"/>
              <w:spacing w:after="0" w:afterAutospacing="0"/>
              <w:jc w:val="both"/>
            </w:pPr>
          </w:p>
        </w:tc>
      </w:tr>
    </w:tbl>
    <w:p w:rsidR="001E57CC" w:rsidRDefault="001E57CC"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4C6916" w:rsidRPr="001E57CC" w:rsidRDefault="00C43D84"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In this contribution, the use ca</w:t>
      </w:r>
      <w:r w:rsidR="001E57CC">
        <w:rPr>
          <w:rFonts w:eastAsiaTheme="minorEastAsia"/>
          <w:sz w:val="20"/>
          <w:lang w:eastAsia="zh-CN"/>
        </w:rPr>
        <w:t>ses, possible lengths and aggre</w:t>
      </w:r>
      <w:r>
        <w:rPr>
          <w:rFonts w:eastAsiaTheme="minorEastAsia"/>
          <w:sz w:val="20"/>
          <w:lang w:eastAsia="zh-CN"/>
        </w:rPr>
        <w:t>gation of mini-sl</w:t>
      </w:r>
      <w:r w:rsidR="001E57CC">
        <w:rPr>
          <w:rFonts w:eastAsiaTheme="minorEastAsia"/>
          <w:sz w:val="20"/>
          <w:lang w:eastAsia="zh-CN"/>
        </w:rPr>
        <w:t>ot is discussed.</w:t>
      </w:r>
    </w:p>
    <w:p w:rsidR="001A507C" w:rsidRPr="006D71A6" w:rsidRDefault="005D64B3" w:rsidP="00A86443">
      <w:pPr>
        <w:pStyle w:val="Heading1"/>
        <w:keepLines/>
        <w:pBdr>
          <w:top w:val="single" w:sz="12" w:space="3" w:color="auto"/>
        </w:pBdr>
        <w:tabs>
          <w:tab w:val="clear" w:pos="0"/>
        </w:tabs>
        <w:spacing w:after="180" w:afterAutospacing="0"/>
        <w:jc w:val="both"/>
        <w:rPr>
          <w:rFonts w:cs="Arial"/>
          <w:b/>
          <w:szCs w:val="28"/>
          <w:lang w:eastAsia="zh-CN"/>
        </w:rPr>
      </w:pPr>
      <w:r>
        <w:rPr>
          <w:rFonts w:cs="Arial"/>
          <w:b/>
          <w:szCs w:val="28"/>
          <w:lang w:eastAsia="zh-CN"/>
        </w:rPr>
        <w:t>Discussion</w:t>
      </w:r>
    </w:p>
    <w:p w:rsidR="006D3536" w:rsidRDefault="00301C27" w:rsidP="006D3536">
      <w:pPr>
        <w:pStyle w:val="Heading2"/>
        <w:rPr>
          <w:b/>
          <w:sz w:val="24"/>
          <w:szCs w:val="24"/>
          <w:lang w:eastAsia="zh-CN"/>
        </w:rPr>
      </w:pPr>
      <w:r>
        <w:rPr>
          <w:b/>
          <w:sz w:val="24"/>
          <w:szCs w:val="24"/>
          <w:lang w:eastAsia="zh-CN"/>
        </w:rPr>
        <w:t>Use cases for Mini-Slots</w:t>
      </w:r>
    </w:p>
    <w:p w:rsidR="00301C27" w:rsidRPr="0030076C" w:rsidRDefault="002E521B" w:rsidP="00301C27">
      <w:pPr>
        <w:rPr>
          <w:b/>
          <w:sz w:val="24"/>
          <w:szCs w:val="24"/>
          <w:u w:val="single"/>
          <w:lang w:eastAsia="zh-CN"/>
        </w:rPr>
      </w:pPr>
      <w:r w:rsidRPr="0030076C">
        <w:rPr>
          <w:b/>
          <w:sz w:val="24"/>
          <w:szCs w:val="24"/>
          <w:u w:val="single"/>
          <w:lang w:eastAsia="zh-CN"/>
        </w:rPr>
        <w:t>URLLC</w:t>
      </w:r>
    </w:p>
    <w:p w:rsidR="00301C27" w:rsidRDefault="002E521B" w:rsidP="00301C27">
      <w:pPr>
        <w:rPr>
          <w:lang w:eastAsia="zh-CN"/>
        </w:rPr>
      </w:pPr>
      <w:r>
        <w:rPr>
          <w:lang w:eastAsia="zh-CN"/>
        </w:rPr>
        <w:t>For low SCS, shorter transmission units than 7 symbols are needed to meet the latency requirements. Mini-slots of lengths 2 and 4 symbols can be employed and multiplexed with eMBB.</w:t>
      </w:r>
    </w:p>
    <w:p w:rsidR="002E521B" w:rsidRDefault="00941F8D" w:rsidP="00301C27">
      <w:pPr>
        <w:rPr>
          <w:lang w:eastAsia="zh-CN"/>
        </w:rPr>
      </w:pPr>
      <w:r>
        <w:rPr>
          <w:lang w:eastAsia="zh-CN"/>
        </w:rPr>
        <w:t>The mini-slots of length 2 or 4 symbols can be multiplexed in TDM fashion with eMBB. The corresponding eMBB symbols can be punctured. This illustrated in Figure 1 below.</w:t>
      </w:r>
    </w:p>
    <w:p w:rsidR="00227E29" w:rsidRDefault="00F658BA" w:rsidP="00301C27">
      <w:pPr>
        <w:rPr>
          <w:lang w:eastAsia="zh-CN"/>
        </w:rPr>
      </w:pPr>
      <w:r w:rsidRPr="00F658BA">
        <w:rPr>
          <w:noProof/>
          <w:lang w:val="sv-SE" w:eastAsia="sv-SE"/>
        </w:rPr>
        <w:drawing>
          <wp:inline distT="0" distB="0" distL="0" distR="0">
            <wp:extent cx="6332220" cy="122168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6332220" cy="1221682"/>
                    </a:xfrm>
                    <a:prstGeom prst="rect">
                      <a:avLst/>
                    </a:prstGeom>
                    <a:noFill/>
                    <a:ln w="9525">
                      <a:noFill/>
                      <a:miter lim="800000"/>
                      <a:headEnd/>
                      <a:tailEnd/>
                    </a:ln>
                  </pic:spPr>
                </pic:pic>
              </a:graphicData>
            </a:graphic>
          </wp:inline>
        </w:drawing>
      </w:r>
    </w:p>
    <w:p w:rsidR="00227E29" w:rsidRDefault="00941F8D" w:rsidP="00941F8D">
      <w:pPr>
        <w:pStyle w:val="Caption"/>
        <w:jc w:val="center"/>
      </w:pPr>
      <w:r>
        <w:t xml:space="preserve">Figure </w:t>
      </w:r>
      <w:fldSimple w:instr=" SEQ Figure \* ARABIC ">
        <w:r w:rsidR="00CE364A">
          <w:rPr>
            <w:noProof/>
          </w:rPr>
          <w:t>1</w:t>
        </w:r>
      </w:fldSimple>
      <w:r>
        <w:t xml:space="preserve"> – Multiplexing mini-slots and eMBB with the same numerology. eMBB symbols are punctured</w:t>
      </w:r>
    </w:p>
    <w:p w:rsidR="00941F8D" w:rsidRDefault="00941F8D" w:rsidP="00941F8D">
      <w:r>
        <w:lastRenderedPageBreak/>
        <w:t xml:space="preserve">Another option is that </w:t>
      </w:r>
      <w:r w:rsidR="00447D4F">
        <w:t>URLLC uses</w:t>
      </w:r>
      <w:r>
        <w:t xml:space="preserve"> a SCS of 60 kHZ and eMBB for example 15 or 30 kHz. In many deployments conditions, the usage of scaled NCP will be sufficient to handle the delay spread of the channel</w:t>
      </w:r>
      <w:r w:rsidR="00447D4F">
        <w:t xml:space="preserve"> also when the SCS is 60 kHz</w:t>
      </w:r>
      <w:r>
        <w:t>. Thus</w:t>
      </w:r>
      <w:r w:rsidR="00447D4F">
        <w:t>,</w:t>
      </w:r>
      <w:r>
        <w:t xml:space="preserve"> </w:t>
      </w:r>
      <w:r w:rsidR="00447D4F">
        <w:t xml:space="preserve">in these cases, </w:t>
      </w:r>
      <w:r>
        <w:t>eMBB a</w:t>
      </w:r>
      <w:r w:rsidR="00975034">
        <w:t xml:space="preserve">nd URLLC can be multiplexed while both are using </w:t>
      </w:r>
      <w:r>
        <w:t xml:space="preserve">the same CP overhead. </w:t>
      </w:r>
    </w:p>
    <w:p w:rsidR="00941F8D" w:rsidRPr="00941F8D" w:rsidRDefault="00941F8D" w:rsidP="00941F8D">
      <w:r>
        <w:t>Due the symbol level alignment,</w:t>
      </w:r>
      <w:r w:rsidR="00447D4F">
        <w:t xml:space="preserve"> it is possible to transmit one mini-slot of length 4 symbols or 2 mini-slots of length 8 symbols within two eMBB symbols with 15 kHz SCS. This is illustrated below in</w:t>
      </w:r>
      <w:r w:rsidR="009D26E5">
        <w:t xml:space="preserve"> Figure 2 below. There, it is assumed that one eMBB slot uses 14 symbols </w:t>
      </w:r>
      <w:r w:rsidR="00975034">
        <w:t>and that two 2 slots represent</w:t>
      </w:r>
      <w:r w:rsidR="009D26E5">
        <w:t xml:space="preserve"> an aggregated eMBB transmission unit.</w:t>
      </w:r>
      <w:r w:rsidR="00447D4F">
        <w:t xml:space="preserve">  </w:t>
      </w:r>
    </w:p>
    <w:p w:rsidR="00447D4F" w:rsidRDefault="00447D4F" w:rsidP="00301C27">
      <w:pPr>
        <w:rPr>
          <w:lang w:eastAsia="zh-CN"/>
        </w:rPr>
      </w:pPr>
      <w:r w:rsidRPr="00447D4F">
        <w:rPr>
          <w:noProof/>
          <w:lang w:val="sv-SE" w:eastAsia="sv-SE"/>
        </w:rPr>
        <w:drawing>
          <wp:inline distT="0" distB="0" distL="0" distR="0">
            <wp:extent cx="6332220" cy="158834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6332220" cy="1588346"/>
                    </a:xfrm>
                    <a:prstGeom prst="rect">
                      <a:avLst/>
                    </a:prstGeom>
                    <a:noFill/>
                    <a:ln w="9525">
                      <a:noFill/>
                      <a:miter lim="800000"/>
                      <a:headEnd/>
                      <a:tailEnd/>
                    </a:ln>
                  </pic:spPr>
                </pic:pic>
              </a:graphicData>
            </a:graphic>
          </wp:inline>
        </w:drawing>
      </w:r>
    </w:p>
    <w:p w:rsidR="009D26E5" w:rsidRDefault="009D26E5" w:rsidP="009D26E5">
      <w:pPr>
        <w:pStyle w:val="Caption"/>
        <w:jc w:val="center"/>
        <w:rPr>
          <w:lang w:eastAsia="zh-CN"/>
        </w:rPr>
      </w:pPr>
      <w:r>
        <w:t xml:space="preserve">Figure </w:t>
      </w:r>
      <w:fldSimple w:instr=" SEQ Figure \* ARABIC ">
        <w:r w:rsidR="00CE364A">
          <w:rPr>
            <w:noProof/>
          </w:rPr>
          <w:t>2</w:t>
        </w:r>
      </w:fldSimple>
      <w:r>
        <w:t xml:space="preserve"> – Multiplexing eMBB with SCS 15 kHz with 2 mini-slots of length 4 and SCS 60 kHz</w:t>
      </w:r>
    </w:p>
    <w:p w:rsidR="00E10B72" w:rsidRDefault="00E10B72" w:rsidP="00301C27">
      <w:pPr>
        <w:rPr>
          <w:lang w:eastAsia="zh-CN"/>
        </w:rPr>
      </w:pPr>
      <w:r>
        <w:rPr>
          <w:lang w:eastAsia="zh-CN"/>
        </w:rPr>
        <w:t>If the traffic load of URLLC increases, then another</w:t>
      </w:r>
      <w:r w:rsidR="009D26E5">
        <w:rPr>
          <w:lang w:eastAsia="zh-CN"/>
        </w:rPr>
        <w:t xml:space="preserve"> option could be to tran</w:t>
      </w:r>
      <w:r>
        <w:rPr>
          <w:lang w:eastAsia="zh-CN"/>
        </w:rPr>
        <w:t>s</w:t>
      </w:r>
      <w:r w:rsidR="009D26E5">
        <w:rPr>
          <w:lang w:eastAsia="zh-CN"/>
        </w:rPr>
        <w:t>mit</w:t>
      </w:r>
      <w:r>
        <w:rPr>
          <w:lang w:eastAsia="zh-CN"/>
        </w:rPr>
        <w:t xml:space="preserve"> URLLC and eMBB in TDM manner without puncturing. In Figure 3 below, it is illustrated, that eMBB and URLLC are aligned on sub-frames </w:t>
      </w:r>
      <w:r w:rsidR="00975034">
        <w:rPr>
          <w:lang w:eastAsia="zh-CN"/>
        </w:rPr>
        <w:t xml:space="preserve">(1 ms) </w:t>
      </w:r>
      <w:r>
        <w:rPr>
          <w:lang w:eastAsia="zh-CN"/>
        </w:rPr>
        <w:t>and 7 mini-slots of duration 2 symbols are transmitted to support the URLLC.</w:t>
      </w:r>
    </w:p>
    <w:p w:rsidR="00E10B72" w:rsidRDefault="00E10B72" w:rsidP="00301C27">
      <w:pPr>
        <w:rPr>
          <w:lang w:eastAsia="zh-CN"/>
        </w:rPr>
      </w:pPr>
      <w:r w:rsidRPr="00E10B72">
        <w:rPr>
          <w:noProof/>
          <w:lang w:val="sv-SE" w:eastAsia="sv-SE"/>
        </w:rPr>
        <w:drawing>
          <wp:inline distT="0" distB="0" distL="0" distR="0">
            <wp:extent cx="6332220" cy="107316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6332220" cy="1073167"/>
                    </a:xfrm>
                    <a:prstGeom prst="rect">
                      <a:avLst/>
                    </a:prstGeom>
                    <a:noFill/>
                    <a:ln w="9525">
                      <a:noFill/>
                      <a:miter lim="800000"/>
                      <a:headEnd/>
                      <a:tailEnd/>
                    </a:ln>
                  </pic:spPr>
                </pic:pic>
              </a:graphicData>
            </a:graphic>
          </wp:inline>
        </w:drawing>
      </w:r>
    </w:p>
    <w:p w:rsidR="00E10B72" w:rsidRDefault="00E10B72" w:rsidP="00E10B72">
      <w:pPr>
        <w:pStyle w:val="Caption"/>
        <w:jc w:val="center"/>
        <w:rPr>
          <w:lang w:eastAsia="zh-CN"/>
        </w:rPr>
      </w:pPr>
      <w:r>
        <w:t xml:space="preserve">Figure </w:t>
      </w:r>
      <w:fldSimple w:instr=" SEQ Figure \* ARABIC ">
        <w:r w:rsidR="00CE364A">
          <w:rPr>
            <w:noProof/>
          </w:rPr>
          <w:t>3</w:t>
        </w:r>
      </w:fldSimple>
      <w:r>
        <w:t xml:space="preserve"> – Multiplexing eMBB and mini-slots for URLLC in TDM manner</w:t>
      </w:r>
    </w:p>
    <w:p w:rsidR="00E10B72" w:rsidRPr="00E10B72" w:rsidRDefault="00E10B72" w:rsidP="00301C27">
      <w:pPr>
        <w:rPr>
          <w:i/>
          <w:lang w:eastAsia="zh-CN"/>
        </w:rPr>
      </w:pPr>
      <w:r w:rsidRPr="00E10B72">
        <w:rPr>
          <w:b/>
          <w:i/>
          <w:u w:val="single"/>
          <w:lang w:eastAsia="zh-CN"/>
        </w:rPr>
        <w:t>Observation 1:</w:t>
      </w:r>
      <w:r w:rsidRPr="00E10B72">
        <w:rPr>
          <w:i/>
          <w:lang w:eastAsia="zh-CN"/>
        </w:rPr>
        <w:t xml:space="preserve"> Mini-slots lengths of 2 and 4 symbols are beneficial to support URLLC services.</w:t>
      </w:r>
    </w:p>
    <w:p w:rsidR="00E10B72" w:rsidRPr="0030076C" w:rsidRDefault="00E10B72" w:rsidP="00E10B72">
      <w:pPr>
        <w:rPr>
          <w:b/>
          <w:sz w:val="24"/>
          <w:szCs w:val="24"/>
          <w:u w:val="single"/>
          <w:lang w:eastAsia="zh-CN"/>
        </w:rPr>
      </w:pPr>
      <w:r w:rsidRPr="0030076C">
        <w:rPr>
          <w:b/>
          <w:sz w:val="24"/>
          <w:szCs w:val="24"/>
          <w:u w:val="single"/>
          <w:lang w:eastAsia="zh-CN"/>
        </w:rPr>
        <w:t>Unlicensed Band</w:t>
      </w:r>
    </w:p>
    <w:p w:rsidR="004D37F0" w:rsidRDefault="00E10B72" w:rsidP="00E10B72">
      <w:pPr>
        <w:rPr>
          <w:lang w:eastAsia="zh-CN"/>
        </w:rPr>
      </w:pPr>
      <w:r>
        <w:rPr>
          <w:lang w:eastAsia="zh-CN"/>
        </w:rPr>
        <w:t>I</w:t>
      </w:r>
      <w:r w:rsidR="00D11233">
        <w:rPr>
          <w:lang w:eastAsia="zh-CN"/>
        </w:rPr>
        <w:t xml:space="preserve">n unlicensed band, </w:t>
      </w:r>
      <w:r>
        <w:rPr>
          <w:lang w:eastAsia="zh-CN"/>
        </w:rPr>
        <w:t>a</w:t>
      </w:r>
      <w:r w:rsidR="00D11233">
        <w:rPr>
          <w:lang w:eastAsia="zh-CN"/>
        </w:rPr>
        <w:t>n</w:t>
      </w:r>
      <w:r>
        <w:rPr>
          <w:lang w:eastAsia="zh-CN"/>
        </w:rPr>
        <w:t xml:space="preserve"> LBT procedure needs to be carried out before the transmission can start</w:t>
      </w:r>
      <w:r w:rsidR="00D11233">
        <w:rPr>
          <w:lang w:eastAsia="zh-CN"/>
        </w:rPr>
        <w:t xml:space="preserve">. In order to support efficient resource utilization, it is desirable that the transmission can start directly after the LBT has finished. </w:t>
      </w:r>
    </w:p>
    <w:p w:rsidR="004D37F0" w:rsidRDefault="004D37F0" w:rsidP="00E10B72">
      <w:pPr>
        <w:rPr>
          <w:lang w:eastAsia="zh-CN"/>
        </w:rPr>
      </w:pPr>
      <w:r>
        <w:rPr>
          <w:lang w:eastAsia="zh-CN"/>
        </w:rPr>
        <w:t xml:space="preserve">In order to achieve that, two concepts can be used: </w:t>
      </w:r>
    </w:p>
    <w:p w:rsidR="00D11233" w:rsidRDefault="004D37F0" w:rsidP="00E10B72">
      <w:pPr>
        <w:pStyle w:val="ListParagraph"/>
        <w:numPr>
          <w:ilvl w:val="0"/>
          <w:numId w:val="42"/>
        </w:numPr>
        <w:ind w:firstLineChars="0"/>
        <w:rPr>
          <w:lang w:eastAsia="zh-CN"/>
        </w:rPr>
      </w:pPr>
      <w:r>
        <w:rPr>
          <w:lang w:eastAsia="zh-CN"/>
        </w:rPr>
        <w:t>A mini-slot can be aggregated with the following</w:t>
      </w:r>
      <w:r w:rsidR="00693341">
        <w:rPr>
          <w:lang w:eastAsia="zh-CN"/>
        </w:rPr>
        <w:t xml:space="preserve"> slot</w:t>
      </w:r>
      <w:r w:rsidR="00D11233">
        <w:rPr>
          <w:lang w:eastAsia="zh-CN"/>
        </w:rPr>
        <w:t xml:space="preserve">. </w:t>
      </w:r>
    </w:p>
    <w:p w:rsidR="004D37F0" w:rsidRDefault="004D37F0" w:rsidP="004D37F0">
      <w:pPr>
        <w:pStyle w:val="ListParagraph"/>
        <w:numPr>
          <w:ilvl w:val="0"/>
          <w:numId w:val="42"/>
        </w:numPr>
        <w:ind w:firstLineChars="0"/>
        <w:rPr>
          <w:lang w:eastAsia="zh-CN"/>
        </w:rPr>
      </w:pPr>
      <w:r>
        <w:rPr>
          <w:lang w:eastAsia="zh-CN"/>
        </w:rPr>
        <w:lastRenderedPageBreak/>
        <w:t>N mini-slots can be</w:t>
      </w:r>
      <w:r w:rsidR="00693341">
        <w:rPr>
          <w:lang w:eastAsia="zh-CN"/>
        </w:rPr>
        <w:t xml:space="preserve"> aggregated such that mini-slot transmission</w:t>
      </w:r>
      <w:r>
        <w:rPr>
          <w:lang w:eastAsia="zh-CN"/>
        </w:rPr>
        <w:t xml:space="preserve"> starts after the LBT and ends on a sub-frame boundary (or close to it). The value of N can be signaled through RRC or indicated with DCI.</w:t>
      </w:r>
    </w:p>
    <w:p w:rsidR="004D37F0" w:rsidRDefault="004D37F0" w:rsidP="004D37F0">
      <w:pPr>
        <w:rPr>
          <w:lang w:eastAsia="zh-CN"/>
        </w:rPr>
      </w:pPr>
      <w:r>
        <w:rPr>
          <w:lang w:eastAsia="zh-CN"/>
        </w:rPr>
        <w:t>The 2 concepts are illustrated in Figure 4 below:</w:t>
      </w:r>
    </w:p>
    <w:p w:rsidR="004D37F0" w:rsidRDefault="005D1DFE" w:rsidP="005D1DFE">
      <w:pPr>
        <w:jc w:val="center"/>
        <w:rPr>
          <w:lang w:eastAsia="zh-CN"/>
        </w:rPr>
      </w:pPr>
      <w:r w:rsidRPr="005D1DFE">
        <w:rPr>
          <w:noProof/>
          <w:lang w:val="sv-SE" w:eastAsia="sv-SE"/>
        </w:rPr>
        <w:drawing>
          <wp:inline distT="0" distB="0" distL="0" distR="0">
            <wp:extent cx="6332220" cy="23453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332220" cy="2345323"/>
                    </a:xfrm>
                    <a:prstGeom prst="rect">
                      <a:avLst/>
                    </a:prstGeom>
                    <a:noFill/>
                    <a:ln w="9525">
                      <a:noFill/>
                      <a:miter lim="800000"/>
                      <a:headEnd/>
                      <a:tailEnd/>
                    </a:ln>
                  </pic:spPr>
                </pic:pic>
              </a:graphicData>
            </a:graphic>
          </wp:inline>
        </w:drawing>
      </w:r>
    </w:p>
    <w:p w:rsidR="004D37F0" w:rsidRDefault="004D37F0" w:rsidP="004D37F0">
      <w:pPr>
        <w:pStyle w:val="Caption"/>
        <w:ind w:left="360"/>
        <w:jc w:val="center"/>
        <w:rPr>
          <w:lang w:eastAsia="zh-CN"/>
        </w:rPr>
      </w:pPr>
      <w:r>
        <w:t xml:space="preserve">Figure </w:t>
      </w:r>
      <w:fldSimple w:instr=" SEQ Figure \* ARABIC ">
        <w:r>
          <w:rPr>
            <w:noProof/>
          </w:rPr>
          <w:t>4</w:t>
        </w:r>
      </w:fldSimple>
      <w:r>
        <w:t xml:space="preserve"> – Aggregating mini-slots and slots for unlicensed band</w:t>
      </w:r>
      <w:r w:rsidR="005D1DFE">
        <w:t>, a) mini-slot+slot are aggregated to start transmission directly after LBT, b) N mini-slots are aggregated to start transmission directly after LBT</w:t>
      </w:r>
    </w:p>
    <w:p w:rsidR="004D37F0" w:rsidRPr="004D37F0" w:rsidRDefault="004D37F0" w:rsidP="00A475E4">
      <w:pPr>
        <w:spacing w:beforeLines="100" w:line="264" w:lineRule="auto"/>
        <w:rPr>
          <w:rFonts w:eastAsiaTheme="minorEastAsia"/>
          <w:b/>
          <w:sz w:val="24"/>
          <w:szCs w:val="24"/>
          <w:u w:val="single"/>
          <w:lang w:eastAsia="zh-CN"/>
        </w:rPr>
      </w:pPr>
    </w:p>
    <w:p w:rsidR="0030076C" w:rsidRPr="0030076C" w:rsidRDefault="0030076C" w:rsidP="00A475E4">
      <w:pPr>
        <w:spacing w:beforeLines="100" w:line="264" w:lineRule="auto"/>
        <w:rPr>
          <w:rFonts w:eastAsiaTheme="minorEastAsia"/>
          <w:b/>
          <w:sz w:val="24"/>
          <w:szCs w:val="24"/>
          <w:u w:val="single"/>
          <w:lang w:eastAsia="zh-CN"/>
        </w:rPr>
      </w:pPr>
      <w:r w:rsidRPr="0030076C">
        <w:rPr>
          <w:rFonts w:eastAsiaTheme="minorEastAsia"/>
          <w:b/>
          <w:sz w:val="24"/>
          <w:szCs w:val="24"/>
          <w:u w:val="single"/>
          <w:lang w:eastAsia="zh-CN"/>
        </w:rPr>
        <w:t>Short transmissions during beam sweeping</w:t>
      </w:r>
    </w:p>
    <w:p w:rsidR="0030076C" w:rsidRDefault="000074EC" w:rsidP="00A475E4">
      <w:pPr>
        <w:spacing w:beforeLines="100" w:line="264" w:lineRule="auto"/>
        <w:rPr>
          <w:rFonts w:eastAsiaTheme="minorEastAsia"/>
          <w:sz w:val="20"/>
          <w:lang w:eastAsia="zh-CN"/>
        </w:rPr>
      </w:pPr>
      <w:r>
        <w:rPr>
          <w:rFonts w:eastAsiaTheme="minorEastAsia"/>
          <w:sz w:val="20"/>
          <w:lang w:eastAsia="zh-CN"/>
        </w:rPr>
        <w:t>There are several use case</w:t>
      </w:r>
      <w:r w:rsidR="00693341">
        <w:rPr>
          <w:rFonts w:eastAsiaTheme="minorEastAsia"/>
          <w:sz w:val="20"/>
          <w:lang w:eastAsia="zh-CN"/>
        </w:rPr>
        <w:t>s</w:t>
      </w:r>
      <w:r>
        <w:rPr>
          <w:rFonts w:eastAsiaTheme="minorEastAsia"/>
          <w:sz w:val="20"/>
          <w:lang w:eastAsia="zh-CN"/>
        </w:rPr>
        <w:t xml:space="preserve"> at high frequencies that require short transmission units:</w:t>
      </w:r>
    </w:p>
    <w:p w:rsidR="000074EC" w:rsidRDefault="000074EC" w:rsidP="000074EC">
      <w:pPr>
        <w:pStyle w:val="ListParagraph"/>
        <w:numPr>
          <w:ilvl w:val="0"/>
          <w:numId w:val="40"/>
        </w:numPr>
        <w:spacing w:line="264" w:lineRule="auto"/>
        <w:ind w:left="714" w:firstLineChars="0" w:hanging="357"/>
        <w:rPr>
          <w:rFonts w:eastAsiaTheme="minorEastAsia"/>
          <w:lang w:eastAsia="zh-CN"/>
        </w:rPr>
      </w:pPr>
      <w:r>
        <w:rPr>
          <w:rFonts w:eastAsiaTheme="minorEastAsia"/>
          <w:lang w:eastAsia="zh-CN"/>
        </w:rPr>
        <w:t xml:space="preserve">mmW </w:t>
      </w:r>
      <w:r>
        <w:rPr>
          <w:rFonts w:eastAsiaTheme="minorEastAsia"/>
          <w:lang w:eastAsia="zh-CN"/>
        </w:rPr>
        <w:tab/>
      </w:r>
      <w:r>
        <w:rPr>
          <w:rFonts w:eastAsiaTheme="minorEastAsia"/>
          <w:lang w:eastAsia="zh-CN"/>
        </w:rPr>
        <w:tab/>
        <w:t>- to schedule multiple mini-slots within a slot</w:t>
      </w:r>
    </w:p>
    <w:p w:rsidR="00754CFD" w:rsidRDefault="000074EC" w:rsidP="00754CFD">
      <w:pPr>
        <w:pStyle w:val="ListParagraph"/>
        <w:numPr>
          <w:ilvl w:val="0"/>
          <w:numId w:val="40"/>
        </w:numPr>
        <w:spacing w:line="264" w:lineRule="auto"/>
        <w:ind w:left="714" w:firstLineChars="0" w:hanging="357"/>
        <w:rPr>
          <w:rFonts w:eastAsiaTheme="minorEastAsia"/>
          <w:lang w:eastAsia="zh-CN"/>
        </w:rPr>
      </w:pPr>
      <w:r>
        <w:rPr>
          <w:rFonts w:eastAsiaTheme="minorEastAsia"/>
          <w:lang w:eastAsia="zh-CN"/>
        </w:rPr>
        <w:t xml:space="preserve">Initial access </w:t>
      </w:r>
      <w:r>
        <w:rPr>
          <w:rFonts w:eastAsiaTheme="minorEastAsia"/>
          <w:lang w:eastAsia="zh-CN"/>
        </w:rPr>
        <w:tab/>
        <w:t xml:space="preserve">- </w:t>
      </w:r>
      <w:r w:rsidR="00754CFD">
        <w:rPr>
          <w:rFonts w:eastAsiaTheme="minorEastAsia"/>
          <w:lang w:eastAsia="zh-CN"/>
        </w:rPr>
        <w:t>A SS burst consists of several (possibly many) SS blocks. Between two SS blocks, the transmit beam is switched. The SS blocks are comparatively short and should be transmitted directly after each other (e.g. to minimize the required gap for inter-frequency measurements). The PRBs for that beam that are not used for SS block transmission could be used for data instead. Due to the short duration of a SS block, mini-slots are needed to carry data.</w:t>
      </w:r>
      <w:r>
        <w:rPr>
          <w:rFonts w:eastAsiaTheme="minorEastAsia"/>
          <w:lang w:eastAsia="zh-CN"/>
        </w:rPr>
        <w:t xml:space="preserve"> </w:t>
      </w:r>
    </w:p>
    <w:p w:rsidR="000074EC" w:rsidRPr="00754CFD" w:rsidRDefault="000074EC" w:rsidP="00754CFD">
      <w:pPr>
        <w:pStyle w:val="ListParagraph"/>
        <w:numPr>
          <w:ilvl w:val="0"/>
          <w:numId w:val="40"/>
        </w:numPr>
        <w:spacing w:line="264" w:lineRule="auto"/>
        <w:ind w:left="714" w:firstLineChars="0" w:hanging="357"/>
        <w:rPr>
          <w:rFonts w:eastAsiaTheme="minorEastAsia"/>
          <w:lang w:eastAsia="zh-CN"/>
        </w:rPr>
      </w:pPr>
      <w:r>
        <w:t xml:space="preserve">Paging </w:t>
      </w:r>
      <w:r w:rsidR="00754CFD">
        <w:tab/>
      </w:r>
      <w:r w:rsidR="00754CFD">
        <w:tab/>
      </w:r>
      <w:r>
        <w:t>– Beam sweeping. Transmis</w:t>
      </w:r>
      <w:r w:rsidR="00754CFD">
        <w:t>sion with multiple slots would</w:t>
      </w:r>
      <w:r>
        <w:t xml:space="preserve"> be too much overhead</w:t>
      </w:r>
    </w:p>
    <w:p w:rsidR="00754CFD" w:rsidRDefault="00754CFD" w:rsidP="00754CFD">
      <w:pPr>
        <w:pStyle w:val="Heading2"/>
        <w:rPr>
          <w:b/>
          <w:sz w:val="24"/>
          <w:szCs w:val="24"/>
          <w:lang w:eastAsia="zh-CN"/>
        </w:rPr>
      </w:pPr>
      <w:r>
        <w:rPr>
          <w:b/>
          <w:sz w:val="24"/>
          <w:szCs w:val="24"/>
          <w:lang w:eastAsia="zh-CN"/>
        </w:rPr>
        <w:t>Sub-carrier spacing for mini-slots</w:t>
      </w:r>
    </w:p>
    <w:p w:rsidR="00754CFD" w:rsidRDefault="00754CFD" w:rsidP="00754CFD">
      <w:pPr>
        <w:rPr>
          <w:lang w:eastAsia="zh-CN"/>
        </w:rPr>
      </w:pPr>
      <w:r>
        <w:rPr>
          <w:lang w:eastAsia="zh-CN"/>
        </w:rPr>
        <w:t>The mini-slots should not be limited to certain sub-carrier spacings. However, their characteristics (length, structure) could be different for different use-cases.</w:t>
      </w:r>
    </w:p>
    <w:p w:rsidR="00417586" w:rsidRPr="00754CFD" w:rsidRDefault="00417586" w:rsidP="00754CFD">
      <w:r>
        <w:lastRenderedPageBreak/>
        <w:t>Besides the application of mini-slots at low SCS, it is also very important to ha</w:t>
      </w:r>
      <w:r w:rsidR="00693341">
        <w:t>ve mini-slots for 120 kHz SCS in mmW</w:t>
      </w:r>
      <w:r>
        <w:t xml:space="preserve">. The reason is to support TDM different users with </w:t>
      </w:r>
      <w:r w:rsidR="005D1DFE">
        <w:t>analogue</w:t>
      </w:r>
      <w:r>
        <w:t xml:space="preserve"> beamforming and also to provide fine granularity. At mmW</w:t>
      </w:r>
      <w:r w:rsidR="005D1DFE">
        <w:t xml:space="preserve"> (for SCS &gt; 60 kHz)</w:t>
      </w:r>
      <w:r>
        <w:t>, the slot length is restricted to 14 symbols. This avoids too frequent control scheduling.</w:t>
      </w:r>
    </w:p>
    <w:p w:rsidR="00754CFD" w:rsidRDefault="00F8343C" w:rsidP="00754CFD">
      <w:pPr>
        <w:pStyle w:val="Heading2"/>
        <w:rPr>
          <w:b/>
          <w:sz w:val="24"/>
          <w:szCs w:val="24"/>
          <w:lang w:eastAsia="zh-CN"/>
        </w:rPr>
      </w:pPr>
      <w:r>
        <w:rPr>
          <w:b/>
          <w:sz w:val="24"/>
          <w:szCs w:val="24"/>
          <w:lang w:eastAsia="zh-CN"/>
        </w:rPr>
        <w:t>Mini-slot length</w:t>
      </w:r>
      <w:r w:rsidR="00F658BA">
        <w:rPr>
          <w:b/>
          <w:sz w:val="24"/>
          <w:szCs w:val="24"/>
          <w:lang w:eastAsia="zh-CN"/>
        </w:rPr>
        <w:t>s</w:t>
      </w:r>
    </w:p>
    <w:p w:rsidR="00754CFD" w:rsidRDefault="00F8343C" w:rsidP="00754CFD">
      <w:pPr>
        <w:rPr>
          <w:lang w:eastAsia="zh-CN"/>
        </w:rPr>
      </w:pPr>
      <w:r>
        <w:rPr>
          <w:lang w:eastAsia="zh-CN"/>
        </w:rPr>
        <w:t>From the above discussions, at least the length of 1, 2 and 4 symbols should be supported. However, to give more flexibility and better resource utilization for unlicensed, also arbitrary mini-slot length from 1 to “slot length – 1” symbol could be supported.</w:t>
      </w:r>
    </w:p>
    <w:p w:rsidR="00417586" w:rsidRDefault="00417586" w:rsidP="00417586">
      <w:pPr>
        <w:pStyle w:val="Heading2"/>
        <w:rPr>
          <w:b/>
          <w:sz w:val="24"/>
          <w:szCs w:val="24"/>
          <w:lang w:eastAsia="zh-CN"/>
        </w:rPr>
      </w:pPr>
      <w:r>
        <w:rPr>
          <w:b/>
          <w:sz w:val="24"/>
          <w:szCs w:val="24"/>
          <w:lang w:eastAsia="zh-CN"/>
        </w:rPr>
        <w:t>Mini-slot aggregation</w:t>
      </w:r>
    </w:p>
    <w:p w:rsidR="00417586" w:rsidRDefault="00417586" w:rsidP="00417586">
      <w:pPr>
        <w:rPr>
          <w:lang w:eastAsia="zh-CN"/>
        </w:rPr>
      </w:pPr>
      <w:r>
        <w:rPr>
          <w:lang w:eastAsia="zh-CN"/>
        </w:rPr>
        <w:t>It shall be supported to aggregate mini-slots with other mini-slots. For un-licensed also mini-slots and slot aggregation is supported.</w:t>
      </w:r>
    </w:p>
    <w:p w:rsidR="00417586" w:rsidRDefault="00417586" w:rsidP="00417586">
      <w:pPr>
        <w:pStyle w:val="Heading2"/>
        <w:rPr>
          <w:b/>
          <w:sz w:val="24"/>
          <w:szCs w:val="24"/>
          <w:lang w:eastAsia="zh-CN"/>
        </w:rPr>
      </w:pPr>
      <w:r>
        <w:rPr>
          <w:b/>
          <w:sz w:val="24"/>
          <w:szCs w:val="24"/>
          <w:lang w:eastAsia="zh-CN"/>
        </w:rPr>
        <w:t>Alignment between slots and mini-slots</w:t>
      </w:r>
    </w:p>
    <w:p w:rsidR="00F658BA" w:rsidRDefault="00B27166" w:rsidP="00417586">
      <w:pPr>
        <w:rPr>
          <w:lang w:eastAsia="zh-CN"/>
        </w:rPr>
      </w:pPr>
      <w:r>
        <w:rPr>
          <w:lang w:eastAsia="zh-CN"/>
        </w:rPr>
        <w:t>It is alrea</w:t>
      </w:r>
      <w:r w:rsidR="00F658BA">
        <w:rPr>
          <w:lang w:eastAsia="zh-CN"/>
        </w:rPr>
        <w:t xml:space="preserve">dy agreed that slots align on </w:t>
      </w:r>
      <w:r>
        <w:rPr>
          <w:lang w:eastAsia="zh-CN"/>
        </w:rPr>
        <w:t>sub-frame boundaries</w:t>
      </w:r>
      <w:r w:rsidR="005D1DFE">
        <w:rPr>
          <w:lang w:eastAsia="zh-CN"/>
        </w:rPr>
        <w:t xml:space="preserve"> (1ms alignment)</w:t>
      </w:r>
      <w:r>
        <w:rPr>
          <w:lang w:eastAsia="zh-CN"/>
        </w:rPr>
        <w:t>. For mini-slots</w:t>
      </w:r>
      <w:r w:rsidR="00F658BA">
        <w:rPr>
          <w:lang w:eastAsia="zh-CN"/>
        </w:rPr>
        <w:t xml:space="preserve"> it is not decided yet how they align.</w:t>
      </w:r>
      <w:r w:rsidR="00CE364A">
        <w:rPr>
          <w:lang w:eastAsia="zh-CN"/>
        </w:rPr>
        <w:t xml:space="preserve"> We propose </w:t>
      </w:r>
      <w:r w:rsidR="00F658BA">
        <w:rPr>
          <w:lang w:eastAsia="zh-CN"/>
        </w:rPr>
        <w:t xml:space="preserve">that mini-slots align on </w:t>
      </w:r>
      <w:r w:rsidR="005D1DFE">
        <w:rPr>
          <w:lang w:eastAsia="zh-CN"/>
        </w:rPr>
        <w:t>the 1ms-</w:t>
      </w:r>
      <w:r w:rsidR="00F658BA">
        <w:rPr>
          <w:lang w:eastAsia="zh-CN"/>
        </w:rPr>
        <w:t xml:space="preserve">sub-frame boundaries as well. </w:t>
      </w:r>
    </w:p>
    <w:p w:rsidR="00CE364A" w:rsidRPr="00CE364A" w:rsidRDefault="00CE364A" w:rsidP="00417586">
      <w:pPr>
        <w:rPr>
          <w:b/>
          <w:u w:val="single"/>
          <w:lang w:eastAsia="zh-CN"/>
        </w:rPr>
      </w:pPr>
      <w:r w:rsidRPr="00CE364A">
        <w:rPr>
          <w:b/>
          <w:u w:val="single"/>
          <w:lang w:eastAsia="zh-CN"/>
        </w:rPr>
        <w:t>Alignment for URLLC:</w:t>
      </w:r>
    </w:p>
    <w:p w:rsidR="005D1DFE" w:rsidRDefault="00F658BA" w:rsidP="00417586">
      <w:pPr>
        <w:rPr>
          <w:lang w:eastAsia="zh-CN"/>
        </w:rPr>
      </w:pPr>
      <w:r>
        <w:rPr>
          <w:lang w:eastAsia="zh-CN"/>
        </w:rPr>
        <w:t>The question of mini-slot and slot alignment is important for the URLLC use case when it is multiplexed with eMBB.</w:t>
      </w:r>
      <w:r w:rsidR="00462035">
        <w:rPr>
          <w:lang w:eastAsia="zh-CN"/>
        </w:rPr>
        <w:t xml:space="preserve"> It is our view that </w:t>
      </w:r>
      <w:r w:rsidR="005D1DFE">
        <w:rPr>
          <w:lang w:eastAsia="zh-CN"/>
        </w:rPr>
        <w:t xml:space="preserve">a </w:t>
      </w:r>
      <w:r w:rsidR="00462035">
        <w:rPr>
          <w:lang w:eastAsia="zh-CN"/>
        </w:rPr>
        <w:t xml:space="preserve">slot/mini-slots alignment </w:t>
      </w:r>
      <w:r w:rsidR="005D1DFE">
        <w:rPr>
          <w:lang w:eastAsia="zh-CN"/>
        </w:rPr>
        <w:t xml:space="preserve">for the same CP family shall not be the primary design criteria. On the contrary, </w:t>
      </w:r>
      <w:r w:rsidR="00693341">
        <w:rPr>
          <w:lang w:eastAsia="zh-CN"/>
        </w:rPr>
        <w:t xml:space="preserve">when </w:t>
      </w:r>
      <w:r w:rsidR="005D1DFE">
        <w:rPr>
          <w:lang w:eastAsia="zh-CN"/>
        </w:rPr>
        <w:t>having mini-slo</w:t>
      </w:r>
      <w:r w:rsidR="00693341">
        <w:rPr>
          <w:lang w:eastAsia="zh-CN"/>
        </w:rPr>
        <w:t xml:space="preserve">ts restricted </w:t>
      </w:r>
      <w:r w:rsidR="005D1DFE">
        <w:rPr>
          <w:lang w:eastAsia="zh-CN"/>
        </w:rPr>
        <w:t xml:space="preserve">not </w:t>
      </w:r>
      <w:r w:rsidR="00693341">
        <w:rPr>
          <w:lang w:eastAsia="zh-CN"/>
        </w:rPr>
        <w:t>to cross slot boundaries, then fewe</w:t>
      </w:r>
      <w:r w:rsidR="005D1DFE">
        <w:rPr>
          <w:lang w:eastAsia="zh-CN"/>
        </w:rPr>
        <w:t>r mini-slots can fit into a sub-frame and re</w:t>
      </w:r>
      <w:r w:rsidR="008E743C">
        <w:rPr>
          <w:lang w:eastAsia="zh-CN"/>
        </w:rPr>
        <w:t>sources are not used efficiently</w:t>
      </w:r>
      <w:r w:rsidR="005D1DFE">
        <w:rPr>
          <w:lang w:eastAsia="zh-CN"/>
        </w:rPr>
        <w:t>.</w:t>
      </w:r>
    </w:p>
    <w:p w:rsidR="005D1DFE" w:rsidRDefault="005D1DFE" w:rsidP="00417586">
      <w:pPr>
        <w:rPr>
          <w:lang w:eastAsia="zh-CN"/>
        </w:rPr>
      </w:pPr>
      <w:r>
        <w:rPr>
          <w:lang w:eastAsia="zh-CN"/>
        </w:rPr>
        <w:t>What, on the other hand, is important to have, is that</w:t>
      </w:r>
      <w:r w:rsidR="008E743C">
        <w:rPr>
          <w:lang w:eastAsia="zh-CN"/>
        </w:rPr>
        <w:t xml:space="preserve"> for the same CP overhead, mini-slots align</w:t>
      </w:r>
      <w:r>
        <w:rPr>
          <w:lang w:eastAsia="zh-CN"/>
        </w:rPr>
        <w:t xml:space="preserve"> with the </w:t>
      </w:r>
      <w:r w:rsidR="008E743C">
        <w:rPr>
          <w:lang w:eastAsia="zh-CN"/>
        </w:rPr>
        <w:t xml:space="preserve">symbols of the </w:t>
      </w:r>
      <w:r>
        <w:rPr>
          <w:lang w:eastAsia="zh-CN"/>
        </w:rPr>
        <w:t xml:space="preserve">baseline eMBB SCS. If, for example, eMBB uses </w:t>
      </w:r>
      <w:r w:rsidR="008E743C">
        <w:rPr>
          <w:lang w:eastAsia="zh-CN"/>
        </w:rPr>
        <w:t>15 kHz, then a 2</w:t>
      </w:r>
      <w:r w:rsidR="00693341">
        <w:rPr>
          <w:lang w:eastAsia="zh-CN"/>
        </w:rPr>
        <w:t xml:space="preserve"> symbols mini-slot with SCS 30 kH</w:t>
      </w:r>
      <w:r w:rsidR="008E743C">
        <w:rPr>
          <w:lang w:eastAsia="zh-CN"/>
        </w:rPr>
        <w:t xml:space="preserve">z or a 4 symbols mini-slot with 60 kHz SCS could be transmitted during one eMBB symbol. If eMBB uses 30 kHz, then </w:t>
      </w:r>
      <w:r w:rsidR="00693341">
        <w:rPr>
          <w:lang w:eastAsia="zh-CN"/>
        </w:rPr>
        <w:t xml:space="preserve">a </w:t>
      </w:r>
      <w:r w:rsidR="008E743C">
        <w:rPr>
          <w:lang w:eastAsia="zh-CN"/>
        </w:rPr>
        <w:t xml:space="preserve">2 symbol mini-slot with 60 kHz can be transmitted during that symbol. </w:t>
      </w:r>
      <w:r>
        <w:rPr>
          <w:lang w:eastAsia="zh-CN"/>
        </w:rPr>
        <w:t xml:space="preserve"> </w:t>
      </w:r>
    </w:p>
    <w:p w:rsidR="008E743C" w:rsidRDefault="008E743C" w:rsidP="00417586">
      <w:pPr>
        <w:rPr>
          <w:lang w:eastAsia="zh-CN"/>
        </w:rPr>
      </w:pPr>
      <w:r>
        <w:rPr>
          <w:lang w:eastAsia="zh-CN"/>
        </w:rPr>
        <w:t xml:space="preserve">This is illustrated below for the case where mini-slots of length 4 symbols are transmitted with SCS = 30 kHz and the eMBB baseline SCS is </w:t>
      </w:r>
      <w:r w:rsidR="00693341">
        <w:rPr>
          <w:lang w:eastAsia="zh-CN"/>
        </w:rPr>
        <w:t>15 kHz. In the upper drawing, a</w:t>
      </w:r>
      <w:r>
        <w:rPr>
          <w:lang w:eastAsia="zh-CN"/>
        </w:rPr>
        <w:t xml:space="preserve"> s</w:t>
      </w:r>
      <w:r w:rsidR="00693341">
        <w:rPr>
          <w:lang w:eastAsia="zh-CN"/>
        </w:rPr>
        <w:t>lot length of 7 symbols is employed</w:t>
      </w:r>
      <w:r>
        <w:rPr>
          <w:lang w:eastAsia="zh-CN"/>
        </w:rPr>
        <w:t xml:space="preserve"> and in the lower drawing a slot length of 14 symb</w:t>
      </w:r>
      <w:r w:rsidR="00693341">
        <w:rPr>
          <w:lang w:eastAsia="zh-CN"/>
        </w:rPr>
        <w:t>ols is used. Having mini-slots al</w:t>
      </w:r>
      <w:r>
        <w:rPr>
          <w:lang w:eastAsia="zh-CN"/>
        </w:rPr>
        <w:t>lowed to cross slot boundaries (as in the upper drawing), all resources can be utilized for the mini-slots</w:t>
      </w:r>
      <w:r w:rsidR="00693341">
        <w:rPr>
          <w:lang w:eastAsia="zh-CN"/>
        </w:rPr>
        <w:t xml:space="preserve"> also in that case.</w:t>
      </w:r>
      <w:r>
        <w:rPr>
          <w:lang w:eastAsia="zh-CN"/>
        </w:rPr>
        <w:t xml:space="preserve">  </w:t>
      </w:r>
    </w:p>
    <w:p w:rsidR="00F658BA" w:rsidRDefault="005D1DFE" w:rsidP="00417586">
      <w:pPr>
        <w:rPr>
          <w:lang w:eastAsia="zh-CN"/>
        </w:rPr>
      </w:pPr>
      <w:r>
        <w:rPr>
          <w:lang w:eastAsia="zh-CN"/>
        </w:rPr>
        <w:t xml:space="preserve"> </w:t>
      </w:r>
    </w:p>
    <w:p w:rsidR="00417586" w:rsidRDefault="00CE364A" w:rsidP="00417586">
      <w:pPr>
        <w:rPr>
          <w:lang w:eastAsia="zh-CN"/>
        </w:rPr>
      </w:pPr>
      <w:r w:rsidRPr="00CE364A">
        <w:rPr>
          <w:noProof/>
          <w:lang w:val="sv-SE" w:eastAsia="sv-SE"/>
        </w:rPr>
        <w:lastRenderedPageBreak/>
        <w:drawing>
          <wp:inline distT="0" distB="0" distL="0" distR="0">
            <wp:extent cx="6332220" cy="27508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6332220" cy="2750855"/>
                    </a:xfrm>
                    <a:prstGeom prst="rect">
                      <a:avLst/>
                    </a:prstGeom>
                    <a:noFill/>
                    <a:ln w="9525">
                      <a:noFill/>
                      <a:miter lim="800000"/>
                      <a:headEnd/>
                      <a:tailEnd/>
                    </a:ln>
                  </pic:spPr>
                </pic:pic>
              </a:graphicData>
            </a:graphic>
          </wp:inline>
        </w:drawing>
      </w:r>
    </w:p>
    <w:p w:rsidR="00417586" w:rsidRDefault="00CE364A" w:rsidP="00CE364A">
      <w:pPr>
        <w:pStyle w:val="Caption"/>
        <w:jc w:val="center"/>
      </w:pPr>
      <w:r>
        <w:t xml:space="preserve">Figure </w:t>
      </w:r>
      <w:fldSimple w:instr=" SEQ Figure \* ARABIC ">
        <w:r>
          <w:rPr>
            <w:noProof/>
          </w:rPr>
          <w:t>5</w:t>
        </w:r>
      </w:fldSimple>
      <w:r>
        <w:t xml:space="preserve"> – Mini-slots align with symbol-pairs of 15 kHz NCP (for URLLC)</w:t>
      </w:r>
    </w:p>
    <w:p w:rsidR="00CE364A" w:rsidRPr="00CE364A" w:rsidRDefault="00CE364A" w:rsidP="00CE364A">
      <w:pPr>
        <w:rPr>
          <w:b/>
          <w:u w:val="single"/>
          <w:lang w:eastAsia="zh-CN"/>
        </w:rPr>
      </w:pPr>
      <w:r w:rsidRPr="00CE364A">
        <w:rPr>
          <w:b/>
          <w:u w:val="single"/>
          <w:lang w:eastAsia="zh-CN"/>
        </w:rPr>
        <w:t>Alignment for unlicensed:</w:t>
      </w:r>
    </w:p>
    <w:p w:rsidR="00CE364A" w:rsidRPr="00CE364A" w:rsidRDefault="008E743C" w:rsidP="00CE364A">
      <w:pPr>
        <w:rPr>
          <w:lang w:eastAsia="zh-CN"/>
        </w:rPr>
      </w:pPr>
      <w:r>
        <w:rPr>
          <w:lang w:eastAsia="zh-CN"/>
        </w:rPr>
        <w:t xml:space="preserve">It is important to efficiently utilize the resources after the LBT. </w:t>
      </w:r>
      <w:r w:rsidR="00FF6F40">
        <w:rPr>
          <w:lang w:eastAsia="zh-CN"/>
        </w:rPr>
        <w:t>If this could be done with N mini-slots that are allowed to cross slot boarder or mini-slot/slot aggregation is not needed to be standardized. This could be left to the implementation</w:t>
      </w:r>
      <w:r w:rsidR="00693341">
        <w:rPr>
          <w:lang w:eastAsia="zh-CN"/>
        </w:rPr>
        <w:t xml:space="preserve"> and both options could be supported</w:t>
      </w:r>
      <w:r w:rsidR="00FF6F40">
        <w:rPr>
          <w:lang w:eastAsia="zh-CN"/>
        </w:rPr>
        <w:t xml:space="preserve">. </w:t>
      </w:r>
    </w:p>
    <w:p w:rsidR="00CE364A" w:rsidRDefault="00CE364A" w:rsidP="00CE364A">
      <w:pPr>
        <w:pStyle w:val="Heading2"/>
        <w:rPr>
          <w:b/>
          <w:sz w:val="24"/>
          <w:szCs w:val="24"/>
          <w:lang w:eastAsia="zh-CN"/>
        </w:rPr>
      </w:pPr>
      <w:r>
        <w:rPr>
          <w:b/>
          <w:sz w:val="24"/>
          <w:szCs w:val="24"/>
          <w:lang w:eastAsia="zh-CN"/>
        </w:rPr>
        <w:t>Time-line granularity for monitoring mini-slots</w:t>
      </w:r>
    </w:p>
    <w:p w:rsidR="00CE364A" w:rsidRDefault="00CE364A" w:rsidP="00CE364A">
      <w:pPr>
        <w:rPr>
          <w:lang w:eastAsia="zh-CN"/>
        </w:rPr>
      </w:pPr>
      <w:r>
        <w:rPr>
          <w:lang w:eastAsia="zh-CN"/>
        </w:rPr>
        <w:t>The basic time-unit for monitoring the NR-PDCCH should be one slot or one mini-slot configured in UE specific manner.</w:t>
      </w:r>
    </w:p>
    <w:p w:rsidR="00CE364A" w:rsidRDefault="00CE364A" w:rsidP="00CE364A">
      <w:pPr>
        <w:rPr>
          <w:lang w:eastAsia="zh-CN"/>
        </w:rPr>
      </w:pPr>
      <w:r>
        <w:rPr>
          <w:lang w:eastAsia="zh-CN"/>
        </w:rPr>
        <w:t>In order to reduce power consumption due to NR-PDCCH monitoring, it shall be possible to configure the UE to monitor only a subset of the slots/mini-slots. This will come at the cost of scheduling restrictions and increased latency.</w:t>
      </w: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r w:rsidR="00417586">
        <w:rPr>
          <w:rFonts w:cs="Arial"/>
          <w:b/>
          <w:szCs w:val="28"/>
          <w:lang w:eastAsia="zh-CN"/>
        </w:rPr>
        <w:t xml:space="preserve"> – Summary of mini-slot characteristics</w:t>
      </w:r>
    </w:p>
    <w:p w:rsidR="00DA1164" w:rsidRDefault="00693341" w:rsidP="00F06854">
      <w:pPr>
        <w:spacing w:before="48" w:after="48" w:afterAutospacing="0"/>
        <w:jc w:val="both"/>
        <w:rPr>
          <w:sz w:val="20"/>
          <w:lang w:eastAsia="zh-CN"/>
        </w:rPr>
      </w:pPr>
      <w:r>
        <w:rPr>
          <w:sz w:val="20"/>
          <w:lang w:eastAsia="zh-CN"/>
        </w:rPr>
        <w:t>Based on</w:t>
      </w:r>
      <w:r w:rsidR="00CE364A">
        <w:rPr>
          <w:sz w:val="20"/>
          <w:lang w:eastAsia="zh-CN"/>
        </w:rPr>
        <w:t xml:space="preserve"> the discussions from section 2, following characteristics are proposed for a mini-slot</w:t>
      </w:r>
      <w:r w:rsidR="00EE1194">
        <w:rPr>
          <w:sz w:val="20"/>
          <w:lang w:eastAsia="zh-CN"/>
        </w:rPr>
        <w:t>.</w:t>
      </w:r>
      <w:r w:rsidR="00CE364A">
        <w:rPr>
          <w:sz w:val="20"/>
          <w:lang w:eastAsia="zh-CN"/>
        </w:rPr>
        <w:t xml:space="preserve"> </w:t>
      </w:r>
    </w:p>
    <w:p w:rsidR="00CE364A" w:rsidRDefault="00CE364A" w:rsidP="00A475E4">
      <w:pPr>
        <w:spacing w:beforeLines="100" w:line="264" w:lineRule="auto"/>
        <w:rPr>
          <w:rFonts w:eastAsiaTheme="minorEastAsia"/>
          <w:b/>
          <w:i/>
          <w:sz w:val="20"/>
          <w:u w:val="single"/>
          <w:lang w:eastAsia="zh-CN"/>
        </w:rPr>
      </w:pPr>
      <w:r>
        <w:rPr>
          <w:rFonts w:eastAsiaTheme="minorEastAsia"/>
          <w:b/>
          <w:i/>
          <w:sz w:val="20"/>
          <w:u w:val="single"/>
          <w:lang w:eastAsia="zh-CN"/>
        </w:rPr>
        <w:t xml:space="preserve">Proposal </w:t>
      </w:r>
    </w:p>
    <w:p w:rsidR="00EE1194" w:rsidRPr="001E3BAB" w:rsidRDefault="00EE1194" w:rsidP="00A475E4">
      <w:pPr>
        <w:pStyle w:val="ListParagraph"/>
        <w:numPr>
          <w:ilvl w:val="0"/>
          <w:numId w:val="34"/>
        </w:numPr>
        <w:spacing w:beforeLines="50"/>
        <w:ind w:left="714" w:firstLineChars="0" w:hanging="357"/>
        <w:rPr>
          <w:rFonts w:eastAsiaTheme="minorEastAsia"/>
          <w:i/>
          <w:lang w:eastAsia="zh-CN"/>
        </w:rPr>
      </w:pPr>
      <w:r>
        <w:rPr>
          <w:rFonts w:eastAsiaTheme="minorEastAsia"/>
          <w:i/>
          <w:lang w:eastAsia="zh-CN"/>
        </w:rPr>
        <w:t>Mini-slots are needed for different use case</w:t>
      </w:r>
      <w:r w:rsidR="00FF6F40">
        <w:rPr>
          <w:rFonts w:eastAsiaTheme="minorEastAsia"/>
          <w:i/>
          <w:lang w:eastAsia="zh-CN"/>
        </w:rPr>
        <w:t>s such as URLLC, unlicensed band, Initial Access, P</w:t>
      </w:r>
      <w:r>
        <w:rPr>
          <w:rFonts w:eastAsiaTheme="minorEastAsia"/>
          <w:i/>
          <w:lang w:eastAsia="zh-CN"/>
        </w:rPr>
        <w:t xml:space="preserve">aging and  beam sweeping mmW applications </w:t>
      </w:r>
    </w:p>
    <w:p w:rsidR="00EE1194" w:rsidRPr="001E3BAB" w:rsidRDefault="00EE1194" w:rsidP="00A475E4">
      <w:pPr>
        <w:pStyle w:val="ListParagraph"/>
        <w:numPr>
          <w:ilvl w:val="0"/>
          <w:numId w:val="34"/>
        </w:numPr>
        <w:spacing w:beforeLines="50"/>
        <w:ind w:left="714" w:firstLineChars="0" w:hanging="357"/>
        <w:rPr>
          <w:rFonts w:eastAsiaTheme="minorEastAsia"/>
          <w:i/>
          <w:lang w:eastAsia="zh-CN"/>
        </w:rPr>
      </w:pPr>
      <w:r>
        <w:rPr>
          <w:rFonts w:eastAsiaTheme="minorEastAsia"/>
          <w:i/>
          <w:lang w:eastAsia="zh-CN"/>
        </w:rPr>
        <w:t>Depending on the use case the specific features of a mini-slot might differ</w:t>
      </w:r>
    </w:p>
    <w:p w:rsidR="00EE1194" w:rsidRDefault="00EE1194" w:rsidP="00A475E4">
      <w:pPr>
        <w:pStyle w:val="ListParagraph"/>
        <w:numPr>
          <w:ilvl w:val="0"/>
          <w:numId w:val="34"/>
        </w:numPr>
        <w:spacing w:beforeLines="50"/>
        <w:ind w:left="714" w:firstLineChars="0" w:hanging="357"/>
        <w:rPr>
          <w:rFonts w:eastAsiaTheme="minorEastAsia"/>
          <w:i/>
          <w:lang w:eastAsia="zh-CN"/>
        </w:rPr>
      </w:pPr>
      <w:r>
        <w:rPr>
          <w:rFonts w:eastAsiaTheme="minorEastAsia"/>
          <w:i/>
          <w:lang w:eastAsia="zh-CN"/>
        </w:rPr>
        <w:lastRenderedPageBreak/>
        <w:t>Sub</w:t>
      </w:r>
      <w:r w:rsidR="00FF6F40">
        <w:rPr>
          <w:rFonts w:eastAsiaTheme="minorEastAsia"/>
          <w:i/>
          <w:lang w:eastAsia="zh-CN"/>
        </w:rPr>
        <w:t>-carrier spa</w:t>
      </w:r>
      <w:r>
        <w:rPr>
          <w:rFonts w:eastAsiaTheme="minorEastAsia"/>
          <w:i/>
          <w:lang w:eastAsia="zh-CN"/>
        </w:rPr>
        <w:t>cing: Mini-slots shall not be restricted to any specific SCS</w:t>
      </w:r>
    </w:p>
    <w:p w:rsidR="00EE1194" w:rsidRDefault="00EE1194" w:rsidP="00A475E4">
      <w:pPr>
        <w:pStyle w:val="ListParagraph"/>
        <w:numPr>
          <w:ilvl w:val="0"/>
          <w:numId w:val="34"/>
        </w:numPr>
        <w:spacing w:beforeLines="50"/>
        <w:ind w:left="714" w:firstLineChars="0" w:hanging="357"/>
        <w:rPr>
          <w:rFonts w:eastAsiaTheme="minorEastAsia"/>
          <w:i/>
          <w:lang w:eastAsia="zh-CN"/>
        </w:rPr>
      </w:pPr>
      <w:r>
        <w:rPr>
          <w:rFonts w:eastAsiaTheme="minorEastAsia"/>
          <w:i/>
          <w:lang w:eastAsia="zh-CN"/>
        </w:rPr>
        <w:t>Mini-slot lengths</w:t>
      </w:r>
    </w:p>
    <w:p w:rsidR="00EE1194" w:rsidRDefault="00EE1194" w:rsidP="00FF6F40">
      <w:pPr>
        <w:pStyle w:val="ListParagraph"/>
        <w:numPr>
          <w:ilvl w:val="1"/>
          <w:numId w:val="34"/>
        </w:numPr>
        <w:ind w:left="1434" w:firstLineChars="0" w:hanging="357"/>
        <w:rPr>
          <w:rFonts w:eastAsiaTheme="minorEastAsia"/>
          <w:i/>
          <w:lang w:eastAsia="zh-CN"/>
        </w:rPr>
      </w:pPr>
      <w:r>
        <w:rPr>
          <w:rFonts w:eastAsiaTheme="minorEastAsia"/>
          <w:i/>
          <w:lang w:eastAsia="zh-CN"/>
        </w:rPr>
        <w:t>At least 1,2,4 symbols</w:t>
      </w:r>
    </w:p>
    <w:p w:rsidR="00EE1194" w:rsidRDefault="00EE1194" w:rsidP="00FF6F40">
      <w:pPr>
        <w:pStyle w:val="ListParagraph"/>
        <w:numPr>
          <w:ilvl w:val="1"/>
          <w:numId w:val="34"/>
        </w:numPr>
        <w:ind w:left="1434" w:firstLineChars="0" w:hanging="357"/>
        <w:rPr>
          <w:rFonts w:eastAsiaTheme="minorEastAsia"/>
          <w:i/>
          <w:lang w:eastAsia="zh-CN"/>
        </w:rPr>
      </w:pPr>
      <w:r>
        <w:rPr>
          <w:rFonts w:eastAsiaTheme="minorEastAsia"/>
          <w:i/>
          <w:lang w:eastAsia="zh-CN"/>
        </w:rPr>
        <w:t>For unlicensed, other lengths can be supported from 1 symbol to “slot-length-1”</w:t>
      </w:r>
    </w:p>
    <w:p w:rsidR="00EE1194" w:rsidRDefault="00EE1194" w:rsidP="00A475E4">
      <w:pPr>
        <w:pStyle w:val="ListParagraph"/>
        <w:numPr>
          <w:ilvl w:val="0"/>
          <w:numId w:val="34"/>
        </w:numPr>
        <w:spacing w:beforeLines="50"/>
        <w:ind w:left="714" w:firstLineChars="0" w:hanging="357"/>
        <w:rPr>
          <w:rFonts w:eastAsiaTheme="minorEastAsia"/>
          <w:i/>
          <w:lang w:eastAsia="zh-CN"/>
        </w:rPr>
      </w:pPr>
      <w:r>
        <w:rPr>
          <w:rFonts w:eastAsiaTheme="minorEastAsia"/>
          <w:i/>
          <w:lang w:eastAsia="zh-CN"/>
        </w:rPr>
        <w:t>Aggregation.</w:t>
      </w:r>
    </w:p>
    <w:p w:rsidR="00EE1194" w:rsidRDefault="00EE1194" w:rsidP="00FF6F40">
      <w:pPr>
        <w:pStyle w:val="ListParagraph"/>
        <w:numPr>
          <w:ilvl w:val="1"/>
          <w:numId w:val="34"/>
        </w:numPr>
        <w:ind w:left="1434" w:firstLineChars="0" w:hanging="357"/>
        <w:rPr>
          <w:rFonts w:eastAsiaTheme="minorEastAsia"/>
          <w:i/>
          <w:lang w:eastAsia="zh-CN"/>
        </w:rPr>
      </w:pPr>
      <w:r>
        <w:rPr>
          <w:rFonts w:eastAsiaTheme="minorEastAsia"/>
          <w:i/>
          <w:lang w:eastAsia="zh-CN"/>
        </w:rPr>
        <w:t>It shall be possible to aggregate mini-slots with mini-slots</w:t>
      </w:r>
    </w:p>
    <w:p w:rsidR="00EE1194" w:rsidRDefault="00EE1194" w:rsidP="00FF6F40">
      <w:pPr>
        <w:pStyle w:val="ListParagraph"/>
        <w:numPr>
          <w:ilvl w:val="1"/>
          <w:numId w:val="34"/>
        </w:numPr>
        <w:ind w:left="1434" w:firstLineChars="0" w:hanging="357"/>
        <w:rPr>
          <w:rFonts w:eastAsiaTheme="minorEastAsia"/>
          <w:i/>
          <w:lang w:eastAsia="zh-CN"/>
        </w:rPr>
      </w:pPr>
      <w:r>
        <w:rPr>
          <w:rFonts w:eastAsiaTheme="minorEastAsia"/>
          <w:i/>
          <w:lang w:eastAsia="zh-CN"/>
        </w:rPr>
        <w:t>At least for unlicensed it shall also be possible to aggregate mini-slots and slots</w:t>
      </w:r>
    </w:p>
    <w:p w:rsidR="00EE1194" w:rsidRDefault="00EE1194" w:rsidP="00A475E4">
      <w:pPr>
        <w:pStyle w:val="ListParagraph"/>
        <w:numPr>
          <w:ilvl w:val="0"/>
          <w:numId w:val="34"/>
        </w:numPr>
        <w:spacing w:beforeLines="50"/>
        <w:ind w:left="714" w:firstLineChars="0" w:hanging="357"/>
        <w:rPr>
          <w:rFonts w:eastAsiaTheme="minorEastAsia"/>
          <w:i/>
          <w:lang w:eastAsia="zh-CN"/>
        </w:rPr>
      </w:pPr>
      <w:r>
        <w:rPr>
          <w:rFonts w:eastAsiaTheme="minorEastAsia"/>
          <w:i/>
          <w:lang w:eastAsia="zh-CN"/>
        </w:rPr>
        <w:t>Alignment</w:t>
      </w:r>
    </w:p>
    <w:p w:rsidR="00EE1194" w:rsidRDefault="00EE1194" w:rsidP="00FF6F40">
      <w:pPr>
        <w:pStyle w:val="ListParagraph"/>
        <w:numPr>
          <w:ilvl w:val="1"/>
          <w:numId w:val="34"/>
        </w:numPr>
        <w:ind w:left="1434" w:firstLineChars="0" w:hanging="357"/>
        <w:rPr>
          <w:rFonts w:eastAsiaTheme="minorEastAsia"/>
          <w:i/>
          <w:lang w:eastAsia="zh-CN"/>
        </w:rPr>
      </w:pPr>
      <w:r>
        <w:rPr>
          <w:rFonts w:eastAsiaTheme="minorEastAsia"/>
          <w:i/>
          <w:lang w:eastAsia="zh-CN"/>
        </w:rPr>
        <w:t>Mini slots shall align on sub-frames</w:t>
      </w:r>
      <w:r w:rsidR="00FF6F40">
        <w:rPr>
          <w:rFonts w:eastAsiaTheme="minorEastAsia"/>
          <w:i/>
          <w:lang w:eastAsia="zh-CN"/>
        </w:rPr>
        <w:t xml:space="preserve"> (1ms boundaries)</w:t>
      </w:r>
    </w:p>
    <w:p w:rsidR="00FF6F40" w:rsidRDefault="00FF6F40" w:rsidP="00FF6F40">
      <w:pPr>
        <w:pStyle w:val="ListParagraph"/>
        <w:numPr>
          <w:ilvl w:val="1"/>
          <w:numId w:val="34"/>
        </w:numPr>
        <w:ind w:left="1434" w:firstLineChars="0" w:hanging="357"/>
        <w:rPr>
          <w:rFonts w:eastAsiaTheme="minorEastAsia"/>
          <w:i/>
          <w:lang w:eastAsia="zh-CN"/>
        </w:rPr>
      </w:pPr>
      <w:r>
        <w:rPr>
          <w:rFonts w:eastAsiaTheme="minorEastAsia"/>
          <w:i/>
          <w:lang w:eastAsia="zh-CN"/>
        </w:rPr>
        <w:t xml:space="preserve">For mini-slots and slots from the same CP family, </w:t>
      </w:r>
    </w:p>
    <w:p w:rsidR="00EE1194" w:rsidRDefault="00FF6F40" w:rsidP="00FF6F40">
      <w:pPr>
        <w:pStyle w:val="ListParagraph"/>
        <w:numPr>
          <w:ilvl w:val="2"/>
          <w:numId w:val="34"/>
        </w:numPr>
        <w:ind w:firstLineChars="0"/>
        <w:rPr>
          <w:rFonts w:eastAsiaTheme="minorEastAsia"/>
          <w:i/>
          <w:lang w:eastAsia="zh-CN"/>
        </w:rPr>
      </w:pPr>
      <w:r>
        <w:rPr>
          <w:rFonts w:eastAsiaTheme="minorEastAsia"/>
          <w:i/>
          <w:lang w:eastAsia="zh-CN"/>
        </w:rPr>
        <w:t xml:space="preserve"> </w:t>
      </w:r>
      <w:r w:rsidR="00EE1194">
        <w:rPr>
          <w:rFonts w:eastAsiaTheme="minorEastAsia"/>
          <w:i/>
          <w:lang w:eastAsia="zh-CN"/>
        </w:rPr>
        <w:t>For URLLC</w:t>
      </w:r>
      <w:r>
        <w:rPr>
          <w:rFonts w:eastAsiaTheme="minorEastAsia"/>
          <w:i/>
          <w:lang w:eastAsia="zh-CN"/>
        </w:rPr>
        <w:t xml:space="preserve">/eMBB multiplexing, URLLC </w:t>
      </w:r>
      <w:r w:rsidR="00EE1194">
        <w:rPr>
          <w:rFonts w:eastAsiaTheme="minorEastAsia"/>
          <w:i/>
          <w:lang w:eastAsia="zh-CN"/>
        </w:rPr>
        <w:t xml:space="preserve"> mini-slots al</w:t>
      </w:r>
      <w:r>
        <w:rPr>
          <w:rFonts w:eastAsiaTheme="minorEastAsia"/>
          <w:i/>
          <w:lang w:eastAsia="zh-CN"/>
        </w:rPr>
        <w:t xml:space="preserve">ign </w:t>
      </w:r>
      <w:r w:rsidR="00A06D6B">
        <w:rPr>
          <w:rFonts w:eastAsiaTheme="minorEastAsia"/>
          <w:i/>
          <w:lang w:eastAsia="zh-CN"/>
        </w:rPr>
        <w:t>with symbols of the baseline eMBB numerology</w:t>
      </w:r>
    </w:p>
    <w:p w:rsidR="00EE1194" w:rsidRDefault="00EE1194" w:rsidP="00A475E4">
      <w:pPr>
        <w:pStyle w:val="ListParagraph"/>
        <w:numPr>
          <w:ilvl w:val="0"/>
          <w:numId w:val="34"/>
        </w:numPr>
        <w:spacing w:beforeLines="50"/>
        <w:ind w:left="714" w:firstLineChars="0" w:hanging="357"/>
        <w:rPr>
          <w:rFonts w:eastAsiaTheme="minorEastAsia"/>
          <w:i/>
          <w:lang w:eastAsia="zh-CN"/>
        </w:rPr>
      </w:pPr>
      <w:r>
        <w:rPr>
          <w:rFonts w:eastAsiaTheme="minorEastAsia"/>
          <w:i/>
          <w:lang w:eastAsia="zh-CN"/>
        </w:rPr>
        <w:t xml:space="preserve">NR-PDCCH monitoring </w:t>
      </w:r>
    </w:p>
    <w:p w:rsidR="00EE1194" w:rsidRDefault="00EE1194" w:rsidP="00FF6F40">
      <w:pPr>
        <w:pStyle w:val="ListParagraph"/>
        <w:numPr>
          <w:ilvl w:val="1"/>
          <w:numId w:val="34"/>
        </w:numPr>
        <w:ind w:left="1434" w:firstLineChars="0" w:hanging="357"/>
        <w:rPr>
          <w:rFonts w:eastAsiaTheme="minorEastAsia"/>
          <w:i/>
          <w:lang w:eastAsia="zh-CN"/>
        </w:rPr>
      </w:pPr>
      <w:r>
        <w:rPr>
          <w:rFonts w:eastAsiaTheme="minorEastAsia"/>
          <w:i/>
          <w:lang w:eastAsia="zh-CN"/>
        </w:rPr>
        <w:t>It shall be possible to monitor the NR-PDCCH with mini-slot granularity in a UE specific manner</w:t>
      </w:r>
    </w:p>
    <w:p w:rsidR="00920D76" w:rsidRPr="00FF6F40" w:rsidRDefault="00EE1194" w:rsidP="00FF6F40">
      <w:pPr>
        <w:pStyle w:val="ListParagraph"/>
        <w:numPr>
          <w:ilvl w:val="1"/>
          <w:numId w:val="34"/>
        </w:numPr>
        <w:ind w:left="1434" w:firstLineChars="0" w:hanging="357"/>
        <w:rPr>
          <w:rFonts w:eastAsiaTheme="minorEastAsia"/>
          <w:i/>
          <w:lang w:eastAsia="zh-CN"/>
        </w:rPr>
      </w:pPr>
      <w:r>
        <w:rPr>
          <w:rFonts w:eastAsiaTheme="minorEastAsia"/>
          <w:i/>
          <w:lang w:eastAsia="zh-CN"/>
        </w:rPr>
        <w:t>To reduce the power consumption, longer monitoring interval</w:t>
      </w:r>
      <w:r w:rsidR="00A06D6B">
        <w:rPr>
          <w:rFonts w:eastAsiaTheme="minorEastAsia"/>
          <w:i/>
          <w:lang w:eastAsia="zh-CN"/>
        </w:rPr>
        <w:t>s</w:t>
      </w:r>
      <w:r>
        <w:rPr>
          <w:rFonts w:eastAsiaTheme="minorEastAsia"/>
          <w:i/>
          <w:lang w:eastAsia="zh-CN"/>
        </w:rPr>
        <w:t xml:space="preserve"> shall be configurable</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1" w:name="_GoBack"/>
      <w:bookmarkEnd w:id="1"/>
      <w:r w:rsidRPr="006E2006">
        <w:rPr>
          <w:rFonts w:cs="Arial"/>
          <w:b/>
          <w:szCs w:val="28"/>
          <w:lang w:eastAsia="zh-CN"/>
        </w:rPr>
        <w:t>References</w:t>
      </w:r>
    </w:p>
    <w:p w:rsidR="00920D76" w:rsidRPr="00A06D6B" w:rsidRDefault="001F0D8F" w:rsidP="00A06D6B">
      <w:pPr>
        <w:spacing w:after="0" w:afterAutospacing="0"/>
        <w:jc w:val="both"/>
      </w:pPr>
      <w:bookmarkStart w:id="2" w:name="_Ref426471819"/>
      <w:bookmarkStart w:id="3" w:name="_Ref410219761"/>
      <w:r w:rsidRPr="006E2006">
        <w:rPr>
          <w:sz w:val="20"/>
          <w:lang w:eastAsia="zh-CN"/>
        </w:rPr>
        <w:t>[</w:t>
      </w:r>
      <w:r w:rsidR="00192D40">
        <w:rPr>
          <w:rFonts w:hint="eastAsia"/>
          <w:sz w:val="20"/>
          <w:lang w:eastAsia="zh-CN"/>
        </w:rPr>
        <w:t>1</w:t>
      </w:r>
      <w:r w:rsidRPr="006E2006">
        <w:rPr>
          <w:sz w:val="20"/>
          <w:lang w:eastAsia="zh-CN"/>
        </w:rPr>
        <w:t xml:space="preserve">] </w:t>
      </w:r>
      <w:r w:rsidR="000A2611">
        <w:rPr>
          <w:sz w:val="20"/>
          <w:lang w:eastAsia="zh-CN"/>
        </w:rPr>
        <w:tab/>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r w:rsidR="00C74400" w:rsidRPr="00C74400">
        <w:t xml:space="preserve"> </w:t>
      </w:r>
      <w:bookmarkEnd w:id="2"/>
      <w:bookmarkEnd w:id="3"/>
    </w:p>
    <w:sectPr w:rsidR="00920D76" w:rsidRPr="00A06D6B" w:rsidSect="00913145">
      <w:footerReference w:type="default" r:id="rId13"/>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F18" w:rsidRDefault="007C6F18">
      <w:r>
        <w:separator/>
      </w:r>
    </w:p>
  </w:endnote>
  <w:endnote w:type="continuationSeparator" w:id="0">
    <w:p w:rsidR="007C6F18" w:rsidRDefault="007C6F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2D0" w:rsidRPr="001A0415" w:rsidRDefault="00001B90">
    <w:pPr>
      <w:pStyle w:val="Footer"/>
      <w:jc w:val="center"/>
      <w:rPr>
        <w:lang w:eastAsia="zh-CN"/>
      </w:rPr>
    </w:pPr>
    <w:fldSimple w:instr=" PAGE   \* MERGEFORMAT ">
      <w:r w:rsidR="00693341">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F18" w:rsidRDefault="007C6F18">
      <w:r>
        <w:separator/>
      </w:r>
    </w:p>
  </w:footnote>
  <w:footnote w:type="continuationSeparator" w:id="0">
    <w:p w:rsidR="007C6F18" w:rsidRDefault="007C6F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094A65"/>
    <w:multiLevelType w:val="hybridMultilevel"/>
    <w:tmpl w:val="732CDF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D4927FC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0EE40337"/>
    <w:multiLevelType w:val="hybridMultilevel"/>
    <w:tmpl w:val="ECA87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7">
    <w:nsid w:val="1AC828C6"/>
    <w:multiLevelType w:val="hybridMultilevel"/>
    <w:tmpl w:val="BEEC1F0A"/>
    <w:lvl w:ilvl="0" w:tplc="041D0001">
      <w:start w:val="1"/>
      <w:numFmt w:val="bullet"/>
      <w:lvlText w:val=""/>
      <w:lvlJc w:val="left"/>
      <w:pPr>
        <w:ind w:left="761" w:hanging="360"/>
      </w:pPr>
      <w:rPr>
        <w:rFonts w:ascii="Symbol" w:hAnsi="Symbol" w:hint="default"/>
      </w:rPr>
    </w:lvl>
    <w:lvl w:ilvl="1" w:tplc="041D0003" w:tentative="1">
      <w:start w:val="1"/>
      <w:numFmt w:val="bullet"/>
      <w:lvlText w:val="o"/>
      <w:lvlJc w:val="left"/>
      <w:pPr>
        <w:ind w:left="1481" w:hanging="360"/>
      </w:pPr>
      <w:rPr>
        <w:rFonts w:ascii="Courier New" w:hAnsi="Courier New" w:cs="Courier New" w:hint="default"/>
      </w:rPr>
    </w:lvl>
    <w:lvl w:ilvl="2" w:tplc="041D0005" w:tentative="1">
      <w:start w:val="1"/>
      <w:numFmt w:val="bullet"/>
      <w:lvlText w:val=""/>
      <w:lvlJc w:val="left"/>
      <w:pPr>
        <w:ind w:left="2201" w:hanging="360"/>
      </w:pPr>
      <w:rPr>
        <w:rFonts w:ascii="Wingdings" w:hAnsi="Wingdings" w:hint="default"/>
      </w:rPr>
    </w:lvl>
    <w:lvl w:ilvl="3" w:tplc="041D0001" w:tentative="1">
      <w:start w:val="1"/>
      <w:numFmt w:val="bullet"/>
      <w:lvlText w:val=""/>
      <w:lvlJc w:val="left"/>
      <w:pPr>
        <w:ind w:left="2921" w:hanging="360"/>
      </w:pPr>
      <w:rPr>
        <w:rFonts w:ascii="Symbol" w:hAnsi="Symbol" w:hint="default"/>
      </w:rPr>
    </w:lvl>
    <w:lvl w:ilvl="4" w:tplc="041D0003" w:tentative="1">
      <w:start w:val="1"/>
      <w:numFmt w:val="bullet"/>
      <w:lvlText w:val="o"/>
      <w:lvlJc w:val="left"/>
      <w:pPr>
        <w:ind w:left="3641" w:hanging="360"/>
      </w:pPr>
      <w:rPr>
        <w:rFonts w:ascii="Courier New" w:hAnsi="Courier New" w:cs="Courier New" w:hint="default"/>
      </w:rPr>
    </w:lvl>
    <w:lvl w:ilvl="5" w:tplc="041D0005" w:tentative="1">
      <w:start w:val="1"/>
      <w:numFmt w:val="bullet"/>
      <w:lvlText w:val=""/>
      <w:lvlJc w:val="left"/>
      <w:pPr>
        <w:ind w:left="4361" w:hanging="360"/>
      </w:pPr>
      <w:rPr>
        <w:rFonts w:ascii="Wingdings" w:hAnsi="Wingdings" w:hint="default"/>
      </w:rPr>
    </w:lvl>
    <w:lvl w:ilvl="6" w:tplc="041D0001" w:tentative="1">
      <w:start w:val="1"/>
      <w:numFmt w:val="bullet"/>
      <w:lvlText w:val=""/>
      <w:lvlJc w:val="left"/>
      <w:pPr>
        <w:ind w:left="5081" w:hanging="360"/>
      </w:pPr>
      <w:rPr>
        <w:rFonts w:ascii="Symbol" w:hAnsi="Symbol" w:hint="default"/>
      </w:rPr>
    </w:lvl>
    <w:lvl w:ilvl="7" w:tplc="041D0003" w:tentative="1">
      <w:start w:val="1"/>
      <w:numFmt w:val="bullet"/>
      <w:lvlText w:val="o"/>
      <w:lvlJc w:val="left"/>
      <w:pPr>
        <w:ind w:left="5801" w:hanging="360"/>
      </w:pPr>
      <w:rPr>
        <w:rFonts w:ascii="Courier New" w:hAnsi="Courier New" w:cs="Courier New" w:hint="default"/>
      </w:rPr>
    </w:lvl>
    <w:lvl w:ilvl="8" w:tplc="041D0005" w:tentative="1">
      <w:start w:val="1"/>
      <w:numFmt w:val="bullet"/>
      <w:lvlText w:val=""/>
      <w:lvlJc w:val="left"/>
      <w:pPr>
        <w:ind w:left="6521" w:hanging="360"/>
      </w:pPr>
      <w:rPr>
        <w:rFonts w:ascii="Wingdings" w:hAnsi="Wingdings" w:hint="default"/>
      </w:rPr>
    </w:lvl>
  </w:abstractNum>
  <w:abstractNum w:abstractNumId="8">
    <w:nsid w:val="1B1E7D8D"/>
    <w:multiLevelType w:val="hybridMultilevel"/>
    <w:tmpl w:val="13CE066E"/>
    <w:lvl w:ilvl="0" w:tplc="4E5CA9E4">
      <w:numFmt w:val="bullet"/>
      <w:lvlText w:val="-"/>
      <w:lvlJc w:val="left"/>
      <w:pPr>
        <w:ind w:left="900" w:hanging="420"/>
      </w:pPr>
      <w:rPr>
        <w:rFonts w:ascii="Times New Roman" w:eastAsia="MS Mincho"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1C5D4C9B"/>
    <w:multiLevelType w:val="hybridMultilevel"/>
    <w:tmpl w:val="11843B6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AD7AFC"/>
    <w:multiLevelType w:val="hybridMultilevel"/>
    <w:tmpl w:val="D0F01B0A"/>
    <w:lvl w:ilvl="0" w:tplc="2B5A7252">
      <w:start w:val="402"/>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596251D"/>
    <w:multiLevelType w:val="hybridMultilevel"/>
    <w:tmpl w:val="D88AB37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1332E66"/>
    <w:multiLevelType w:val="hybridMultilevel"/>
    <w:tmpl w:val="92E61C90"/>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nsid w:val="321A46D9"/>
    <w:multiLevelType w:val="hybridMultilevel"/>
    <w:tmpl w:val="82B6E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3976ED6"/>
    <w:multiLevelType w:val="hybridMultilevel"/>
    <w:tmpl w:val="95C66420"/>
    <w:lvl w:ilvl="0" w:tplc="04090001">
      <w:start w:val="1"/>
      <w:numFmt w:val="bullet"/>
      <w:lvlText w:val=""/>
      <w:lvlJc w:val="left"/>
      <w:pPr>
        <w:ind w:left="1050" w:hanging="420"/>
      </w:pPr>
      <w:rPr>
        <w:rFonts w:ascii="Symbol" w:hAnsi="Symbo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nsid w:val="38A9606D"/>
    <w:multiLevelType w:val="multilevel"/>
    <w:tmpl w:val="07162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DD37D54"/>
    <w:multiLevelType w:val="hybridMultilevel"/>
    <w:tmpl w:val="D88AB37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nsid w:val="41453A80"/>
    <w:multiLevelType w:val="hybridMultilevel"/>
    <w:tmpl w:val="DB96B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63C29D2"/>
    <w:multiLevelType w:val="hybridMultilevel"/>
    <w:tmpl w:val="11146FA2"/>
    <w:lvl w:ilvl="0" w:tplc="041D0001">
      <w:start w:val="1"/>
      <w:numFmt w:val="bullet"/>
      <w:lvlText w:val=""/>
      <w:lvlJc w:val="left"/>
      <w:pPr>
        <w:ind w:left="815" w:hanging="360"/>
      </w:pPr>
      <w:rPr>
        <w:rFonts w:ascii="Symbol" w:hAnsi="Symbol" w:hint="default"/>
      </w:rPr>
    </w:lvl>
    <w:lvl w:ilvl="1" w:tplc="041D0003">
      <w:start w:val="1"/>
      <w:numFmt w:val="bullet"/>
      <w:lvlText w:val="o"/>
      <w:lvlJc w:val="left"/>
      <w:pPr>
        <w:ind w:left="1535" w:hanging="360"/>
      </w:pPr>
      <w:rPr>
        <w:rFonts w:ascii="Courier New" w:hAnsi="Courier New" w:cs="Courier New" w:hint="default"/>
      </w:rPr>
    </w:lvl>
    <w:lvl w:ilvl="2" w:tplc="041D0005" w:tentative="1">
      <w:start w:val="1"/>
      <w:numFmt w:val="bullet"/>
      <w:lvlText w:val=""/>
      <w:lvlJc w:val="left"/>
      <w:pPr>
        <w:ind w:left="2255" w:hanging="360"/>
      </w:pPr>
      <w:rPr>
        <w:rFonts w:ascii="Wingdings" w:hAnsi="Wingdings" w:hint="default"/>
      </w:rPr>
    </w:lvl>
    <w:lvl w:ilvl="3" w:tplc="041D0001" w:tentative="1">
      <w:start w:val="1"/>
      <w:numFmt w:val="bullet"/>
      <w:lvlText w:val=""/>
      <w:lvlJc w:val="left"/>
      <w:pPr>
        <w:ind w:left="2975" w:hanging="360"/>
      </w:pPr>
      <w:rPr>
        <w:rFonts w:ascii="Symbol" w:hAnsi="Symbol" w:hint="default"/>
      </w:rPr>
    </w:lvl>
    <w:lvl w:ilvl="4" w:tplc="041D0003" w:tentative="1">
      <w:start w:val="1"/>
      <w:numFmt w:val="bullet"/>
      <w:lvlText w:val="o"/>
      <w:lvlJc w:val="left"/>
      <w:pPr>
        <w:ind w:left="3695" w:hanging="360"/>
      </w:pPr>
      <w:rPr>
        <w:rFonts w:ascii="Courier New" w:hAnsi="Courier New" w:cs="Courier New" w:hint="default"/>
      </w:rPr>
    </w:lvl>
    <w:lvl w:ilvl="5" w:tplc="041D0005" w:tentative="1">
      <w:start w:val="1"/>
      <w:numFmt w:val="bullet"/>
      <w:lvlText w:val=""/>
      <w:lvlJc w:val="left"/>
      <w:pPr>
        <w:ind w:left="4415" w:hanging="360"/>
      </w:pPr>
      <w:rPr>
        <w:rFonts w:ascii="Wingdings" w:hAnsi="Wingdings" w:hint="default"/>
      </w:rPr>
    </w:lvl>
    <w:lvl w:ilvl="6" w:tplc="041D0001" w:tentative="1">
      <w:start w:val="1"/>
      <w:numFmt w:val="bullet"/>
      <w:lvlText w:val=""/>
      <w:lvlJc w:val="left"/>
      <w:pPr>
        <w:ind w:left="5135" w:hanging="360"/>
      </w:pPr>
      <w:rPr>
        <w:rFonts w:ascii="Symbol" w:hAnsi="Symbol" w:hint="default"/>
      </w:rPr>
    </w:lvl>
    <w:lvl w:ilvl="7" w:tplc="041D0003" w:tentative="1">
      <w:start w:val="1"/>
      <w:numFmt w:val="bullet"/>
      <w:lvlText w:val="o"/>
      <w:lvlJc w:val="left"/>
      <w:pPr>
        <w:ind w:left="5855" w:hanging="360"/>
      </w:pPr>
      <w:rPr>
        <w:rFonts w:ascii="Courier New" w:hAnsi="Courier New" w:cs="Courier New" w:hint="default"/>
      </w:rPr>
    </w:lvl>
    <w:lvl w:ilvl="8" w:tplc="041D0005" w:tentative="1">
      <w:start w:val="1"/>
      <w:numFmt w:val="bullet"/>
      <w:lvlText w:val=""/>
      <w:lvlJc w:val="left"/>
      <w:pPr>
        <w:ind w:left="6575" w:hanging="360"/>
      </w:pPr>
      <w:rPr>
        <w:rFonts w:ascii="Wingdings" w:hAnsi="Wingdings" w:hint="default"/>
      </w:rPr>
    </w:lvl>
  </w:abstractNum>
  <w:abstractNum w:abstractNumId="23">
    <w:nsid w:val="49AD2B82"/>
    <w:multiLevelType w:val="hybridMultilevel"/>
    <w:tmpl w:val="A43AA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1B72CB"/>
    <w:multiLevelType w:val="hybridMultilevel"/>
    <w:tmpl w:val="A7866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D858BF"/>
    <w:multiLevelType w:val="hybridMultilevel"/>
    <w:tmpl w:val="A29CAA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A714731"/>
    <w:multiLevelType w:val="hybridMultilevel"/>
    <w:tmpl w:val="06EE2AFC"/>
    <w:lvl w:ilvl="0" w:tplc="EB327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985491"/>
    <w:multiLevelType w:val="hybridMultilevel"/>
    <w:tmpl w:val="80CA5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C26978"/>
    <w:multiLevelType w:val="hybridMultilevel"/>
    <w:tmpl w:val="9AA63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091479C"/>
    <w:multiLevelType w:val="hybridMultilevel"/>
    <w:tmpl w:val="F4E6BC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8D134D"/>
    <w:multiLevelType w:val="hybridMultilevel"/>
    <w:tmpl w:val="4A9A4C9A"/>
    <w:lvl w:ilvl="0" w:tplc="09B4AB34">
      <w:start w:val="1"/>
      <w:numFmt w:val="bullet"/>
      <w:lvlText w:val="•"/>
      <w:lvlJc w:val="left"/>
      <w:pPr>
        <w:tabs>
          <w:tab w:val="num" w:pos="720"/>
        </w:tabs>
        <w:ind w:left="720" w:hanging="360"/>
      </w:pPr>
      <w:rPr>
        <w:rFonts w:ascii="Arial" w:hAnsi="Arial" w:hint="default"/>
      </w:rPr>
    </w:lvl>
    <w:lvl w:ilvl="1" w:tplc="7B3C45DE">
      <w:numFmt w:val="bullet"/>
      <w:lvlText w:val="–"/>
      <w:lvlJc w:val="left"/>
      <w:pPr>
        <w:tabs>
          <w:tab w:val="num" w:pos="1440"/>
        </w:tabs>
        <w:ind w:left="1440" w:hanging="360"/>
      </w:pPr>
      <w:rPr>
        <w:rFonts w:ascii="Arial" w:hAnsi="Arial" w:hint="default"/>
      </w:rPr>
    </w:lvl>
    <w:lvl w:ilvl="2" w:tplc="B11E7430">
      <w:numFmt w:val="bullet"/>
      <w:lvlText w:val="•"/>
      <w:lvlJc w:val="left"/>
      <w:pPr>
        <w:tabs>
          <w:tab w:val="num" w:pos="2160"/>
        </w:tabs>
        <w:ind w:left="2160" w:hanging="360"/>
      </w:pPr>
      <w:rPr>
        <w:rFonts w:ascii="Arial" w:hAnsi="Arial" w:hint="default"/>
      </w:rPr>
    </w:lvl>
    <w:lvl w:ilvl="3" w:tplc="F3C0B59C" w:tentative="1">
      <w:start w:val="1"/>
      <w:numFmt w:val="bullet"/>
      <w:lvlText w:val="•"/>
      <w:lvlJc w:val="left"/>
      <w:pPr>
        <w:tabs>
          <w:tab w:val="num" w:pos="2880"/>
        </w:tabs>
        <w:ind w:left="2880" w:hanging="360"/>
      </w:pPr>
      <w:rPr>
        <w:rFonts w:ascii="Arial" w:hAnsi="Arial" w:hint="default"/>
      </w:rPr>
    </w:lvl>
    <w:lvl w:ilvl="4" w:tplc="C94AA1BC" w:tentative="1">
      <w:start w:val="1"/>
      <w:numFmt w:val="bullet"/>
      <w:lvlText w:val="•"/>
      <w:lvlJc w:val="left"/>
      <w:pPr>
        <w:tabs>
          <w:tab w:val="num" w:pos="3600"/>
        </w:tabs>
        <w:ind w:left="3600" w:hanging="360"/>
      </w:pPr>
      <w:rPr>
        <w:rFonts w:ascii="Arial" w:hAnsi="Arial" w:hint="default"/>
      </w:rPr>
    </w:lvl>
    <w:lvl w:ilvl="5" w:tplc="3450335A" w:tentative="1">
      <w:start w:val="1"/>
      <w:numFmt w:val="bullet"/>
      <w:lvlText w:val="•"/>
      <w:lvlJc w:val="left"/>
      <w:pPr>
        <w:tabs>
          <w:tab w:val="num" w:pos="4320"/>
        </w:tabs>
        <w:ind w:left="4320" w:hanging="360"/>
      </w:pPr>
      <w:rPr>
        <w:rFonts w:ascii="Arial" w:hAnsi="Arial" w:hint="default"/>
      </w:rPr>
    </w:lvl>
    <w:lvl w:ilvl="6" w:tplc="7DBC1D5C" w:tentative="1">
      <w:start w:val="1"/>
      <w:numFmt w:val="bullet"/>
      <w:lvlText w:val="•"/>
      <w:lvlJc w:val="left"/>
      <w:pPr>
        <w:tabs>
          <w:tab w:val="num" w:pos="5040"/>
        </w:tabs>
        <w:ind w:left="5040" w:hanging="360"/>
      </w:pPr>
      <w:rPr>
        <w:rFonts w:ascii="Arial" w:hAnsi="Arial" w:hint="default"/>
      </w:rPr>
    </w:lvl>
    <w:lvl w:ilvl="7" w:tplc="D64A838C" w:tentative="1">
      <w:start w:val="1"/>
      <w:numFmt w:val="bullet"/>
      <w:lvlText w:val="•"/>
      <w:lvlJc w:val="left"/>
      <w:pPr>
        <w:tabs>
          <w:tab w:val="num" w:pos="5760"/>
        </w:tabs>
        <w:ind w:left="5760" w:hanging="360"/>
      </w:pPr>
      <w:rPr>
        <w:rFonts w:ascii="Arial" w:hAnsi="Arial" w:hint="default"/>
      </w:rPr>
    </w:lvl>
    <w:lvl w:ilvl="8" w:tplc="F578C4C8" w:tentative="1">
      <w:start w:val="1"/>
      <w:numFmt w:val="bullet"/>
      <w:lvlText w:val="•"/>
      <w:lvlJc w:val="left"/>
      <w:pPr>
        <w:tabs>
          <w:tab w:val="num" w:pos="6480"/>
        </w:tabs>
        <w:ind w:left="6480" w:hanging="360"/>
      </w:pPr>
      <w:rPr>
        <w:rFonts w:ascii="Arial" w:hAnsi="Arial" w:hint="default"/>
      </w:rPr>
    </w:lvl>
  </w:abstractNum>
  <w:abstractNum w:abstractNumId="36">
    <w:nsid w:val="75A641D2"/>
    <w:multiLevelType w:val="hybridMultilevel"/>
    <w:tmpl w:val="9A66DF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32"/>
  </w:num>
  <w:num w:numId="4">
    <w:abstractNumId w:val="15"/>
  </w:num>
  <w:num w:numId="5">
    <w:abstractNumId w:val="37"/>
  </w:num>
  <w:num w:numId="6">
    <w:abstractNumId w:val="34"/>
  </w:num>
  <w:num w:numId="7">
    <w:abstractNumId w:val="18"/>
  </w:num>
  <w:num w:numId="8">
    <w:abstractNumId w:val="4"/>
  </w:num>
  <w:num w:numId="9">
    <w:abstractNumId w:val="14"/>
  </w:num>
  <w:num w:numId="10">
    <w:abstractNumId w:val="24"/>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9"/>
  </w:num>
  <w:num w:numId="15">
    <w:abstractNumId w:val="12"/>
  </w:num>
  <w:num w:numId="16">
    <w:abstractNumId w:val="4"/>
  </w:num>
  <w:num w:numId="17">
    <w:abstractNumId w:val="2"/>
  </w:num>
  <w:num w:numId="18">
    <w:abstractNumId w:val="4"/>
  </w:num>
  <w:num w:numId="19">
    <w:abstractNumId w:val="9"/>
  </w:num>
  <w:num w:numId="20">
    <w:abstractNumId w:val="16"/>
  </w:num>
  <w:num w:numId="21">
    <w:abstractNumId w:val="4"/>
  </w:num>
  <w:num w:numId="22">
    <w:abstractNumId w:val="4"/>
  </w:num>
  <w:num w:numId="23">
    <w:abstractNumId w:val="10"/>
  </w:num>
  <w:num w:numId="24">
    <w:abstractNumId w:val="27"/>
  </w:num>
  <w:num w:numId="25">
    <w:abstractNumId w:val="26"/>
  </w:num>
  <w:num w:numId="26">
    <w:abstractNumId w:val="5"/>
  </w:num>
  <w:num w:numId="27">
    <w:abstractNumId w:val="30"/>
  </w:num>
  <w:num w:numId="28">
    <w:abstractNumId w:val="23"/>
  </w:num>
  <w:num w:numId="29">
    <w:abstractNumId w:val="8"/>
  </w:num>
  <w:num w:numId="30">
    <w:abstractNumId w:val="35"/>
  </w:num>
  <w:num w:numId="31">
    <w:abstractNumId w:val="33"/>
  </w:num>
  <w:num w:numId="32">
    <w:abstractNumId w:val="22"/>
  </w:num>
  <w:num w:numId="33">
    <w:abstractNumId w:val="1"/>
  </w:num>
  <w:num w:numId="34">
    <w:abstractNumId w:val="21"/>
  </w:num>
  <w:num w:numId="35">
    <w:abstractNumId w:val="3"/>
  </w:num>
  <w:num w:numId="36">
    <w:abstractNumId w:val="7"/>
  </w:num>
  <w:num w:numId="37">
    <w:abstractNumId w:val="13"/>
  </w:num>
  <w:num w:numId="38">
    <w:abstractNumId w:val="20"/>
  </w:num>
  <w:num w:numId="39">
    <w:abstractNumId w:val="31"/>
  </w:num>
  <w:num w:numId="40">
    <w:abstractNumId w:val="25"/>
  </w:num>
  <w:num w:numId="41">
    <w:abstractNumId w:val="36"/>
  </w:num>
  <w:num w:numId="42">
    <w:abstractNumId w:val="19"/>
  </w:num>
  <w:num w:numId="4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6451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1B90"/>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4EC"/>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0E53"/>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2D0"/>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27A"/>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611"/>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C99"/>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20E4"/>
    <w:rsid w:val="001E2B94"/>
    <w:rsid w:val="001E2EC7"/>
    <w:rsid w:val="001E2EDD"/>
    <w:rsid w:val="001E3620"/>
    <w:rsid w:val="001E3BAB"/>
    <w:rsid w:val="001E3FC0"/>
    <w:rsid w:val="001E57CC"/>
    <w:rsid w:val="001E5F8C"/>
    <w:rsid w:val="001E61B2"/>
    <w:rsid w:val="001E67F2"/>
    <w:rsid w:val="001E6D1A"/>
    <w:rsid w:val="001E74AD"/>
    <w:rsid w:val="001E7621"/>
    <w:rsid w:val="001E78E0"/>
    <w:rsid w:val="001F01CC"/>
    <w:rsid w:val="001F0D8F"/>
    <w:rsid w:val="001F10BF"/>
    <w:rsid w:val="001F1317"/>
    <w:rsid w:val="001F1D9B"/>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960"/>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B49"/>
    <w:rsid w:val="00211145"/>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27E29"/>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1B"/>
    <w:rsid w:val="002E52E4"/>
    <w:rsid w:val="002E57EC"/>
    <w:rsid w:val="002E5B09"/>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7DC"/>
    <w:rsid w:val="002F48DF"/>
    <w:rsid w:val="002F49B9"/>
    <w:rsid w:val="002F4F99"/>
    <w:rsid w:val="002F503A"/>
    <w:rsid w:val="002F53DB"/>
    <w:rsid w:val="002F5A2B"/>
    <w:rsid w:val="002F5AD0"/>
    <w:rsid w:val="002F626C"/>
    <w:rsid w:val="002F667F"/>
    <w:rsid w:val="002F6CBA"/>
    <w:rsid w:val="002F6CF7"/>
    <w:rsid w:val="002F6D3C"/>
    <w:rsid w:val="003001C8"/>
    <w:rsid w:val="003001DE"/>
    <w:rsid w:val="00300426"/>
    <w:rsid w:val="003004A4"/>
    <w:rsid w:val="0030076C"/>
    <w:rsid w:val="00300DC9"/>
    <w:rsid w:val="003017DB"/>
    <w:rsid w:val="00301863"/>
    <w:rsid w:val="00301C27"/>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4D98"/>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786"/>
    <w:rsid w:val="0033198D"/>
    <w:rsid w:val="00331AFA"/>
    <w:rsid w:val="00331DC0"/>
    <w:rsid w:val="00332157"/>
    <w:rsid w:val="00332309"/>
    <w:rsid w:val="00332352"/>
    <w:rsid w:val="0033240D"/>
    <w:rsid w:val="003337CC"/>
    <w:rsid w:val="003337F6"/>
    <w:rsid w:val="003339FE"/>
    <w:rsid w:val="00333F00"/>
    <w:rsid w:val="00334887"/>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6E"/>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0FA8"/>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243"/>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61"/>
    <w:rsid w:val="003D4B9A"/>
    <w:rsid w:val="003D51FC"/>
    <w:rsid w:val="003D5276"/>
    <w:rsid w:val="003D5377"/>
    <w:rsid w:val="003D572D"/>
    <w:rsid w:val="003D5B0B"/>
    <w:rsid w:val="003D634E"/>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4CB"/>
    <w:rsid w:val="00417537"/>
    <w:rsid w:val="00417586"/>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5D"/>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47D4F"/>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C40"/>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35"/>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69F"/>
    <w:rsid w:val="00477970"/>
    <w:rsid w:val="00477CD7"/>
    <w:rsid w:val="00477E0D"/>
    <w:rsid w:val="00480D48"/>
    <w:rsid w:val="00481663"/>
    <w:rsid w:val="0048172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6916"/>
    <w:rsid w:val="004C7323"/>
    <w:rsid w:val="004D03C8"/>
    <w:rsid w:val="004D05AE"/>
    <w:rsid w:val="004D05F0"/>
    <w:rsid w:val="004D0951"/>
    <w:rsid w:val="004D0BD1"/>
    <w:rsid w:val="004D1169"/>
    <w:rsid w:val="004D1A1A"/>
    <w:rsid w:val="004D1C0C"/>
    <w:rsid w:val="004D25C5"/>
    <w:rsid w:val="004D2987"/>
    <w:rsid w:val="004D2EF9"/>
    <w:rsid w:val="004D37F0"/>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E63"/>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6F55"/>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B4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DFE"/>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4B3"/>
    <w:rsid w:val="005D65C5"/>
    <w:rsid w:val="005D7038"/>
    <w:rsid w:val="005D7056"/>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62C"/>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42D"/>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341"/>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D3D"/>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0F35"/>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CF9"/>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536"/>
    <w:rsid w:val="006D36E1"/>
    <w:rsid w:val="006D395D"/>
    <w:rsid w:val="006D39A2"/>
    <w:rsid w:val="006D3C0B"/>
    <w:rsid w:val="006D3E34"/>
    <w:rsid w:val="006D3F6F"/>
    <w:rsid w:val="006D3F7E"/>
    <w:rsid w:val="006D41CF"/>
    <w:rsid w:val="006D444D"/>
    <w:rsid w:val="006D451E"/>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6DB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6CE8"/>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4CF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87A"/>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6496"/>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6F18"/>
    <w:rsid w:val="007C7FD8"/>
    <w:rsid w:val="007D0416"/>
    <w:rsid w:val="007D0549"/>
    <w:rsid w:val="007D0E76"/>
    <w:rsid w:val="007D112D"/>
    <w:rsid w:val="007D18DD"/>
    <w:rsid w:val="007D1A84"/>
    <w:rsid w:val="007D1DF3"/>
    <w:rsid w:val="007D2CA1"/>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43F"/>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914"/>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43C"/>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5A"/>
    <w:rsid w:val="00920A6A"/>
    <w:rsid w:val="00920D76"/>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1F8D"/>
    <w:rsid w:val="00942244"/>
    <w:rsid w:val="009433B7"/>
    <w:rsid w:val="00943491"/>
    <w:rsid w:val="00943A39"/>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5FE9"/>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034"/>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FA"/>
    <w:rsid w:val="009D26E5"/>
    <w:rsid w:val="009D2E38"/>
    <w:rsid w:val="009D2EE2"/>
    <w:rsid w:val="009D318C"/>
    <w:rsid w:val="009D35FD"/>
    <w:rsid w:val="009D3DC3"/>
    <w:rsid w:val="009D3FAD"/>
    <w:rsid w:val="009D4229"/>
    <w:rsid w:val="009D4891"/>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D6B"/>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6364"/>
    <w:rsid w:val="00A270A0"/>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2A"/>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5E4"/>
    <w:rsid w:val="00A4762D"/>
    <w:rsid w:val="00A4779E"/>
    <w:rsid w:val="00A47D0C"/>
    <w:rsid w:val="00A50453"/>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C05"/>
    <w:rsid w:val="00AC6C4A"/>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27166"/>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D0D"/>
    <w:rsid w:val="00BE3F8D"/>
    <w:rsid w:val="00BE3FED"/>
    <w:rsid w:val="00BE477F"/>
    <w:rsid w:val="00BE4AB1"/>
    <w:rsid w:val="00BE59E0"/>
    <w:rsid w:val="00BE5CD9"/>
    <w:rsid w:val="00BE6258"/>
    <w:rsid w:val="00BE66F9"/>
    <w:rsid w:val="00BE6C26"/>
    <w:rsid w:val="00BF08D1"/>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3D84"/>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AE6"/>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28A"/>
    <w:rsid w:val="00CD2537"/>
    <w:rsid w:val="00CD2C99"/>
    <w:rsid w:val="00CD2D0D"/>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64A"/>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33"/>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34"/>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745"/>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0B7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27E"/>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1B2"/>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3F29"/>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194"/>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421F"/>
    <w:rsid w:val="00F642AD"/>
    <w:rsid w:val="00F648E0"/>
    <w:rsid w:val="00F6490F"/>
    <w:rsid w:val="00F64BE7"/>
    <w:rsid w:val="00F658BA"/>
    <w:rsid w:val="00F65AFB"/>
    <w:rsid w:val="00F65D25"/>
    <w:rsid w:val="00F65E6C"/>
    <w:rsid w:val="00F666E5"/>
    <w:rsid w:val="00F6681B"/>
    <w:rsid w:val="00F66D06"/>
    <w:rsid w:val="00F66DB7"/>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43C"/>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587C"/>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2B6A"/>
    <w:rsid w:val="00FF3959"/>
    <w:rsid w:val="00FF3A76"/>
    <w:rsid w:val="00FF3C3A"/>
    <w:rsid w:val="00FF3D24"/>
    <w:rsid w:val="00FF4451"/>
    <w:rsid w:val="00FF4C4D"/>
    <w:rsid w:val="00FF4E12"/>
    <w:rsid w:val="00FF4F4D"/>
    <w:rsid w:val="00FF51BC"/>
    <w:rsid w:val="00FF5559"/>
    <w:rsid w:val="00FF5583"/>
    <w:rsid w:val="00FF58CF"/>
    <w:rsid w:val="00FF60B3"/>
    <w:rsid w:val="00FF69B1"/>
    <w:rsid w:val="00FF6A77"/>
    <w:rsid w:val="00FF6F40"/>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 w:type="character" w:customStyle="1" w:styleId="ordinary-span-edit2">
    <w:name w:val="ordinary-span-edit2"/>
    <w:basedOn w:val="DefaultParagraphFont"/>
    <w:rsid w:val="006D3536"/>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79793390">
      <w:bodyDiv w:val="1"/>
      <w:marLeft w:val="0"/>
      <w:marRight w:val="0"/>
      <w:marTop w:val="0"/>
      <w:marBottom w:val="0"/>
      <w:divBdr>
        <w:top w:val="none" w:sz="0" w:space="0" w:color="auto"/>
        <w:left w:val="none" w:sz="0" w:space="0" w:color="auto"/>
        <w:bottom w:val="none" w:sz="0" w:space="0" w:color="auto"/>
        <w:right w:val="none" w:sz="0" w:space="0" w:color="auto"/>
      </w:divBdr>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B55B4-6728-4846-B737-2704D04C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1346</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8469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3</cp:revision>
  <cp:lastPrinted>2010-08-09T03:27:00Z</cp:lastPrinted>
  <dcterms:created xsi:type="dcterms:W3CDTF">2016-11-03T15:48:00Z</dcterms:created>
  <dcterms:modified xsi:type="dcterms:W3CDTF">2016-11-03T16:01:00Z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