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2441F4">
        <w:rPr>
          <w:rFonts w:ascii="Arial" w:hAnsi="Arial" w:cs="Arial"/>
          <w:b/>
          <w:bCs/>
          <w:sz w:val="22"/>
          <w:lang w:val="en-GB"/>
        </w:rPr>
        <w:t>7</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1F576E">
        <w:rPr>
          <w:rFonts w:ascii="Arial" w:hAnsi="Arial" w:cs="Arial"/>
          <w:b/>
          <w:bCs/>
          <w:sz w:val="22"/>
          <w:lang w:val="en-GB"/>
        </w:rPr>
        <w:t>1127</w:t>
      </w:r>
      <w:r w:rsidR="005F1A7F">
        <w:rPr>
          <w:rFonts w:ascii="Arial" w:hAnsi="Arial" w:cs="Arial"/>
          <w:b/>
          <w:bCs/>
          <w:sz w:val="22"/>
          <w:lang w:val="en-GB"/>
        </w:rPr>
        <w:t>2</w:t>
      </w:r>
      <w:r w:rsidR="00A569A4" w:rsidRPr="00525CF4">
        <w:rPr>
          <w:rFonts w:ascii="Arial" w:hAnsi="Arial" w:cs="Arial" w:hint="eastAsia"/>
          <w:b/>
          <w:bCs/>
          <w:sz w:val="22"/>
          <w:lang w:val="en-GB"/>
        </w:rPr>
        <w:t xml:space="preserve"> </w:t>
      </w:r>
    </w:p>
    <w:p w:rsidR="00A569A4" w:rsidRPr="00525CF4" w:rsidRDefault="002441F4"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Reno</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4</w:t>
      </w:r>
      <w:r w:rsidR="00DF219B">
        <w:rPr>
          <w:rFonts w:ascii="Arial" w:hAnsi="Arial" w:cs="Arial"/>
          <w:b/>
          <w:bCs/>
          <w:sz w:val="22"/>
          <w:lang w:val="en-GB"/>
        </w:rPr>
        <w:t>th</w:t>
      </w:r>
      <w:r w:rsidR="00A569A4" w:rsidRPr="00525CF4">
        <w:rPr>
          <w:rFonts w:ascii="Arial" w:hAnsi="Arial" w:cs="Arial"/>
          <w:b/>
          <w:bCs/>
          <w:sz w:val="22"/>
          <w:lang w:val="en-GB"/>
        </w:rPr>
        <w:t xml:space="preserve"> - </w:t>
      </w:r>
      <w:r w:rsidR="00DF219B">
        <w:rPr>
          <w:rFonts w:ascii="Arial" w:hAnsi="Arial" w:cs="Arial"/>
          <w:b/>
          <w:bCs/>
          <w:sz w:val="22"/>
          <w:lang w:val="en-GB"/>
        </w:rPr>
        <w:t>1</w:t>
      </w:r>
      <w:r>
        <w:rPr>
          <w:rFonts w:ascii="Arial" w:hAnsi="Arial" w:cs="Arial"/>
          <w:b/>
          <w:bCs/>
          <w:sz w:val="22"/>
          <w:lang w:val="en-GB"/>
        </w:rPr>
        <w:t>8</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Novem</w:t>
      </w:r>
      <w:r w:rsidR="00DF219B">
        <w:rPr>
          <w:rFonts w:ascii="Arial" w:hAnsi="Arial" w:cs="Arial"/>
          <w:b/>
          <w:bCs/>
          <w:sz w:val="22"/>
          <w:lang w:val="en-GB"/>
        </w:rPr>
        <w:t>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BF60C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5F1A7F">
        <w:rPr>
          <w:rFonts w:ascii="Arial" w:hAnsi="Arial" w:cs="Arial"/>
          <w:b/>
          <w:bCs/>
          <w:sz w:val="22"/>
          <w:lang w:val="en-GB"/>
        </w:rPr>
        <w:t>Overview of NR initial access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2441F4">
        <w:rPr>
          <w:rFonts w:ascii="Arial" w:hAnsi="Arial" w:cs="Arial"/>
          <w:b/>
          <w:bCs/>
          <w:sz w:val="22"/>
          <w:lang w:val="en-GB"/>
        </w:rPr>
        <w:t>7</w:t>
      </w:r>
      <w:r w:rsidR="000E3FBD">
        <w:rPr>
          <w:rFonts w:ascii="Arial" w:hAnsi="Arial" w:cs="Arial"/>
          <w:b/>
          <w:bCs/>
          <w:sz w:val="22"/>
          <w:lang w:val="en-GB"/>
        </w:rPr>
        <w:t>.1.</w:t>
      </w:r>
      <w:r w:rsidR="002441F4">
        <w:rPr>
          <w:rFonts w:ascii="Arial" w:hAnsi="Arial" w:cs="Arial"/>
          <w:b/>
          <w:bCs/>
          <w:sz w:val="22"/>
          <w:lang w:val="en-GB"/>
        </w:rPr>
        <w:t>2</w:t>
      </w:r>
      <w:r w:rsidR="00B05888">
        <w:rPr>
          <w:rFonts w:ascii="Arial" w:hAnsi="Arial" w:cs="Arial"/>
          <w:b/>
          <w:bCs/>
          <w:sz w:val="22"/>
          <w:lang w:val="en-GB"/>
        </w:rPr>
        <w:t>.</w:t>
      </w:r>
      <w:r w:rsidR="005F1A7F">
        <w:rPr>
          <w:rFonts w:ascii="Arial" w:hAnsi="Arial" w:cs="Arial"/>
          <w:b/>
          <w:bCs/>
          <w:sz w:val="22"/>
          <w:lang w:val="en-GB"/>
        </w:rPr>
        <w:t>4</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3372CB">
      <w:pPr>
        <w:pStyle w:val="Heading2"/>
        <w:numPr>
          <w:ilvl w:val="0"/>
          <w:numId w:val="13"/>
        </w:numPr>
      </w:pPr>
      <w:r>
        <w:t>Introduction</w:t>
      </w:r>
    </w:p>
    <w:p w:rsidR="00247C07" w:rsidRPr="005B0B97" w:rsidRDefault="005F1A7F" w:rsidP="009E555F">
      <w:pPr>
        <w:adjustRightInd/>
        <w:snapToGrid w:val="0"/>
        <w:spacing w:after="120"/>
        <w:jc w:val="both"/>
      </w:pPr>
      <w:r>
        <w:t>In this contribution, we present an overview of the</w:t>
      </w:r>
      <w:r w:rsidR="0003152A">
        <w:t xml:space="preserve"> baseline</w:t>
      </w:r>
      <w:r>
        <w:t xml:space="preserve"> NR initial access for idle UEs</w:t>
      </w:r>
      <w:r w:rsidR="00A545BA">
        <w:t xml:space="preserve">, based on agreements and our </w:t>
      </w:r>
      <w:r w:rsidR="0003152A">
        <w:t xml:space="preserve">additional </w:t>
      </w:r>
      <w:r w:rsidR="00A545BA">
        <w:t>proposals</w:t>
      </w:r>
      <w:r>
        <w:t xml:space="preserve">. </w:t>
      </w:r>
      <w:r w:rsidR="009F4FB8">
        <w:t xml:space="preserve">No </w:t>
      </w:r>
      <w:r w:rsidR="0003152A">
        <w:t>new</w:t>
      </w:r>
      <w:r w:rsidR="00A545BA">
        <w:t xml:space="preserve"> proposals are presented in this contribution</w:t>
      </w:r>
      <w:r w:rsidR="009F4FB8">
        <w:t>.</w:t>
      </w:r>
    </w:p>
    <w:p w:rsidR="00A7317C" w:rsidRPr="00B8312D" w:rsidRDefault="005F1A7F" w:rsidP="003372CB">
      <w:pPr>
        <w:pStyle w:val="Heading2"/>
        <w:numPr>
          <w:ilvl w:val="0"/>
          <w:numId w:val="13"/>
        </w:numPr>
      </w:pPr>
      <w:r>
        <w:t>Before Random Access</w:t>
      </w:r>
    </w:p>
    <w:p w:rsidR="00C561C8" w:rsidRPr="00C561C8" w:rsidRDefault="00C561C8" w:rsidP="00D261BF">
      <w:pPr>
        <w:adjustRightInd/>
        <w:snapToGrid w:val="0"/>
        <w:spacing w:before="240" w:after="120"/>
        <w:jc w:val="both"/>
        <w:rPr>
          <w:b/>
          <w:u w:val="single"/>
          <w:lang w:val="en-GB"/>
        </w:rPr>
      </w:pPr>
      <w:r w:rsidRPr="00C561C8">
        <w:rPr>
          <w:b/>
          <w:u w:val="single"/>
          <w:lang w:val="en-GB"/>
        </w:rPr>
        <w:t>DL Signal Structure:</w:t>
      </w:r>
    </w:p>
    <w:p w:rsidR="00C5567E" w:rsidRDefault="009F4FB8" w:rsidP="00D261BF">
      <w:pPr>
        <w:adjustRightInd/>
        <w:snapToGrid w:val="0"/>
        <w:spacing w:before="240" w:after="120"/>
        <w:jc w:val="both"/>
        <w:rPr>
          <w:lang w:val="en-GB"/>
        </w:rPr>
      </w:pPr>
      <w:r>
        <w:rPr>
          <w:lang w:val="en-GB"/>
        </w:rPr>
        <w:t xml:space="preserve">Idle mode mobility is based on DL signals corresponding to cells </w:t>
      </w:r>
      <w:r w:rsidR="008018B0">
        <w:rPr>
          <w:lang w:val="en-GB"/>
        </w:rPr>
        <w:fldChar w:fldCharType="begin"/>
      </w:r>
      <w:r>
        <w:rPr>
          <w:lang w:val="en-GB"/>
        </w:rPr>
        <w:instrText xml:space="preserve"> REF _Ref465981458 \n \h </w:instrText>
      </w:r>
      <w:r w:rsidR="008018B0">
        <w:rPr>
          <w:lang w:val="en-GB"/>
        </w:rPr>
      </w:r>
      <w:r w:rsidR="008018B0">
        <w:rPr>
          <w:lang w:val="en-GB"/>
        </w:rPr>
        <w:fldChar w:fldCharType="separate"/>
      </w:r>
      <w:r w:rsidR="00BF60CE">
        <w:rPr>
          <w:lang w:val="en-GB"/>
        </w:rPr>
        <w:t>[1]</w:t>
      </w:r>
      <w:r w:rsidR="008018B0">
        <w:rPr>
          <w:lang w:val="en-GB"/>
        </w:rPr>
        <w:fldChar w:fldCharType="end"/>
      </w:r>
      <w:r>
        <w:rPr>
          <w:lang w:val="en-GB"/>
        </w:rPr>
        <w:t xml:space="preserve">. The primary cell-specific signals for the idle UE are NR-SS </w:t>
      </w:r>
      <w:r w:rsidR="008018B0">
        <w:rPr>
          <w:lang w:val="en-GB"/>
        </w:rPr>
        <w:fldChar w:fldCharType="begin"/>
      </w:r>
      <w:r>
        <w:rPr>
          <w:lang w:val="en-GB"/>
        </w:rPr>
        <w:instrText xml:space="preserve"> REF _Ref465981446 \n \h </w:instrText>
      </w:r>
      <w:r w:rsidR="008018B0">
        <w:rPr>
          <w:lang w:val="en-GB"/>
        </w:rPr>
      </w:r>
      <w:r w:rsidR="008018B0">
        <w:rPr>
          <w:lang w:val="en-GB"/>
        </w:rPr>
        <w:fldChar w:fldCharType="separate"/>
      </w:r>
      <w:r w:rsidR="00BF60CE">
        <w:rPr>
          <w:lang w:val="en-GB"/>
        </w:rPr>
        <w:t>[2]</w:t>
      </w:r>
      <w:r w:rsidR="008018B0">
        <w:rPr>
          <w:lang w:val="en-GB"/>
        </w:rPr>
        <w:fldChar w:fldCharType="end"/>
      </w:r>
      <w:r>
        <w:rPr>
          <w:lang w:val="en-GB"/>
        </w:rPr>
        <w:t xml:space="preserve"> and PBCH </w:t>
      </w:r>
      <w:r w:rsidR="008018B0">
        <w:rPr>
          <w:lang w:val="en-GB"/>
        </w:rPr>
        <w:fldChar w:fldCharType="begin"/>
      </w:r>
      <w:r>
        <w:rPr>
          <w:lang w:val="en-GB"/>
        </w:rPr>
        <w:instrText xml:space="preserve"> REF _Ref465981467 \n \h </w:instrText>
      </w:r>
      <w:r w:rsidR="008018B0">
        <w:rPr>
          <w:lang w:val="en-GB"/>
        </w:rPr>
      </w:r>
      <w:r w:rsidR="008018B0">
        <w:rPr>
          <w:lang w:val="en-GB"/>
        </w:rPr>
        <w:fldChar w:fldCharType="separate"/>
      </w:r>
      <w:r w:rsidR="00BF60CE">
        <w:rPr>
          <w:lang w:val="en-GB"/>
        </w:rPr>
        <w:t>[6]</w:t>
      </w:r>
      <w:r w:rsidR="008018B0">
        <w:rPr>
          <w:lang w:val="en-GB"/>
        </w:rPr>
        <w:fldChar w:fldCharType="end"/>
      </w:r>
      <w:r>
        <w:rPr>
          <w:lang w:val="en-GB"/>
        </w:rPr>
        <w:t>.</w:t>
      </w:r>
    </w:p>
    <w:p w:rsidR="009F4FB8" w:rsidRDefault="002D5F26" w:rsidP="00D261BF">
      <w:pPr>
        <w:adjustRightInd/>
        <w:snapToGrid w:val="0"/>
        <w:spacing w:before="240" w:after="120"/>
        <w:jc w:val="both"/>
        <w:rPr>
          <w:lang w:val="en-GB"/>
        </w:rPr>
      </w:pPr>
      <w:r>
        <w:rPr>
          <w:lang w:val="en-GB"/>
        </w:rPr>
        <w:t>The always-on</w:t>
      </w:r>
      <w:r w:rsidR="009F4FB8">
        <w:rPr>
          <w:lang w:val="en-GB"/>
        </w:rPr>
        <w:t xml:space="preserve"> DL signals are arranged in a periodically transmitted structure called SS burst set </w:t>
      </w:r>
      <w:r w:rsidR="008018B0">
        <w:rPr>
          <w:lang w:val="en-GB"/>
        </w:rPr>
        <w:fldChar w:fldCharType="begin"/>
      </w:r>
      <w:r w:rsidR="009F4FB8">
        <w:rPr>
          <w:lang w:val="en-GB"/>
        </w:rPr>
        <w:instrText xml:space="preserve"> REF _Ref465981603 \n \h </w:instrText>
      </w:r>
      <w:r w:rsidR="008018B0">
        <w:rPr>
          <w:lang w:val="en-GB"/>
        </w:rPr>
      </w:r>
      <w:r w:rsidR="008018B0">
        <w:rPr>
          <w:lang w:val="en-GB"/>
        </w:rPr>
        <w:fldChar w:fldCharType="separate"/>
      </w:r>
      <w:r w:rsidR="00BF60CE">
        <w:rPr>
          <w:lang w:val="en-GB"/>
        </w:rPr>
        <w:t>[4]</w:t>
      </w:r>
      <w:r w:rsidR="008018B0">
        <w:rPr>
          <w:lang w:val="en-GB"/>
        </w:rPr>
        <w:fldChar w:fldCharType="end"/>
      </w:r>
      <w:r w:rsidR="009F4FB8">
        <w:rPr>
          <w:lang w:val="en-GB"/>
        </w:rPr>
        <w:t xml:space="preserve">. An SS burst set consists of a finite number of SS bursts. An SS burst consists of a number of SS </w:t>
      </w:r>
      <w:r w:rsidR="00C561C8">
        <w:rPr>
          <w:lang w:val="en-GB"/>
        </w:rPr>
        <w:t>blocks. An SS block includes</w:t>
      </w:r>
      <w:r w:rsidR="009F4FB8">
        <w:rPr>
          <w:lang w:val="en-GB"/>
        </w:rPr>
        <w:t xml:space="preserve"> </w:t>
      </w:r>
      <w:r w:rsidR="00C561C8">
        <w:rPr>
          <w:lang w:val="en-GB"/>
        </w:rPr>
        <w:t xml:space="preserve">the primary </w:t>
      </w:r>
      <w:r w:rsidR="009F4FB8">
        <w:rPr>
          <w:lang w:val="en-GB"/>
        </w:rPr>
        <w:t xml:space="preserve">signals necessary for </w:t>
      </w:r>
      <w:r w:rsidR="00C561C8">
        <w:rPr>
          <w:lang w:val="en-GB"/>
        </w:rPr>
        <w:t xml:space="preserve">an idle UE, such as NR-SS and PBCH </w:t>
      </w:r>
      <w:r w:rsidR="008018B0">
        <w:rPr>
          <w:lang w:val="en-GB"/>
        </w:rPr>
        <w:fldChar w:fldCharType="begin"/>
      </w:r>
      <w:r w:rsidR="00C561C8">
        <w:rPr>
          <w:lang w:val="en-GB"/>
        </w:rPr>
        <w:instrText xml:space="preserve"> REF _Ref465982044 \n \h </w:instrText>
      </w:r>
      <w:r w:rsidR="008018B0">
        <w:rPr>
          <w:lang w:val="en-GB"/>
        </w:rPr>
      </w:r>
      <w:r w:rsidR="008018B0">
        <w:rPr>
          <w:lang w:val="en-GB"/>
        </w:rPr>
        <w:fldChar w:fldCharType="separate"/>
      </w:r>
      <w:r w:rsidR="00BF60CE">
        <w:rPr>
          <w:lang w:val="en-GB"/>
        </w:rPr>
        <w:t>[3]</w:t>
      </w:r>
      <w:r w:rsidR="008018B0">
        <w:rPr>
          <w:lang w:val="en-GB"/>
        </w:rPr>
        <w:fldChar w:fldCharType="end"/>
      </w:r>
      <w:r w:rsidR="00C561C8">
        <w:rPr>
          <w:lang w:val="en-GB"/>
        </w:rPr>
        <w:t>.</w:t>
      </w:r>
      <w:r>
        <w:rPr>
          <w:lang w:val="en-GB"/>
        </w:rPr>
        <w:t xml:space="preserve"> </w:t>
      </w:r>
    </w:p>
    <w:p w:rsidR="002D5F26" w:rsidRDefault="002D5F26" w:rsidP="00D261BF">
      <w:pPr>
        <w:adjustRightInd/>
        <w:snapToGrid w:val="0"/>
        <w:spacing w:before="240" w:after="120"/>
        <w:jc w:val="both"/>
      </w:pPr>
      <w:r>
        <w:object w:dxaOrig="13687" w:dyaOrig="7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pt;height:240pt" o:ole="">
            <v:imagedata r:id="rId8" o:title=""/>
          </v:shape>
          <o:OLEObject Type="Embed" ProgID="Visio.Drawing.11" ShapeID="_x0000_i1025" DrawAspect="Content" ObjectID="_1539803258" r:id="rId9"/>
        </w:object>
      </w:r>
    </w:p>
    <w:p w:rsidR="002D5F26" w:rsidRDefault="002D5F26" w:rsidP="002D5F26">
      <w:pPr>
        <w:pStyle w:val="Caption"/>
        <w:jc w:val="center"/>
      </w:pPr>
      <w:bookmarkStart w:id="2" w:name="_Ref465982090"/>
      <w:r>
        <w:t xml:space="preserve">Figure </w:t>
      </w:r>
      <w:r w:rsidR="008018B0">
        <w:fldChar w:fldCharType="begin"/>
      </w:r>
      <w:r w:rsidR="005902A1">
        <w:instrText xml:space="preserve"> SEQ Figure \* ARABIC </w:instrText>
      </w:r>
      <w:r w:rsidR="008018B0">
        <w:fldChar w:fldCharType="separate"/>
      </w:r>
      <w:r w:rsidR="00BF60CE">
        <w:rPr>
          <w:noProof/>
        </w:rPr>
        <w:t>1</w:t>
      </w:r>
      <w:r w:rsidR="008018B0">
        <w:fldChar w:fldCharType="end"/>
      </w:r>
      <w:bookmarkEnd w:id="2"/>
    </w:p>
    <w:p w:rsidR="002D5F26" w:rsidRDefault="008018B0" w:rsidP="00D261BF">
      <w:pPr>
        <w:adjustRightInd/>
        <w:snapToGrid w:val="0"/>
        <w:spacing w:before="240" w:after="120"/>
        <w:jc w:val="both"/>
        <w:rPr>
          <w:lang w:val="en-GB"/>
        </w:rPr>
      </w:pPr>
      <w:r>
        <w:rPr>
          <w:lang w:val="en-GB"/>
        </w:rPr>
        <w:fldChar w:fldCharType="begin"/>
      </w:r>
      <w:r w:rsidR="002D5F26">
        <w:rPr>
          <w:lang w:val="en-GB"/>
        </w:rPr>
        <w:instrText xml:space="preserve"> REF _Ref465982090 \h </w:instrText>
      </w:r>
      <w:r>
        <w:rPr>
          <w:lang w:val="en-GB"/>
        </w:rPr>
      </w:r>
      <w:r>
        <w:rPr>
          <w:lang w:val="en-GB"/>
        </w:rPr>
        <w:fldChar w:fldCharType="separate"/>
      </w:r>
      <w:r w:rsidR="00BF60CE">
        <w:t xml:space="preserve">Figure </w:t>
      </w:r>
      <w:r w:rsidR="00BF60CE">
        <w:rPr>
          <w:noProof/>
        </w:rPr>
        <w:t>1</w:t>
      </w:r>
      <w:r>
        <w:rPr>
          <w:lang w:val="en-GB"/>
        </w:rPr>
        <w:fldChar w:fldCharType="end"/>
      </w:r>
      <w:r w:rsidR="002D5F26">
        <w:rPr>
          <w:lang w:val="en-GB"/>
        </w:rPr>
        <w:t xml:space="preserve"> illustrates the structure of SS blocks and SS bursts. One of the main purposes of SS bursts is to support DL beam sweeping, in which DL Tx beams are sequentially transmitted in order to cover the whole service area in one more more SS bursts. Beam sweeping can also be combined with repetition, in order to further enhance </w:t>
      </w:r>
      <w:r w:rsidR="002D5F26">
        <w:rPr>
          <w:lang w:val="en-GB"/>
        </w:rPr>
        <w:lastRenderedPageBreak/>
        <w:t>coverage. The NR-SS and PBCH is repeated in each SS block so that a UE that can just receive a single SS block can still access the system.</w:t>
      </w:r>
    </w:p>
    <w:p w:rsidR="00C561C8" w:rsidRPr="00C561C8" w:rsidRDefault="00C561C8" w:rsidP="00D261BF">
      <w:pPr>
        <w:adjustRightInd/>
        <w:snapToGrid w:val="0"/>
        <w:spacing w:before="240" w:after="120"/>
        <w:jc w:val="both"/>
        <w:rPr>
          <w:b/>
          <w:u w:val="single"/>
          <w:lang w:val="en-GB"/>
        </w:rPr>
      </w:pPr>
      <w:r w:rsidRPr="00C561C8">
        <w:rPr>
          <w:b/>
          <w:u w:val="single"/>
          <w:lang w:val="en-GB"/>
        </w:rPr>
        <w:t>Cell Search:</w:t>
      </w:r>
    </w:p>
    <w:p w:rsidR="00C561C8" w:rsidRDefault="002D5F26" w:rsidP="00D261BF">
      <w:pPr>
        <w:adjustRightInd/>
        <w:snapToGrid w:val="0"/>
        <w:spacing w:before="240" w:after="120"/>
        <w:jc w:val="both"/>
        <w:rPr>
          <w:lang w:val="en-GB"/>
        </w:rPr>
      </w:pPr>
      <w:r>
        <w:rPr>
          <w:lang w:val="en-GB"/>
        </w:rPr>
        <w:t xml:space="preserve">The SS burst (or SS burst set) transmission period may be longer than in LTE. However, the number of frequency hypotheses may </w:t>
      </w:r>
      <w:r w:rsidR="00495684">
        <w:rPr>
          <w:lang w:val="en-GB"/>
        </w:rPr>
        <w:t xml:space="preserve">also </w:t>
      </w:r>
      <w:r>
        <w:rPr>
          <w:lang w:val="en-GB"/>
        </w:rPr>
        <w:t xml:space="preserve">be reduced </w:t>
      </w:r>
      <w:r w:rsidR="008018B0">
        <w:rPr>
          <w:lang w:val="en-GB"/>
        </w:rPr>
        <w:fldChar w:fldCharType="begin"/>
      </w:r>
      <w:r>
        <w:rPr>
          <w:lang w:val="en-GB"/>
        </w:rPr>
        <w:instrText xml:space="preserve"> REF _Ref465982501 \n \h </w:instrText>
      </w:r>
      <w:r w:rsidR="008018B0">
        <w:rPr>
          <w:lang w:val="en-GB"/>
        </w:rPr>
      </w:r>
      <w:r w:rsidR="008018B0">
        <w:rPr>
          <w:lang w:val="en-GB"/>
        </w:rPr>
        <w:fldChar w:fldCharType="separate"/>
      </w:r>
      <w:r w:rsidR="00BF60CE">
        <w:rPr>
          <w:lang w:val="en-GB"/>
        </w:rPr>
        <w:t>[5]</w:t>
      </w:r>
      <w:r w:rsidR="008018B0">
        <w:rPr>
          <w:lang w:val="en-GB"/>
        </w:rPr>
        <w:fldChar w:fldCharType="end"/>
      </w:r>
      <w:r>
        <w:rPr>
          <w:lang w:val="en-GB"/>
        </w:rPr>
        <w:t>.</w:t>
      </w:r>
    </w:p>
    <w:p w:rsidR="00495684" w:rsidRDefault="00495684" w:rsidP="00D261BF">
      <w:pPr>
        <w:adjustRightInd/>
        <w:snapToGrid w:val="0"/>
        <w:spacing w:before="240" w:after="120"/>
        <w:jc w:val="both"/>
        <w:rPr>
          <w:lang w:val="en-GB"/>
        </w:rPr>
      </w:pPr>
      <w:r>
        <w:rPr>
          <w:lang w:val="en-GB"/>
        </w:rPr>
        <w:t xml:space="preserve">During cell search, the UE searches for NR-SS, assuming a certain SS numerology based on the frequency range. Having detected an NR-SS (corresponding to a cell ID), the UE can search for additional NR-SS (with the same cell ID) on predefined time intervals before and after the already detected NR-SS. Based on this search, the UE can find multiple NR-SS (corresponding to the same cell ID) belonging to different SS blocks in an SS burst. Depending on the implementation, the different NR-SS can correspond to different or repeated beams, as illustrated in </w:t>
      </w:r>
      <w:r w:rsidR="008018B0">
        <w:rPr>
          <w:lang w:val="en-GB"/>
        </w:rPr>
        <w:fldChar w:fldCharType="begin"/>
      </w:r>
      <w:r>
        <w:rPr>
          <w:lang w:val="en-GB"/>
        </w:rPr>
        <w:instrText xml:space="preserve"> REF _Ref465982090 \h </w:instrText>
      </w:r>
      <w:r w:rsidR="008018B0">
        <w:rPr>
          <w:lang w:val="en-GB"/>
        </w:rPr>
      </w:r>
      <w:r w:rsidR="008018B0">
        <w:rPr>
          <w:lang w:val="en-GB"/>
        </w:rPr>
        <w:fldChar w:fldCharType="separate"/>
      </w:r>
      <w:r w:rsidR="00BF60CE">
        <w:t xml:space="preserve">Figure </w:t>
      </w:r>
      <w:r w:rsidR="00BF60CE">
        <w:rPr>
          <w:noProof/>
        </w:rPr>
        <w:t>1</w:t>
      </w:r>
      <w:r w:rsidR="008018B0">
        <w:rPr>
          <w:lang w:val="en-GB"/>
        </w:rPr>
        <w:fldChar w:fldCharType="end"/>
      </w:r>
      <w:r>
        <w:rPr>
          <w:lang w:val="en-GB"/>
        </w:rPr>
        <w:t>.</w:t>
      </w:r>
    </w:p>
    <w:p w:rsidR="00495684" w:rsidRDefault="00495684" w:rsidP="00D261BF">
      <w:pPr>
        <w:adjustRightInd/>
        <w:snapToGrid w:val="0"/>
        <w:spacing w:before="240" w:after="120"/>
        <w:jc w:val="both"/>
        <w:rPr>
          <w:lang w:val="en-GB"/>
        </w:rPr>
      </w:pPr>
      <w:r>
        <w:rPr>
          <w:lang w:val="en-GB"/>
        </w:rPr>
        <w:t>The UE can find multiple such sets of NR-SS, each set corresponding to a cell.</w:t>
      </w:r>
    </w:p>
    <w:p w:rsidR="00C561C8" w:rsidRPr="00C561C8" w:rsidRDefault="00C561C8" w:rsidP="00D261BF">
      <w:pPr>
        <w:adjustRightInd/>
        <w:snapToGrid w:val="0"/>
        <w:spacing w:before="240" w:after="120"/>
        <w:jc w:val="both"/>
        <w:rPr>
          <w:b/>
          <w:u w:val="single"/>
          <w:lang w:val="en-GB"/>
        </w:rPr>
      </w:pPr>
      <w:r w:rsidRPr="00C561C8">
        <w:rPr>
          <w:b/>
          <w:u w:val="single"/>
          <w:lang w:val="en-GB"/>
        </w:rPr>
        <w:t>RRM Measurements:</w:t>
      </w:r>
    </w:p>
    <w:p w:rsidR="00A545BA" w:rsidRDefault="00495684" w:rsidP="00D261BF">
      <w:pPr>
        <w:adjustRightInd/>
        <w:snapToGrid w:val="0"/>
        <w:spacing w:before="240" w:after="120"/>
        <w:jc w:val="both"/>
        <w:rPr>
          <w:lang w:val="en-GB"/>
        </w:rPr>
      </w:pPr>
      <w:r>
        <w:rPr>
          <w:lang w:val="en-GB"/>
        </w:rPr>
        <w:t xml:space="preserve">Based on the detected set(s) of NR-SS (corresponding to one or more cells), the UE performs RRM measurements. The measurement is based on </w:t>
      </w:r>
      <w:r w:rsidR="00A545BA">
        <w:rPr>
          <w:lang w:val="en-GB"/>
        </w:rPr>
        <w:t xml:space="preserve">a cell-level always-on RS that is transmitted in each SS block. The cell-level RS is either the </w:t>
      </w:r>
      <w:r>
        <w:rPr>
          <w:lang w:val="en-GB"/>
        </w:rPr>
        <w:t>NR-SS signal</w:t>
      </w:r>
      <w:r w:rsidR="00A545BA">
        <w:rPr>
          <w:lang w:val="en-GB"/>
        </w:rPr>
        <w:t xml:space="preserve"> itself</w:t>
      </w:r>
      <w:r>
        <w:rPr>
          <w:lang w:val="en-GB"/>
        </w:rPr>
        <w:t xml:space="preserve"> or an additional RS </w:t>
      </w:r>
      <w:r w:rsidR="00A545BA">
        <w:rPr>
          <w:lang w:val="en-GB"/>
        </w:rPr>
        <w:t>the NR-SS is not sufficient.</w:t>
      </w:r>
    </w:p>
    <w:p w:rsidR="00C561C8" w:rsidRDefault="00A545BA" w:rsidP="00D261BF">
      <w:pPr>
        <w:adjustRightInd/>
        <w:snapToGrid w:val="0"/>
        <w:spacing w:before="240" w:after="120"/>
        <w:jc w:val="both"/>
        <w:rPr>
          <w:lang w:val="en-GB"/>
        </w:rPr>
      </w:pPr>
      <w:r>
        <w:rPr>
          <w:lang w:val="en-GB"/>
        </w:rPr>
        <w:t>Based on the measurement, the UE obtains one measurement result (e.g. RSRP) for each detected NR-SS. In other words, if a UE detected multiple NR-SS for a certain cell, corresponding to different SS blocks, then the UE will obtain multiple measurement results for the cell.</w:t>
      </w:r>
      <w:r w:rsidR="00495684">
        <w:rPr>
          <w:lang w:val="en-GB"/>
        </w:rPr>
        <w:t xml:space="preserve"> </w:t>
      </w:r>
    </w:p>
    <w:p w:rsidR="00C561C8" w:rsidRPr="00C561C8" w:rsidRDefault="00C561C8" w:rsidP="00D261BF">
      <w:pPr>
        <w:adjustRightInd/>
        <w:snapToGrid w:val="0"/>
        <w:spacing w:before="240" w:after="120"/>
        <w:jc w:val="both"/>
        <w:rPr>
          <w:b/>
          <w:u w:val="single"/>
          <w:lang w:val="en-GB"/>
        </w:rPr>
      </w:pPr>
      <w:r w:rsidRPr="00C561C8">
        <w:rPr>
          <w:b/>
          <w:u w:val="single"/>
          <w:lang w:val="en-GB"/>
        </w:rPr>
        <w:t>System Information</w:t>
      </w:r>
      <w:r w:rsidR="00A545BA">
        <w:rPr>
          <w:b/>
          <w:u w:val="single"/>
          <w:lang w:val="en-GB"/>
        </w:rPr>
        <w:t xml:space="preserve"> (SI)</w:t>
      </w:r>
      <w:r w:rsidRPr="00C561C8">
        <w:rPr>
          <w:b/>
          <w:u w:val="single"/>
          <w:lang w:val="en-GB"/>
        </w:rPr>
        <w:t>:</w:t>
      </w:r>
    </w:p>
    <w:p w:rsidR="00C561C8" w:rsidRDefault="00A545BA" w:rsidP="00D261BF">
      <w:pPr>
        <w:adjustRightInd/>
        <w:snapToGrid w:val="0"/>
        <w:spacing w:before="240" w:after="120"/>
        <w:jc w:val="both"/>
        <w:rPr>
          <w:lang w:val="en-GB"/>
        </w:rPr>
      </w:pPr>
      <w:r>
        <w:rPr>
          <w:lang w:val="en-GB"/>
        </w:rPr>
        <w:t xml:space="preserve">The system information is divided into minimum SI </w:t>
      </w:r>
      <w:r w:rsidR="008018B0">
        <w:rPr>
          <w:lang w:val="en-GB"/>
        </w:rPr>
        <w:fldChar w:fldCharType="begin"/>
      </w:r>
      <w:r>
        <w:rPr>
          <w:lang w:val="en-GB"/>
        </w:rPr>
        <w:instrText xml:space="preserve"> REF _Ref465983582 \n \h </w:instrText>
      </w:r>
      <w:r w:rsidR="008018B0">
        <w:rPr>
          <w:lang w:val="en-GB"/>
        </w:rPr>
      </w:r>
      <w:r w:rsidR="008018B0">
        <w:rPr>
          <w:lang w:val="en-GB"/>
        </w:rPr>
        <w:fldChar w:fldCharType="separate"/>
      </w:r>
      <w:r w:rsidR="00BF60CE">
        <w:rPr>
          <w:lang w:val="en-GB"/>
        </w:rPr>
        <w:t>[9]</w:t>
      </w:r>
      <w:r w:rsidR="008018B0">
        <w:rPr>
          <w:lang w:val="en-GB"/>
        </w:rPr>
        <w:fldChar w:fldCharType="end"/>
      </w:r>
      <w:r>
        <w:rPr>
          <w:lang w:val="en-GB"/>
        </w:rPr>
        <w:t xml:space="preserve"> and other SI </w:t>
      </w:r>
      <w:r w:rsidR="008018B0">
        <w:rPr>
          <w:lang w:val="en-GB"/>
        </w:rPr>
        <w:fldChar w:fldCharType="begin"/>
      </w:r>
      <w:r>
        <w:rPr>
          <w:lang w:val="en-GB"/>
        </w:rPr>
        <w:instrText xml:space="preserve"> REF _Ref465983588 \n \h </w:instrText>
      </w:r>
      <w:r w:rsidR="008018B0">
        <w:rPr>
          <w:lang w:val="en-GB"/>
        </w:rPr>
      </w:r>
      <w:r w:rsidR="008018B0">
        <w:rPr>
          <w:lang w:val="en-GB"/>
        </w:rPr>
        <w:fldChar w:fldCharType="separate"/>
      </w:r>
      <w:r w:rsidR="00BF60CE">
        <w:rPr>
          <w:lang w:val="en-GB"/>
        </w:rPr>
        <w:t>[10]</w:t>
      </w:r>
      <w:r w:rsidR="008018B0">
        <w:rPr>
          <w:lang w:val="en-GB"/>
        </w:rPr>
        <w:fldChar w:fldCharType="end"/>
      </w:r>
      <w:r>
        <w:rPr>
          <w:lang w:val="en-GB"/>
        </w:rPr>
        <w:t>. The minimum SI is periodically broadcasted and it contains the information necessary to access the system. The minimum SI is partly transmitted on PBCH and partly using PDSCH, as in LTE.</w:t>
      </w:r>
    </w:p>
    <w:p w:rsidR="00C561C8" w:rsidRPr="00C561C8" w:rsidRDefault="00C561C8" w:rsidP="00D261BF">
      <w:pPr>
        <w:adjustRightInd/>
        <w:snapToGrid w:val="0"/>
        <w:spacing w:before="240" w:after="120"/>
        <w:jc w:val="both"/>
        <w:rPr>
          <w:b/>
          <w:u w:val="single"/>
          <w:lang w:val="en-GB"/>
        </w:rPr>
      </w:pPr>
      <w:r w:rsidRPr="00C561C8">
        <w:rPr>
          <w:b/>
          <w:u w:val="single"/>
          <w:lang w:val="en-GB"/>
        </w:rPr>
        <w:t>Cell Selection/Reselection:</w:t>
      </w:r>
    </w:p>
    <w:p w:rsidR="00C561C8" w:rsidRDefault="001A2C2B" w:rsidP="00D261BF">
      <w:pPr>
        <w:adjustRightInd/>
        <w:snapToGrid w:val="0"/>
        <w:spacing w:before="240" w:after="120"/>
        <w:jc w:val="both"/>
        <w:rPr>
          <w:lang w:val="en-GB"/>
        </w:rPr>
      </w:pPr>
      <w:r>
        <w:rPr>
          <w:lang w:val="en-GB"/>
        </w:rPr>
        <w:t>The minimum SI also contain information for cell selection/reselection. For each cell, the UE extracts the cell-level measurement result as the best measurement result among the multiple that are available. The best measurement result (of multiple) for a cell typically corresponds to the best beam of the cell.</w:t>
      </w:r>
    </w:p>
    <w:p w:rsidR="001A2C2B" w:rsidRDefault="001A2C2B" w:rsidP="00D261BF">
      <w:pPr>
        <w:adjustRightInd/>
        <w:snapToGrid w:val="0"/>
        <w:spacing w:before="240" w:after="120"/>
        <w:jc w:val="both"/>
        <w:rPr>
          <w:lang w:val="en-GB"/>
        </w:rPr>
      </w:pPr>
      <w:r>
        <w:rPr>
          <w:lang w:val="en-GB"/>
        </w:rPr>
        <w:t>The camps on the best cell, i.e. on the best beam in the multi-beam case.</w:t>
      </w:r>
    </w:p>
    <w:p w:rsidR="005F1A7F" w:rsidRPr="00B8312D" w:rsidRDefault="005F1A7F" w:rsidP="005F1A7F">
      <w:pPr>
        <w:pStyle w:val="Heading2"/>
        <w:numPr>
          <w:ilvl w:val="0"/>
          <w:numId w:val="13"/>
        </w:numPr>
      </w:pPr>
      <w:r>
        <w:t>Random Access</w:t>
      </w:r>
    </w:p>
    <w:p w:rsidR="007646A4" w:rsidRDefault="007646A4" w:rsidP="001A2C2B">
      <w:pPr>
        <w:adjustRightInd/>
        <w:snapToGrid w:val="0"/>
        <w:spacing w:before="240" w:after="120"/>
        <w:jc w:val="both"/>
        <w:rPr>
          <w:b/>
          <w:u w:val="single"/>
          <w:lang w:val="en-GB"/>
        </w:rPr>
      </w:pPr>
      <w:r>
        <w:rPr>
          <w:b/>
          <w:u w:val="single"/>
          <w:lang w:val="en-GB"/>
        </w:rPr>
        <w:t>Random Access Configuration</w:t>
      </w:r>
      <w:r w:rsidRPr="001A2C2B">
        <w:rPr>
          <w:b/>
          <w:u w:val="single"/>
          <w:lang w:val="en-GB"/>
        </w:rPr>
        <w:t>:</w:t>
      </w:r>
    </w:p>
    <w:p w:rsidR="007646A4" w:rsidRDefault="007646A4" w:rsidP="001A2C2B">
      <w:pPr>
        <w:adjustRightInd/>
        <w:snapToGrid w:val="0"/>
        <w:spacing w:before="240" w:after="120"/>
        <w:jc w:val="both"/>
        <w:rPr>
          <w:lang w:val="en-GB"/>
        </w:rPr>
      </w:pPr>
      <w:r>
        <w:rPr>
          <w:lang w:val="en-GB"/>
        </w:rPr>
        <w:t xml:space="preserve">The minimum SI also contains the random access configuration. The configuration contains associations between the measurement results (corresponding to SS blocks/beams) and disjoint RACH groups </w:t>
      </w:r>
      <w:r w:rsidR="008018B0">
        <w:rPr>
          <w:lang w:val="en-GB"/>
        </w:rPr>
        <w:fldChar w:fldCharType="begin"/>
      </w:r>
      <w:r>
        <w:rPr>
          <w:lang w:val="en-GB"/>
        </w:rPr>
        <w:instrText xml:space="preserve"> REF _Ref465984221 \n \h </w:instrText>
      </w:r>
      <w:r w:rsidR="008018B0">
        <w:rPr>
          <w:lang w:val="en-GB"/>
        </w:rPr>
      </w:r>
      <w:r w:rsidR="008018B0">
        <w:rPr>
          <w:lang w:val="en-GB"/>
        </w:rPr>
        <w:fldChar w:fldCharType="separate"/>
      </w:r>
      <w:r w:rsidR="00BF60CE">
        <w:rPr>
          <w:lang w:val="en-GB"/>
        </w:rPr>
        <w:t>[7]</w:t>
      </w:r>
      <w:r w:rsidR="008018B0">
        <w:rPr>
          <w:lang w:val="en-GB"/>
        </w:rPr>
        <w:fldChar w:fldCharType="end"/>
      </w:r>
      <w:r w:rsidR="008018B0">
        <w:rPr>
          <w:lang w:val="en-GB"/>
        </w:rPr>
        <w:fldChar w:fldCharType="begin"/>
      </w:r>
      <w:r w:rsidR="00B6345F">
        <w:rPr>
          <w:lang w:val="en-GB"/>
        </w:rPr>
        <w:instrText xml:space="preserve"> REF _Ref465985258 \n \h </w:instrText>
      </w:r>
      <w:r w:rsidR="008018B0">
        <w:rPr>
          <w:lang w:val="en-GB"/>
        </w:rPr>
      </w:r>
      <w:r w:rsidR="008018B0">
        <w:rPr>
          <w:lang w:val="en-GB"/>
        </w:rPr>
        <w:fldChar w:fldCharType="separate"/>
      </w:r>
      <w:r w:rsidR="00BF60CE">
        <w:rPr>
          <w:lang w:val="en-GB"/>
        </w:rPr>
        <w:t>[8]</w:t>
      </w:r>
      <w:r w:rsidR="008018B0">
        <w:rPr>
          <w:lang w:val="en-GB"/>
        </w:rPr>
        <w:fldChar w:fldCharType="end"/>
      </w:r>
      <w:r w:rsidR="00497ADB">
        <w:rPr>
          <w:lang w:val="en-GB"/>
        </w:rPr>
        <w:t xml:space="preserve">, as illustrated in </w:t>
      </w:r>
      <w:r w:rsidR="008018B0">
        <w:rPr>
          <w:lang w:val="en-GB"/>
        </w:rPr>
        <w:fldChar w:fldCharType="begin"/>
      </w:r>
      <w:r w:rsidR="00497ADB">
        <w:rPr>
          <w:lang w:val="en-GB"/>
        </w:rPr>
        <w:instrText xml:space="preserve"> REF _Ref465986732 \h </w:instrText>
      </w:r>
      <w:r w:rsidR="008018B0">
        <w:rPr>
          <w:lang w:val="en-GB"/>
        </w:rPr>
      </w:r>
      <w:r w:rsidR="008018B0">
        <w:rPr>
          <w:lang w:val="en-GB"/>
        </w:rPr>
        <w:fldChar w:fldCharType="separate"/>
      </w:r>
      <w:r w:rsidR="00BF60CE">
        <w:t xml:space="preserve">Figure </w:t>
      </w:r>
      <w:r w:rsidR="00BF60CE">
        <w:rPr>
          <w:noProof/>
        </w:rPr>
        <w:t>2</w:t>
      </w:r>
      <w:r w:rsidR="008018B0">
        <w:rPr>
          <w:lang w:val="en-GB"/>
        </w:rPr>
        <w:fldChar w:fldCharType="end"/>
      </w:r>
      <w:r>
        <w:rPr>
          <w:lang w:val="en-GB"/>
        </w:rPr>
        <w:t>. A RACH group is a combination of a subset of RACH resources and a subset of RACH preambles.</w:t>
      </w:r>
    </w:p>
    <w:p w:rsidR="00017AC4" w:rsidRDefault="007646A4" w:rsidP="001A2C2B">
      <w:pPr>
        <w:adjustRightInd/>
        <w:snapToGrid w:val="0"/>
        <w:spacing w:before="240" w:after="120"/>
        <w:jc w:val="both"/>
        <w:rPr>
          <w:lang w:val="en-GB"/>
        </w:rPr>
      </w:pPr>
      <w:r>
        <w:rPr>
          <w:lang w:val="en-GB"/>
        </w:rPr>
        <w:lastRenderedPageBreak/>
        <w:t>The random access configuration also indicates to the UE if it should transmit multiple repeated preambles in a RACH burst (using the same UE Tx beam) or if a single preamble transmission is sufficient from the gNB point of view.</w:t>
      </w:r>
    </w:p>
    <w:p w:rsidR="00497ADB" w:rsidRDefault="00497ADB" w:rsidP="00497ADB">
      <w:pPr>
        <w:adjustRightInd/>
        <w:snapToGrid w:val="0"/>
        <w:spacing w:before="240" w:after="120"/>
        <w:jc w:val="center"/>
        <w:rPr>
          <w:lang w:val="en-GB"/>
        </w:rPr>
      </w:pPr>
      <w:r w:rsidRPr="00497ADB">
        <w:rPr>
          <w:noProof/>
          <w:lang w:eastAsia="en-US"/>
        </w:rPr>
        <w:drawing>
          <wp:inline distT="0" distB="0" distL="0" distR="0">
            <wp:extent cx="4648200" cy="1136650"/>
            <wp:effectExtent l="0" t="0" r="0" b="0"/>
            <wp:docPr id="17" name="Object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9340" cy="1905000"/>
                      <a:chOff x="515603" y="228600"/>
                      <a:chExt cx="6919340" cy="1905000"/>
                    </a:xfrm>
                  </a:grpSpPr>
                  <a:cxnSp>
                    <a:nvCxnSpPr>
                      <a:cNvPr id="62" name="Straight Arrow Connector 61"/>
                      <a:cNvCxnSpPr/>
                    </a:nvCxnSpPr>
                    <a:spPr>
                      <a:xfrm>
                        <a:off x="2514600" y="533400"/>
                        <a:ext cx="1752600"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15603" y="347246"/>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0</a:t>
                          </a:r>
                          <a:endParaRPr lang="en-US" sz="1600"/>
                        </a:p>
                      </a:txBody>
                      <a:useSpRect/>
                    </a:txSp>
                  </a:sp>
                  <a:sp>
                    <a:nvSpPr>
                      <a:cNvPr id="64" name="TextBox 63"/>
                      <a:cNvSpPr txBox="1"/>
                    </a:nvSpPr>
                    <a:spPr>
                      <a:xfrm>
                        <a:off x="515603" y="15664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N-1</a:t>
                          </a:r>
                          <a:endParaRPr lang="en-US" sz="1600"/>
                        </a:p>
                      </a:txBody>
                      <a:useSpRect/>
                    </a:txSp>
                  </a:sp>
                  <a:sp>
                    <a:nvSpPr>
                      <a:cNvPr id="65" name="TextBox 64"/>
                      <a:cNvSpPr txBox="1"/>
                    </a:nvSpPr>
                    <a:spPr>
                      <a:xfrm rot="16200000">
                        <a:off x="1834087" y="891316"/>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68" name="Straight Arrow Connector 67"/>
                      <a:cNvCxnSpPr/>
                    </a:nvCxnSpPr>
                    <a:spPr>
                      <a:xfrm>
                        <a:off x="2667000" y="1524000"/>
                        <a:ext cx="1600200" cy="0"/>
                      </a:xfrm>
                      <a:prstGeom prst="straightConnector1">
                        <a:avLst/>
                      </a:prstGeom>
                      <a:ln w="19050">
                        <a:solidFill>
                          <a:srgbClr val="C00000"/>
                        </a:solidFill>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515603" y="609600"/>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1</a:t>
                          </a:r>
                          <a:endParaRPr lang="en-US" sz="1600"/>
                        </a:p>
                      </a:txBody>
                      <a:useSpRect/>
                    </a:txSp>
                  </a:sp>
                  <a:cxnSp>
                    <a:nvCxnSpPr>
                      <a:cNvPr id="79" name="Straight Arrow Connector 78"/>
                      <a:cNvCxnSpPr/>
                    </a:nvCxnSpPr>
                    <a:spPr>
                      <a:xfrm>
                        <a:off x="2514600" y="762000"/>
                        <a:ext cx="1752600" cy="0"/>
                      </a:xfrm>
                      <a:prstGeom prst="straightConnector1">
                        <a:avLst/>
                      </a:prstGeom>
                      <a:ln w="19050">
                        <a:solidFill>
                          <a:srgbClr val="00B050"/>
                        </a:solidFill>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515603" y="13378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N-2</a:t>
                          </a:r>
                          <a:endParaRPr lang="en-US" sz="1600"/>
                        </a:p>
                      </a:txBody>
                      <a:useSpRect/>
                    </a:txSp>
                  </a:sp>
                  <a:cxnSp>
                    <a:nvCxnSpPr>
                      <a:cNvPr id="94" name="Straight Arrow Connector 93"/>
                      <a:cNvCxnSpPr/>
                    </a:nvCxnSpPr>
                    <a:spPr>
                      <a:xfrm>
                        <a:off x="2667000" y="1752600"/>
                        <a:ext cx="1600200" cy="0"/>
                      </a:xfrm>
                      <a:prstGeom prst="straightConnector1">
                        <a:avLst/>
                      </a:prstGeom>
                      <a:ln w="19050">
                        <a:solidFill>
                          <a:srgbClr val="7030A0"/>
                        </a:solidFill>
                        <a:prstDash val="solid"/>
                        <a:tailEnd type="arrow"/>
                      </a:ln>
                    </a:spPr>
                    <a:style>
                      <a:lnRef idx="1">
                        <a:schemeClr val="accent1"/>
                      </a:lnRef>
                      <a:fillRef idx="0">
                        <a:schemeClr val="accent1"/>
                      </a:fillRef>
                      <a:effectRef idx="0">
                        <a:schemeClr val="accent1"/>
                      </a:effectRef>
                      <a:fontRef idx="minor">
                        <a:schemeClr val="tx1"/>
                      </a:fontRef>
                    </a:style>
                  </a:cxnSp>
                  <a:sp>
                    <a:nvSpPr>
                      <a:cNvPr id="44" name="Rounded Rectangle 43"/>
                      <a:cNvSpPr/>
                    </a:nvSpPr>
                    <a:spPr>
                      <a:xfrm>
                        <a:off x="4343400" y="304800"/>
                        <a:ext cx="1600200" cy="304800"/>
                      </a:xfrm>
                      <a:prstGeom prst="roundRect">
                        <a:avLst/>
                      </a:prstGeom>
                      <a:solidFill>
                        <a:srgbClr val="0070C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0</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4343400" y="685800"/>
                        <a:ext cx="1600200" cy="304800"/>
                      </a:xfrm>
                      <a:prstGeom prst="roundRect">
                        <a:avLst/>
                      </a:prstGeom>
                      <a:solidFill>
                        <a:srgbClr val="00B05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4343400" y="1295400"/>
                        <a:ext cx="1600200" cy="304800"/>
                      </a:xfrm>
                      <a:prstGeom prst="roundRect">
                        <a:avLst/>
                      </a:prstGeom>
                      <a:solidFill>
                        <a:srgbClr val="C0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N-2</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4343400" y="1676400"/>
                        <a:ext cx="1600200" cy="304800"/>
                      </a:xfrm>
                      <a:prstGeom prst="roundRect">
                        <a:avLst/>
                      </a:prstGeom>
                      <a:solidFill>
                        <a:srgbClr val="7030A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Left Brace 52"/>
                      <a:cNvSpPr/>
                    </a:nvSpPr>
                    <a:spPr>
                      <a:xfrm rot="10800000">
                        <a:off x="6019800" y="228600"/>
                        <a:ext cx="288032" cy="1905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4" name="TextBox 53"/>
                      <a:cNvSpPr txBox="1"/>
                    </a:nvSpPr>
                    <a:spPr>
                      <a:xfrm>
                        <a:off x="6248400" y="914400"/>
                        <a:ext cx="1186543"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Disjoint </a:t>
                          </a:r>
                        </a:p>
                        <a:p>
                          <a:r>
                            <a:rPr lang="sv-SE" sz="1600" smtClean="0"/>
                            <a:t>RACH group</a:t>
                          </a:r>
                        </a:p>
                      </a:txBody>
                      <a:useSpRect/>
                    </a:txSp>
                  </a:sp>
                  <a:sp>
                    <a:nvSpPr>
                      <a:cNvPr id="33" name="TextBox 32"/>
                      <a:cNvSpPr txBox="1"/>
                    </a:nvSpPr>
                    <a:spPr>
                      <a:xfrm rot="16200000">
                        <a:off x="48954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77" name="TextBox 76"/>
                      <a:cNvSpPr txBox="1"/>
                    </a:nvSpPr>
                    <a:spPr>
                      <a:xfrm>
                        <a:off x="2829076" y="271046"/>
                        <a:ext cx="1112484"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association</a:t>
                          </a:r>
                          <a:endParaRPr lang="en-US" sz="1600"/>
                        </a:p>
                      </a:txBody>
                      <a:useSpRect/>
                    </a:txSp>
                  </a:sp>
                  <a:sp>
                    <a:nvSpPr>
                      <a:cNvPr id="78" name="TextBox 77"/>
                      <a:cNvSpPr txBox="1"/>
                    </a:nvSpPr>
                    <a:spPr>
                      <a:xfrm rot="16200000">
                        <a:off x="31428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lc:lockedCanvas>
              </a:graphicData>
            </a:graphic>
          </wp:inline>
        </w:drawing>
      </w:r>
    </w:p>
    <w:p w:rsidR="00497ADB" w:rsidRPr="007646A4" w:rsidRDefault="00497ADB" w:rsidP="00497ADB">
      <w:pPr>
        <w:pStyle w:val="Caption"/>
        <w:jc w:val="center"/>
      </w:pPr>
      <w:bookmarkStart w:id="3" w:name="_Ref465986732"/>
      <w:r>
        <w:t xml:space="preserve">Figure </w:t>
      </w:r>
      <w:r w:rsidR="008018B0">
        <w:fldChar w:fldCharType="begin"/>
      </w:r>
      <w:r w:rsidR="005902A1">
        <w:instrText xml:space="preserve"> SEQ Figure \* ARABIC </w:instrText>
      </w:r>
      <w:r w:rsidR="008018B0">
        <w:fldChar w:fldCharType="separate"/>
      </w:r>
      <w:r w:rsidR="00BF60CE">
        <w:rPr>
          <w:noProof/>
        </w:rPr>
        <w:t>2</w:t>
      </w:r>
      <w:r w:rsidR="008018B0">
        <w:fldChar w:fldCharType="end"/>
      </w:r>
      <w:bookmarkEnd w:id="3"/>
    </w:p>
    <w:p w:rsidR="001A2C2B" w:rsidRPr="001A2C2B" w:rsidRDefault="001A2C2B" w:rsidP="001A2C2B">
      <w:pPr>
        <w:adjustRightInd/>
        <w:snapToGrid w:val="0"/>
        <w:spacing w:before="240" w:after="120"/>
        <w:jc w:val="both"/>
        <w:rPr>
          <w:b/>
          <w:u w:val="single"/>
          <w:lang w:val="en-GB"/>
        </w:rPr>
      </w:pPr>
      <w:r>
        <w:rPr>
          <w:b/>
          <w:u w:val="single"/>
          <w:lang w:val="en-GB"/>
        </w:rPr>
        <w:t>Selection of RACH group</w:t>
      </w:r>
      <w:r w:rsidRPr="001A2C2B">
        <w:rPr>
          <w:b/>
          <w:u w:val="single"/>
          <w:lang w:val="en-GB"/>
        </w:rPr>
        <w:t>:</w:t>
      </w:r>
    </w:p>
    <w:p w:rsidR="001A2C2B" w:rsidRDefault="001A2C2B" w:rsidP="00D261BF">
      <w:pPr>
        <w:adjustRightInd/>
        <w:snapToGrid w:val="0"/>
        <w:spacing w:before="240" w:after="120"/>
        <w:jc w:val="both"/>
        <w:rPr>
          <w:lang w:val="en-GB"/>
        </w:rPr>
      </w:pPr>
      <w:r>
        <w:rPr>
          <w:lang w:val="en-GB"/>
        </w:rPr>
        <w:t>The UE selects the RACH group that is associated with the best measurement results, i.e. the best SS block (e.g. beam).</w:t>
      </w:r>
    </w:p>
    <w:p w:rsidR="001A2C2B" w:rsidRDefault="007646A4" w:rsidP="00D261BF">
      <w:pPr>
        <w:adjustRightInd/>
        <w:snapToGrid w:val="0"/>
        <w:spacing w:before="240" w:after="120"/>
        <w:jc w:val="both"/>
        <w:rPr>
          <w:b/>
          <w:u w:val="single"/>
          <w:lang w:val="en-GB"/>
        </w:rPr>
      </w:pPr>
      <w:r>
        <w:rPr>
          <w:b/>
          <w:u w:val="single"/>
          <w:lang w:val="en-GB"/>
        </w:rPr>
        <w:t>Preamble transmission</w:t>
      </w:r>
      <w:r w:rsidR="00B6345F">
        <w:rPr>
          <w:b/>
          <w:u w:val="single"/>
          <w:lang w:val="en-GB"/>
        </w:rPr>
        <w:t xml:space="preserve"> and reception</w:t>
      </w:r>
      <w:r w:rsidR="001A2C2B" w:rsidRPr="001A2C2B">
        <w:rPr>
          <w:b/>
          <w:u w:val="single"/>
          <w:lang w:val="en-GB"/>
        </w:rPr>
        <w:t>:</w:t>
      </w:r>
    </w:p>
    <w:p w:rsidR="007646A4" w:rsidRDefault="007646A4" w:rsidP="00D261BF">
      <w:pPr>
        <w:adjustRightInd/>
        <w:snapToGrid w:val="0"/>
        <w:spacing w:before="240" w:after="120"/>
        <w:jc w:val="both"/>
        <w:rPr>
          <w:lang w:val="en-GB"/>
        </w:rPr>
      </w:pPr>
      <w:r>
        <w:rPr>
          <w:lang w:val="en-GB"/>
        </w:rPr>
        <w:t>The UE selects one or more RACH resource(s) and a preamble from the selected RACH group. If one or more RACH resources is selected depends on the indication in the random access configuration mentioned above.</w:t>
      </w:r>
    </w:p>
    <w:p w:rsidR="007646A4" w:rsidRDefault="007646A4" w:rsidP="00D261BF">
      <w:pPr>
        <w:adjustRightInd/>
        <w:snapToGrid w:val="0"/>
        <w:spacing w:before="240" w:after="120"/>
        <w:jc w:val="both"/>
        <w:rPr>
          <w:lang w:val="en-GB"/>
        </w:rPr>
      </w:pPr>
      <w:r>
        <w:rPr>
          <w:lang w:val="en-GB"/>
        </w:rPr>
        <w:t xml:space="preserve">The UE transmits the </w:t>
      </w:r>
      <w:r w:rsidR="00B6345F">
        <w:rPr>
          <w:lang w:val="en-GB"/>
        </w:rPr>
        <w:t xml:space="preserve">one or more </w:t>
      </w:r>
      <w:r>
        <w:rPr>
          <w:lang w:val="en-GB"/>
        </w:rPr>
        <w:t>preamble</w:t>
      </w:r>
      <w:r w:rsidR="00B6345F">
        <w:rPr>
          <w:lang w:val="en-GB"/>
        </w:rPr>
        <w:t>(s)</w:t>
      </w:r>
      <w:r>
        <w:rPr>
          <w:lang w:val="en-GB"/>
        </w:rPr>
        <w:t xml:space="preserve"> on one or more RACH resource(s), using the same UE Tx beam.</w:t>
      </w:r>
      <w:r w:rsidR="00B6345F" w:rsidRPr="00B6345F">
        <w:rPr>
          <w:lang w:val="en-GB"/>
        </w:rPr>
        <w:t xml:space="preserve"> </w:t>
      </w:r>
      <w:r w:rsidR="00B6345F">
        <w:rPr>
          <w:lang w:val="en-GB"/>
        </w:rPr>
        <w:t>The gNB knows to which RACH group each RACH resource and preamble belongs, i.e. which SS block/beam that was best for any UE transmitting a preamble on the RACH resource. Hence, if the gNB supports Tx/Rx reciprocity it can use the same best beam for receiving the preamble on the RACH resource. Otherwise, the gNB can use Rx beam sweeping during the transmission of multiple preambles.</w:t>
      </w:r>
    </w:p>
    <w:p w:rsidR="007646A4" w:rsidRDefault="007646A4" w:rsidP="00D261BF">
      <w:pPr>
        <w:adjustRightInd/>
        <w:snapToGrid w:val="0"/>
        <w:spacing w:before="240" w:after="120"/>
        <w:jc w:val="both"/>
        <w:rPr>
          <w:lang w:val="en-GB"/>
        </w:rPr>
      </w:pPr>
      <w:r>
        <w:rPr>
          <w:lang w:val="en-GB"/>
        </w:rPr>
        <w:t>If no response is received, the UE may transmit again (one or more preambles) according to the configuration. However, now the UE may choose to change its UE Tx beam, compared to the previous transmission of one or more preambles. This may be useful if the UE lacks Tx/Rx reciprocity.</w:t>
      </w:r>
    </w:p>
    <w:p w:rsidR="007646A4" w:rsidRDefault="007646A4" w:rsidP="007646A4">
      <w:pPr>
        <w:adjustRightInd/>
        <w:snapToGrid w:val="0"/>
        <w:spacing w:before="240" w:after="120"/>
        <w:jc w:val="both"/>
        <w:rPr>
          <w:b/>
          <w:u w:val="single"/>
          <w:lang w:val="en-GB"/>
        </w:rPr>
      </w:pPr>
      <w:r>
        <w:rPr>
          <w:b/>
          <w:u w:val="single"/>
          <w:lang w:val="en-GB"/>
        </w:rPr>
        <w:t>Random access response</w:t>
      </w:r>
      <w:r w:rsidR="00017AC4">
        <w:rPr>
          <w:b/>
          <w:u w:val="single"/>
          <w:lang w:val="en-GB"/>
        </w:rPr>
        <w:t xml:space="preserve"> (MSG2)</w:t>
      </w:r>
      <w:r w:rsidRPr="001A2C2B">
        <w:rPr>
          <w:b/>
          <w:u w:val="single"/>
          <w:lang w:val="en-GB"/>
        </w:rPr>
        <w:t>:</w:t>
      </w:r>
    </w:p>
    <w:p w:rsidR="007646A4" w:rsidRDefault="007646A4" w:rsidP="00D261BF">
      <w:pPr>
        <w:adjustRightInd/>
        <w:snapToGrid w:val="0"/>
        <w:spacing w:before="240" w:after="120"/>
        <w:jc w:val="both"/>
        <w:rPr>
          <w:lang w:val="en-GB"/>
        </w:rPr>
      </w:pPr>
      <w:r>
        <w:rPr>
          <w:lang w:val="en-GB"/>
        </w:rPr>
        <w:t xml:space="preserve">The gNB detects a preamble on a RACH resource. </w:t>
      </w:r>
      <w:r w:rsidR="00B6345F">
        <w:rPr>
          <w:lang w:val="en-GB"/>
        </w:rPr>
        <w:t xml:space="preserve">Based on the detected preamble and the association, it knows the best DL Tx beam for the detected UE. </w:t>
      </w:r>
      <w:r w:rsidR="00017AC4">
        <w:rPr>
          <w:lang w:val="en-GB"/>
        </w:rPr>
        <w:t>Therefore, the same beam is used for transmission of random access response. If there is any ambiguity, the RAR may indicate in which RACH resource the preamble was detected, so that the UE can deduce which UE Tx beam what was successful.</w:t>
      </w:r>
    </w:p>
    <w:p w:rsidR="00B95D79" w:rsidRDefault="00A4759F" w:rsidP="00A4759F">
      <w:pPr>
        <w:adjustRightInd/>
        <w:snapToGrid w:val="0"/>
        <w:spacing w:before="240" w:after="120"/>
        <w:jc w:val="both"/>
        <w:rPr>
          <w:lang w:val="en-GB"/>
        </w:rPr>
      </w:pPr>
      <w:r>
        <w:rPr>
          <w:rFonts w:hint="eastAsia"/>
          <w:lang w:val="en-GB"/>
        </w:rPr>
        <w:t xml:space="preserve">MSG2 can also be used to inform </w:t>
      </w:r>
      <w:r w:rsidR="0068274D">
        <w:rPr>
          <w:lang w:val="en-GB"/>
        </w:rPr>
        <w:t xml:space="preserve">the </w:t>
      </w:r>
      <w:r>
        <w:rPr>
          <w:lang w:val="en-GB"/>
        </w:rPr>
        <w:t>configuration</w:t>
      </w:r>
      <w:r>
        <w:rPr>
          <w:rFonts w:hint="eastAsia"/>
          <w:lang w:val="en-GB"/>
        </w:rPr>
        <w:t xml:space="preserve"> of </w:t>
      </w:r>
      <w:r w:rsidR="0068274D">
        <w:rPr>
          <w:lang w:val="en-GB"/>
        </w:rPr>
        <w:t xml:space="preserve">a not always-on </w:t>
      </w:r>
      <w:r>
        <w:rPr>
          <w:rFonts w:hint="eastAsia"/>
          <w:lang w:val="en-GB"/>
        </w:rPr>
        <w:t>RS</w:t>
      </w:r>
      <w:r w:rsidR="003C34CC">
        <w:rPr>
          <w:lang w:val="en-GB"/>
        </w:rPr>
        <w:t xml:space="preserve"> </w:t>
      </w:r>
      <w:r w:rsidR="008018B0">
        <w:rPr>
          <w:lang w:val="en-GB"/>
        </w:rPr>
        <w:fldChar w:fldCharType="begin"/>
      </w:r>
      <w:r w:rsidR="003C34CC">
        <w:rPr>
          <w:lang w:val="en-GB"/>
        </w:rPr>
        <w:instrText xml:space="preserve"> REF _Ref465982044 \n \h </w:instrText>
      </w:r>
      <w:r w:rsidR="008018B0">
        <w:rPr>
          <w:lang w:val="en-GB"/>
        </w:rPr>
      </w:r>
      <w:r w:rsidR="008018B0">
        <w:rPr>
          <w:lang w:val="en-GB"/>
        </w:rPr>
        <w:fldChar w:fldCharType="separate"/>
      </w:r>
      <w:r w:rsidR="00BF60CE">
        <w:rPr>
          <w:lang w:val="en-GB"/>
        </w:rPr>
        <w:t>[3]</w:t>
      </w:r>
      <w:r w:rsidR="008018B0">
        <w:rPr>
          <w:lang w:val="en-GB"/>
        </w:rPr>
        <w:fldChar w:fldCharType="end"/>
      </w:r>
      <w:r w:rsidR="003C34CC">
        <w:rPr>
          <w:lang w:val="en-GB"/>
        </w:rPr>
        <w:t>, e.g. a first-level RS/</w:t>
      </w:r>
      <w:r w:rsidR="0068274D">
        <w:rPr>
          <w:lang w:val="en-GB"/>
        </w:rPr>
        <w:t>BRS</w:t>
      </w:r>
      <w:r w:rsidR="003C34CC">
        <w:rPr>
          <w:lang w:val="en-GB"/>
        </w:rPr>
        <w:t xml:space="preserve"> </w:t>
      </w:r>
      <w:r w:rsidR="008018B0">
        <w:rPr>
          <w:lang w:val="en-GB"/>
        </w:rPr>
        <w:fldChar w:fldCharType="begin"/>
      </w:r>
      <w:r w:rsidR="003C34CC">
        <w:rPr>
          <w:lang w:val="en-GB"/>
        </w:rPr>
        <w:instrText xml:space="preserve"> REF _Ref466038404 \n \h </w:instrText>
      </w:r>
      <w:r w:rsidR="008018B0">
        <w:rPr>
          <w:lang w:val="en-GB"/>
        </w:rPr>
      </w:r>
      <w:r w:rsidR="008018B0">
        <w:rPr>
          <w:lang w:val="en-GB"/>
        </w:rPr>
        <w:fldChar w:fldCharType="separate"/>
      </w:r>
      <w:r w:rsidR="00BF60CE">
        <w:rPr>
          <w:lang w:val="en-GB"/>
        </w:rPr>
        <w:t>[11]</w:t>
      </w:r>
      <w:r w:rsidR="008018B0">
        <w:rPr>
          <w:lang w:val="en-GB"/>
        </w:rPr>
        <w:fldChar w:fldCharType="end"/>
      </w:r>
      <w:r>
        <w:rPr>
          <w:rFonts w:hint="eastAsia"/>
          <w:lang w:val="en-GB"/>
        </w:rPr>
        <w:t xml:space="preserve">. </w:t>
      </w:r>
      <w:r>
        <w:t>T</w:t>
      </w:r>
      <w:r>
        <w:rPr>
          <w:rFonts w:hint="eastAsia"/>
        </w:rPr>
        <w:t xml:space="preserve">his mechanism </w:t>
      </w:r>
      <w:r w:rsidR="003C34CC">
        <w:t xml:space="preserve">would </w:t>
      </w:r>
      <w:r w:rsidR="003C34CC">
        <w:rPr>
          <w:rFonts w:hint="eastAsia"/>
        </w:rPr>
        <w:t>allow</w:t>
      </w:r>
      <w:r>
        <w:rPr>
          <w:rFonts w:hint="eastAsia"/>
        </w:rPr>
        <w:t xml:space="preserve"> </w:t>
      </w:r>
      <w:r w:rsidR="003C34CC">
        <w:t xml:space="preserve">the </w:t>
      </w:r>
      <w:r>
        <w:rPr>
          <w:rFonts w:hint="eastAsia"/>
        </w:rPr>
        <w:t xml:space="preserve">UE to perform fine beam searching before RRC connection is established. </w:t>
      </w:r>
      <w:r>
        <w:t>T</w:t>
      </w:r>
      <w:r>
        <w:rPr>
          <w:rFonts w:hint="eastAsia"/>
        </w:rPr>
        <w:t>hen data transmission with the most suitable beam direction can be started soon after RRC is established.</w:t>
      </w:r>
    </w:p>
    <w:p w:rsidR="00017AC4" w:rsidRDefault="00017AC4" w:rsidP="00017AC4">
      <w:pPr>
        <w:adjustRightInd/>
        <w:snapToGrid w:val="0"/>
        <w:spacing w:before="240" w:after="120"/>
        <w:jc w:val="both"/>
        <w:rPr>
          <w:b/>
          <w:u w:val="single"/>
          <w:lang w:val="en-GB"/>
        </w:rPr>
      </w:pPr>
      <w:r>
        <w:rPr>
          <w:b/>
          <w:u w:val="single"/>
          <w:lang w:val="en-GB"/>
        </w:rPr>
        <w:t>MSG3/4</w:t>
      </w:r>
      <w:r w:rsidRPr="001A2C2B">
        <w:rPr>
          <w:b/>
          <w:u w:val="single"/>
          <w:lang w:val="en-GB"/>
        </w:rPr>
        <w:t>:</w:t>
      </w:r>
    </w:p>
    <w:p w:rsidR="00017AC4" w:rsidRDefault="00017AC4" w:rsidP="00D261BF">
      <w:pPr>
        <w:adjustRightInd/>
        <w:snapToGrid w:val="0"/>
        <w:spacing w:before="240" w:after="120"/>
        <w:jc w:val="both"/>
        <w:rPr>
          <w:lang w:val="en-GB"/>
        </w:rPr>
      </w:pPr>
      <w:r>
        <w:rPr>
          <w:lang w:val="en-GB"/>
        </w:rPr>
        <w:t xml:space="preserve">The UE responds with MSG3, by using the same UE Tx beam that was used for the successful preamble and the gNB uses the same beam that was used to receive the successful preamble. </w:t>
      </w:r>
    </w:p>
    <w:p w:rsidR="00017AC4" w:rsidRDefault="00017AC4" w:rsidP="00D261BF">
      <w:pPr>
        <w:adjustRightInd/>
        <w:snapToGrid w:val="0"/>
        <w:spacing w:before="240" w:after="120"/>
        <w:jc w:val="both"/>
        <w:rPr>
          <w:lang w:val="en-GB"/>
        </w:rPr>
      </w:pPr>
      <w:r>
        <w:rPr>
          <w:lang w:val="en-GB"/>
        </w:rPr>
        <w:lastRenderedPageBreak/>
        <w:t>MSG4 may be transmitted and received largely as MSG2. However, further adaptations indicated in MSG2/3 are possible.</w:t>
      </w:r>
    </w:p>
    <w:p w:rsidR="00F1510A" w:rsidRDefault="00F1510A" w:rsidP="003372CB">
      <w:pPr>
        <w:pStyle w:val="Heading2"/>
        <w:numPr>
          <w:ilvl w:val="0"/>
          <w:numId w:val="13"/>
        </w:numPr>
        <w:rPr>
          <w:lang w:eastAsia="zh-CN"/>
        </w:rPr>
      </w:pPr>
      <w:r>
        <w:rPr>
          <w:lang w:eastAsia="zh-CN"/>
        </w:rPr>
        <w:t>Conclusions</w:t>
      </w:r>
    </w:p>
    <w:p w:rsidR="00897F2F" w:rsidRDefault="0003152A" w:rsidP="00897F2F">
      <w:pPr>
        <w:spacing w:line="240" w:lineRule="auto"/>
      </w:pPr>
      <w:r>
        <w:t>This contribution presented an overview of the baseline NR initial access for idle UEs.</w:t>
      </w:r>
    </w:p>
    <w:p w:rsidR="00A569A4" w:rsidRDefault="00A569A4" w:rsidP="00F1510A">
      <w:pPr>
        <w:pStyle w:val="Heading2"/>
        <w:rPr>
          <w:b/>
        </w:rPr>
      </w:pPr>
      <w:r>
        <w:t>References</w:t>
      </w:r>
    </w:p>
    <w:p w:rsidR="005F1A7F" w:rsidRDefault="005F1A7F" w:rsidP="003372CB">
      <w:pPr>
        <w:pStyle w:val="ListParagraph"/>
        <w:numPr>
          <w:ilvl w:val="0"/>
          <w:numId w:val="11"/>
        </w:numPr>
        <w:ind w:left="426" w:firstLineChars="0"/>
        <w:jc w:val="both"/>
        <w:rPr>
          <w:iCs/>
          <w:szCs w:val="20"/>
        </w:rPr>
      </w:pPr>
      <w:bookmarkStart w:id="4" w:name="_Ref465981458"/>
      <w:r>
        <w:rPr>
          <w:iCs/>
          <w:szCs w:val="20"/>
        </w:rPr>
        <w:t>R1-1611275, “Idle mode mobility”, ZTE, ZTE Microelectronics</w:t>
      </w:r>
      <w:bookmarkEnd w:id="4"/>
    </w:p>
    <w:p w:rsidR="009E555F" w:rsidRDefault="005F1A7F" w:rsidP="003372CB">
      <w:pPr>
        <w:pStyle w:val="ListParagraph"/>
        <w:numPr>
          <w:ilvl w:val="0"/>
          <w:numId w:val="11"/>
        </w:numPr>
        <w:ind w:left="426" w:firstLineChars="0"/>
        <w:jc w:val="both"/>
        <w:rPr>
          <w:iCs/>
          <w:szCs w:val="20"/>
        </w:rPr>
      </w:pPr>
      <w:bookmarkStart w:id="5" w:name="_Ref465981446"/>
      <w:r w:rsidRPr="005F1A7F">
        <w:rPr>
          <w:iCs/>
          <w:szCs w:val="20"/>
        </w:rPr>
        <w:t>R1-1611267</w:t>
      </w:r>
      <w:r>
        <w:rPr>
          <w:iCs/>
          <w:szCs w:val="20"/>
        </w:rPr>
        <w:t>, “NR-SS design”, ZTE, ZTE Microelectronics</w:t>
      </w:r>
      <w:bookmarkEnd w:id="5"/>
    </w:p>
    <w:p w:rsidR="005F1A7F" w:rsidRDefault="005F1A7F" w:rsidP="005F1A7F">
      <w:pPr>
        <w:pStyle w:val="ListParagraph"/>
        <w:numPr>
          <w:ilvl w:val="0"/>
          <w:numId w:val="11"/>
        </w:numPr>
        <w:ind w:left="426" w:firstLineChars="0"/>
        <w:jc w:val="both"/>
        <w:rPr>
          <w:iCs/>
          <w:szCs w:val="20"/>
        </w:rPr>
      </w:pPr>
      <w:bookmarkStart w:id="6" w:name="_Ref465982044"/>
      <w:r w:rsidRPr="005F1A7F">
        <w:rPr>
          <w:iCs/>
          <w:szCs w:val="20"/>
        </w:rPr>
        <w:t>R1-161126</w:t>
      </w:r>
      <w:r>
        <w:rPr>
          <w:iCs/>
          <w:szCs w:val="20"/>
        </w:rPr>
        <w:t>8, “SS block design”, ZTE, ZTE Microelectronics</w:t>
      </w:r>
      <w:bookmarkEnd w:id="6"/>
    </w:p>
    <w:p w:rsidR="005F1A7F" w:rsidRDefault="005F1A7F" w:rsidP="005F1A7F">
      <w:pPr>
        <w:pStyle w:val="ListParagraph"/>
        <w:numPr>
          <w:ilvl w:val="0"/>
          <w:numId w:val="11"/>
        </w:numPr>
        <w:ind w:left="426" w:firstLineChars="0"/>
        <w:jc w:val="both"/>
        <w:rPr>
          <w:iCs/>
          <w:szCs w:val="20"/>
        </w:rPr>
      </w:pPr>
      <w:bookmarkStart w:id="7" w:name="_Ref465981603"/>
      <w:r w:rsidRPr="005F1A7F">
        <w:rPr>
          <w:iCs/>
          <w:szCs w:val="20"/>
        </w:rPr>
        <w:t>R1-161126</w:t>
      </w:r>
      <w:r>
        <w:rPr>
          <w:iCs/>
          <w:szCs w:val="20"/>
        </w:rPr>
        <w:t>9, “SS burst design”, ZTE, ZTE Microelectronics</w:t>
      </w:r>
      <w:bookmarkEnd w:id="7"/>
    </w:p>
    <w:p w:rsidR="005F1A7F" w:rsidRDefault="005F1A7F" w:rsidP="005F1A7F">
      <w:pPr>
        <w:pStyle w:val="ListParagraph"/>
        <w:numPr>
          <w:ilvl w:val="0"/>
          <w:numId w:val="11"/>
        </w:numPr>
        <w:ind w:left="426" w:firstLineChars="0"/>
        <w:jc w:val="both"/>
        <w:rPr>
          <w:iCs/>
          <w:szCs w:val="20"/>
        </w:rPr>
      </w:pPr>
      <w:bookmarkStart w:id="8" w:name="_Ref465982501"/>
      <w:r w:rsidRPr="005F1A7F">
        <w:rPr>
          <w:iCs/>
          <w:szCs w:val="20"/>
        </w:rPr>
        <w:t>R1-16112</w:t>
      </w:r>
      <w:r>
        <w:rPr>
          <w:iCs/>
          <w:szCs w:val="20"/>
        </w:rPr>
        <w:t>70, “Channel raster issue of NR”, ZTE, ZTE Microelectronics</w:t>
      </w:r>
      <w:bookmarkEnd w:id="8"/>
    </w:p>
    <w:p w:rsidR="005F1A7F" w:rsidRDefault="005F1A7F" w:rsidP="005F1A7F">
      <w:pPr>
        <w:pStyle w:val="ListParagraph"/>
        <w:numPr>
          <w:ilvl w:val="0"/>
          <w:numId w:val="11"/>
        </w:numPr>
        <w:ind w:left="426" w:firstLineChars="0"/>
        <w:jc w:val="both"/>
        <w:rPr>
          <w:iCs/>
          <w:szCs w:val="20"/>
        </w:rPr>
      </w:pPr>
      <w:bookmarkStart w:id="9" w:name="_Ref465981467"/>
      <w:r w:rsidRPr="005F1A7F">
        <w:rPr>
          <w:iCs/>
          <w:szCs w:val="20"/>
        </w:rPr>
        <w:t>R1-1611</w:t>
      </w:r>
      <w:r>
        <w:rPr>
          <w:iCs/>
          <w:szCs w:val="20"/>
        </w:rPr>
        <w:t>443, “</w:t>
      </w:r>
      <w:r w:rsidRPr="005F1A7F">
        <w:rPr>
          <w:iCs/>
          <w:szCs w:val="20"/>
        </w:rPr>
        <w:t>Issues Related to NR-PBCH</w:t>
      </w:r>
      <w:r>
        <w:rPr>
          <w:iCs/>
          <w:szCs w:val="20"/>
        </w:rPr>
        <w:t>”, ZTE, ZTE Microelectronics</w:t>
      </w:r>
      <w:bookmarkEnd w:id="9"/>
    </w:p>
    <w:p w:rsidR="009F4FB8" w:rsidRDefault="009F4FB8" w:rsidP="009F4FB8">
      <w:pPr>
        <w:pStyle w:val="ListParagraph"/>
        <w:numPr>
          <w:ilvl w:val="0"/>
          <w:numId w:val="11"/>
        </w:numPr>
        <w:ind w:left="426" w:firstLineChars="0"/>
        <w:jc w:val="both"/>
        <w:rPr>
          <w:iCs/>
          <w:szCs w:val="20"/>
        </w:rPr>
      </w:pPr>
      <w:bookmarkStart w:id="10" w:name="_Ref465984221"/>
      <w:r>
        <w:rPr>
          <w:iCs/>
          <w:szCs w:val="20"/>
        </w:rPr>
        <w:t>R1-</w:t>
      </w:r>
      <w:r w:rsidRPr="005F1A7F">
        <w:rPr>
          <w:iCs/>
          <w:szCs w:val="20"/>
        </w:rPr>
        <w:t>1611</w:t>
      </w:r>
      <w:r>
        <w:rPr>
          <w:iCs/>
          <w:szCs w:val="20"/>
        </w:rPr>
        <w:t>273, “</w:t>
      </w:r>
      <w:r w:rsidRPr="009F4FB8">
        <w:rPr>
          <w:iCs/>
          <w:szCs w:val="20"/>
        </w:rPr>
        <w:t>Unified RACH procedure</w:t>
      </w:r>
      <w:r>
        <w:rPr>
          <w:iCs/>
          <w:szCs w:val="20"/>
        </w:rPr>
        <w:t>”, ZTE, ZTE Microelectronics</w:t>
      </w:r>
      <w:bookmarkEnd w:id="10"/>
    </w:p>
    <w:p w:rsidR="00B6345F" w:rsidRDefault="00B6345F" w:rsidP="009F4FB8">
      <w:pPr>
        <w:pStyle w:val="ListParagraph"/>
        <w:numPr>
          <w:ilvl w:val="0"/>
          <w:numId w:val="11"/>
        </w:numPr>
        <w:ind w:left="426" w:firstLineChars="0"/>
        <w:jc w:val="both"/>
        <w:rPr>
          <w:iCs/>
          <w:szCs w:val="20"/>
        </w:rPr>
      </w:pPr>
      <w:bookmarkStart w:id="11" w:name="_Ref465985258"/>
      <w:r>
        <w:rPr>
          <w:iCs/>
          <w:szCs w:val="20"/>
        </w:rPr>
        <w:t>R1-1611271, “</w:t>
      </w:r>
      <w:r w:rsidRPr="00B6345F">
        <w:rPr>
          <w:iCs/>
          <w:szCs w:val="20"/>
        </w:rPr>
        <w:t>Random access preamble structure and signaling</w:t>
      </w:r>
      <w:r>
        <w:rPr>
          <w:iCs/>
          <w:szCs w:val="20"/>
        </w:rPr>
        <w:t>”, ZTE, ZTE Microelectronics</w:t>
      </w:r>
      <w:bookmarkEnd w:id="11"/>
    </w:p>
    <w:p w:rsidR="005F1A7F" w:rsidRDefault="00A545BA" w:rsidP="003372CB">
      <w:pPr>
        <w:pStyle w:val="ListParagraph"/>
        <w:numPr>
          <w:ilvl w:val="0"/>
          <w:numId w:val="11"/>
        </w:numPr>
        <w:ind w:left="426" w:firstLineChars="0"/>
        <w:jc w:val="both"/>
        <w:rPr>
          <w:iCs/>
          <w:szCs w:val="20"/>
        </w:rPr>
      </w:pPr>
      <w:bookmarkStart w:id="12" w:name="_Ref465983582"/>
      <w:r>
        <w:rPr>
          <w:iCs/>
          <w:szCs w:val="20"/>
        </w:rPr>
        <w:t>R2-16</w:t>
      </w:r>
      <w:r w:rsidR="009602A3">
        <w:rPr>
          <w:iCs/>
          <w:szCs w:val="20"/>
        </w:rPr>
        <w:t>7843</w:t>
      </w:r>
      <w:r>
        <w:rPr>
          <w:iCs/>
          <w:szCs w:val="20"/>
        </w:rPr>
        <w:t>, “</w:t>
      </w:r>
      <w:r w:rsidRPr="00A545BA">
        <w:rPr>
          <w:iCs/>
          <w:szCs w:val="20"/>
        </w:rPr>
        <w:t>Further consideration on the Minimum SI delivery in NR</w:t>
      </w:r>
      <w:r>
        <w:rPr>
          <w:iCs/>
          <w:szCs w:val="20"/>
        </w:rPr>
        <w:t>”, ZTE</w:t>
      </w:r>
      <w:bookmarkEnd w:id="12"/>
      <w:r w:rsidR="009602A3">
        <w:rPr>
          <w:iCs/>
          <w:szCs w:val="20"/>
        </w:rPr>
        <w:t>, ZTE Microelectronics</w:t>
      </w:r>
    </w:p>
    <w:p w:rsidR="00A545BA" w:rsidRDefault="00A545BA" w:rsidP="003372CB">
      <w:pPr>
        <w:pStyle w:val="ListParagraph"/>
        <w:numPr>
          <w:ilvl w:val="0"/>
          <w:numId w:val="11"/>
        </w:numPr>
        <w:ind w:left="426" w:firstLineChars="0"/>
        <w:jc w:val="both"/>
        <w:rPr>
          <w:iCs/>
          <w:szCs w:val="20"/>
        </w:rPr>
      </w:pPr>
      <w:bookmarkStart w:id="13" w:name="_Ref465983588"/>
      <w:r>
        <w:rPr>
          <w:iCs/>
          <w:szCs w:val="20"/>
        </w:rPr>
        <w:t>R2-16</w:t>
      </w:r>
      <w:r w:rsidR="009602A3">
        <w:rPr>
          <w:iCs/>
          <w:szCs w:val="20"/>
        </w:rPr>
        <w:t>7844</w:t>
      </w:r>
      <w:r>
        <w:rPr>
          <w:iCs/>
          <w:szCs w:val="20"/>
        </w:rPr>
        <w:t>, “</w:t>
      </w:r>
      <w:r w:rsidRPr="00A545BA">
        <w:rPr>
          <w:iCs/>
          <w:szCs w:val="20"/>
        </w:rPr>
        <w:t>Further consideration on the Other SI delivery in NR</w:t>
      </w:r>
      <w:r>
        <w:rPr>
          <w:iCs/>
          <w:szCs w:val="20"/>
        </w:rPr>
        <w:t>”, ZTE</w:t>
      </w:r>
      <w:bookmarkEnd w:id="13"/>
      <w:r w:rsidR="009602A3">
        <w:rPr>
          <w:iCs/>
          <w:szCs w:val="20"/>
        </w:rPr>
        <w:t>, ZTE Microelectronics</w:t>
      </w:r>
    </w:p>
    <w:p w:rsidR="003C34CC" w:rsidRDefault="003C34CC" w:rsidP="003372CB">
      <w:pPr>
        <w:pStyle w:val="ListParagraph"/>
        <w:numPr>
          <w:ilvl w:val="0"/>
          <w:numId w:val="11"/>
        </w:numPr>
        <w:ind w:left="426" w:firstLineChars="0"/>
        <w:jc w:val="both"/>
        <w:rPr>
          <w:iCs/>
          <w:szCs w:val="20"/>
        </w:rPr>
      </w:pPr>
      <w:bookmarkStart w:id="14" w:name="_Ref466038404"/>
      <w:r>
        <w:rPr>
          <w:iCs/>
          <w:szCs w:val="20"/>
        </w:rPr>
        <w:t>R1-1611412 “</w:t>
      </w:r>
      <w:r w:rsidRPr="003C34CC">
        <w:rPr>
          <w:iCs/>
          <w:szCs w:val="20"/>
        </w:rPr>
        <w:t>Discussion on measurement related reference signals</w:t>
      </w:r>
      <w:r>
        <w:rPr>
          <w:iCs/>
          <w:szCs w:val="20"/>
        </w:rPr>
        <w:t>”, ZTE, ZTE Microelectronics</w:t>
      </w:r>
      <w:bookmarkEnd w:id="14"/>
    </w:p>
    <w:sectPr w:rsidR="003C34CC"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00AC" w:rsidRDefault="005C00AC" w:rsidP="00FF0AAD">
      <w:r>
        <w:separator/>
      </w:r>
    </w:p>
  </w:endnote>
  <w:endnote w:type="continuationSeparator" w:id="0">
    <w:p w:rsidR="005C00AC" w:rsidRDefault="005C00AC"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8018B0">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00AC" w:rsidRDefault="005C00AC" w:rsidP="00FF0AAD">
      <w:r>
        <w:separator/>
      </w:r>
    </w:p>
  </w:footnote>
  <w:footnote w:type="continuationSeparator" w:id="0">
    <w:p w:rsidR="005C00AC" w:rsidRDefault="005C00AC"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3">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8"/>
  </w:num>
  <w:num w:numId="3">
    <w:abstractNumId w:val="11"/>
  </w:num>
  <w:num w:numId="4">
    <w:abstractNumId w:val="9"/>
  </w:num>
  <w:num w:numId="5">
    <w:abstractNumId w:val="13"/>
  </w:num>
  <w:num w:numId="6">
    <w:abstractNumId w:val="24"/>
  </w:num>
  <w:num w:numId="7">
    <w:abstractNumId w:val="14"/>
  </w:num>
  <w:num w:numId="8">
    <w:abstractNumId w:val="12"/>
  </w:num>
  <w:num w:numId="9">
    <w:abstractNumId w:val="19"/>
  </w:num>
  <w:num w:numId="10">
    <w:abstractNumId w:val="10"/>
  </w:num>
  <w:num w:numId="11">
    <w:abstractNumId w:val="3"/>
  </w:num>
  <w:num w:numId="12">
    <w:abstractNumId w:val="1"/>
  </w:num>
  <w:num w:numId="13">
    <w:abstractNumId w:val="15"/>
  </w:num>
  <w:num w:numId="14">
    <w:abstractNumId w:val="4"/>
  </w:num>
  <w:num w:numId="15">
    <w:abstractNumId w:val="7"/>
  </w:num>
  <w:num w:numId="16">
    <w:abstractNumId w:val="20"/>
  </w:num>
  <w:num w:numId="17">
    <w:abstractNumId w:val="22"/>
  </w:num>
  <w:num w:numId="18">
    <w:abstractNumId w:val="0"/>
  </w:num>
  <w:num w:numId="19">
    <w:abstractNumId w:val="18"/>
  </w:num>
  <w:num w:numId="20">
    <w:abstractNumId w:val="6"/>
  </w:num>
  <w:num w:numId="21">
    <w:abstractNumId w:val="5"/>
  </w:num>
  <w:num w:numId="22">
    <w:abstractNumId w:val="16"/>
  </w:num>
  <w:num w:numId="23">
    <w:abstractNumId w:val="17"/>
  </w:num>
  <w:num w:numId="24">
    <w:abstractNumId w:val="23"/>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0706"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58DB"/>
    <w:rsid w:val="00005A6E"/>
    <w:rsid w:val="00007324"/>
    <w:rsid w:val="0001696F"/>
    <w:rsid w:val="00017AC4"/>
    <w:rsid w:val="00027F39"/>
    <w:rsid w:val="000314BE"/>
    <w:rsid w:val="0003152A"/>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E59"/>
    <w:rsid w:val="00082965"/>
    <w:rsid w:val="00083F98"/>
    <w:rsid w:val="00086A29"/>
    <w:rsid w:val="00091B52"/>
    <w:rsid w:val="00092939"/>
    <w:rsid w:val="00095947"/>
    <w:rsid w:val="000A01F5"/>
    <w:rsid w:val="000A13F7"/>
    <w:rsid w:val="000A27B9"/>
    <w:rsid w:val="000A2EBC"/>
    <w:rsid w:val="000A32E0"/>
    <w:rsid w:val="000A7F08"/>
    <w:rsid w:val="000B15C9"/>
    <w:rsid w:val="000B22BC"/>
    <w:rsid w:val="000B2582"/>
    <w:rsid w:val="000B7610"/>
    <w:rsid w:val="000C1E08"/>
    <w:rsid w:val="000D3411"/>
    <w:rsid w:val="000D5FF3"/>
    <w:rsid w:val="000D65D7"/>
    <w:rsid w:val="000D793E"/>
    <w:rsid w:val="000E2B65"/>
    <w:rsid w:val="000E3FBD"/>
    <w:rsid w:val="0010212F"/>
    <w:rsid w:val="001072DE"/>
    <w:rsid w:val="00111185"/>
    <w:rsid w:val="00112AC8"/>
    <w:rsid w:val="00116121"/>
    <w:rsid w:val="0011709C"/>
    <w:rsid w:val="00126145"/>
    <w:rsid w:val="00127D7C"/>
    <w:rsid w:val="001318B4"/>
    <w:rsid w:val="00133880"/>
    <w:rsid w:val="00136836"/>
    <w:rsid w:val="00140F02"/>
    <w:rsid w:val="00143E06"/>
    <w:rsid w:val="001442F6"/>
    <w:rsid w:val="00145121"/>
    <w:rsid w:val="0014740A"/>
    <w:rsid w:val="001475A2"/>
    <w:rsid w:val="001477A7"/>
    <w:rsid w:val="00151481"/>
    <w:rsid w:val="0016007C"/>
    <w:rsid w:val="00161014"/>
    <w:rsid w:val="00164066"/>
    <w:rsid w:val="0016721B"/>
    <w:rsid w:val="00171139"/>
    <w:rsid w:val="001721E6"/>
    <w:rsid w:val="001742D5"/>
    <w:rsid w:val="00174436"/>
    <w:rsid w:val="001767E6"/>
    <w:rsid w:val="00177ABB"/>
    <w:rsid w:val="0018036E"/>
    <w:rsid w:val="00180466"/>
    <w:rsid w:val="001825DA"/>
    <w:rsid w:val="001841A8"/>
    <w:rsid w:val="00184AF5"/>
    <w:rsid w:val="00185733"/>
    <w:rsid w:val="00190A8D"/>
    <w:rsid w:val="00190C54"/>
    <w:rsid w:val="00194BDB"/>
    <w:rsid w:val="00196645"/>
    <w:rsid w:val="001A29FE"/>
    <w:rsid w:val="001A2C2B"/>
    <w:rsid w:val="001A5421"/>
    <w:rsid w:val="001B21A1"/>
    <w:rsid w:val="001B2CDE"/>
    <w:rsid w:val="001B48B3"/>
    <w:rsid w:val="001B7CE7"/>
    <w:rsid w:val="001C05BA"/>
    <w:rsid w:val="001C06FA"/>
    <w:rsid w:val="001C3DF5"/>
    <w:rsid w:val="001D1BAF"/>
    <w:rsid w:val="001D5F96"/>
    <w:rsid w:val="001D6048"/>
    <w:rsid w:val="001E0A05"/>
    <w:rsid w:val="001E6124"/>
    <w:rsid w:val="001E6819"/>
    <w:rsid w:val="001F0617"/>
    <w:rsid w:val="001F576E"/>
    <w:rsid w:val="001F5B0C"/>
    <w:rsid w:val="0020218A"/>
    <w:rsid w:val="0020686F"/>
    <w:rsid w:val="00217556"/>
    <w:rsid w:val="00220CE0"/>
    <w:rsid w:val="00221120"/>
    <w:rsid w:val="00224645"/>
    <w:rsid w:val="0022556B"/>
    <w:rsid w:val="0022597F"/>
    <w:rsid w:val="00226D96"/>
    <w:rsid w:val="0022720E"/>
    <w:rsid w:val="00227FD4"/>
    <w:rsid w:val="00233288"/>
    <w:rsid w:val="002333B7"/>
    <w:rsid w:val="002363A9"/>
    <w:rsid w:val="002441F4"/>
    <w:rsid w:val="00244D42"/>
    <w:rsid w:val="0024567E"/>
    <w:rsid w:val="00247311"/>
    <w:rsid w:val="00247C07"/>
    <w:rsid w:val="002519B7"/>
    <w:rsid w:val="00251E7C"/>
    <w:rsid w:val="002530C6"/>
    <w:rsid w:val="0025650E"/>
    <w:rsid w:val="002611F2"/>
    <w:rsid w:val="002614C5"/>
    <w:rsid w:val="00267558"/>
    <w:rsid w:val="0026790F"/>
    <w:rsid w:val="00272467"/>
    <w:rsid w:val="002724C1"/>
    <w:rsid w:val="0027255D"/>
    <w:rsid w:val="00273A29"/>
    <w:rsid w:val="00274701"/>
    <w:rsid w:val="0027765B"/>
    <w:rsid w:val="00282EAA"/>
    <w:rsid w:val="00283F82"/>
    <w:rsid w:val="00284B7D"/>
    <w:rsid w:val="00285137"/>
    <w:rsid w:val="0028554E"/>
    <w:rsid w:val="0029127B"/>
    <w:rsid w:val="002938A5"/>
    <w:rsid w:val="00295148"/>
    <w:rsid w:val="00295775"/>
    <w:rsid w:val="002960F4"/>
    <w:rsid w:val="002973B9"/>
    <w:rsid w:val="002973C9"/>
    <w:rsid w:val="002974D4"/>
    <w:rsid w:val="002A2FA8"/>
    <w:rsid w:val="002A3C50"/>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48EB"/>
    <w:rsid w:val="002D5F26"/>
    <w:rsid w:val="002D6B6C"/>
    <w:rsid w:val="002E441D"/>
    <w:rsid w:val="002E4C97"/>
    <w:rsid w:val="002E794D"/>
    <w:rsid w:val="002F0126"/>
    <w:rsid w:val="002F2FF2"/>
    <w:rsid w:val="002F3759"/>
    <w:rsid w:val="002F5517"/>
    <w:rsid w:val="002F7C7C"/>
    <w:rsid w:val="00303F19"/>
    <w:rsid w:val="00305F25"/>
    <w:rsid w:val="00310A97"/>
    <w:rsid w:val="003128D3"/>
    <w:rsid w:val="00312C1A"/>
    <w:rsid w:val="00312DD1"/>
    <w:rsid w:val="00313E5D"/>
    <w:rsid w:val="0031570F"/>
    <w:rsid w:val="003162A2"/>
    <w:rsid w:val="00320818"/>
    <w:rsid w:val="00330C28"/>
    <w:rsid w:val="0033176D"/>
    <w:rsid w:val="00337150"/>
    <w:rsid w:val="003372CB"/>
    <w:rsid w:val="00341B32"/>
    <w:rsid w:val="00346CE0"/>
    <w:rsid w:val="003504B5"/>
    <w:rsid w:val="003526EC"/>
    <w:rsid w:val="003533A7"/>
    <w:rsid w:val="00360683"/>
    <w:rsid w:val="003631E5"/>
    <w:rsid w:val="003664A9"/>
    <w:rsid w:val="00373017"/>
    <w:rsid w:val="00377306"/>
    <w:rsid w:val="00391673"/>
    <w:rsid w:val="00392963"/>
    <w:rsid w:val="003946D4"/>
    <w:rsid w:val="003969B2"/>
    <w:rsid w:val="003A13E4"/>
    <w:rsid w:val="003A2A06"/>
    <w:rsid w:val="003A2BBC"/>
    <w:rsid w:val="003A3800"/>
    <w:rsid w:val="003A54C5"/>
    <w:rsid w:val="003A6500"/>
    <w:rsid w:val="003A6C85"/>
    <w:rsid w:val="003B3883"/>
    <w:rsid w:val="003B40ED"/>
    <w:rsid w:val="003B46C8"/>
    <w:rsid w:val="003B5CF4"/>
    <w:rsid w:val="003C18A9"/>
    <w:rsid w:val="003C34CC"/>
    <w:rsid w:val="003C361A"/>
    <w:rsid w:val="003C3674"/>
    <w:rsid w:val="003C3FCC"/>
    <w:rsid w:val="003C70DA"/>
    <w:rsid w:val="003D2D35"/>
    <w:rsid w:val="003D3730"/>
    <w:rsid w:val="003D3EC9"/>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24E0"/>
    <w:rsid w:val="00432BCA"/>
    <w:rsid w:val="00435AD0"/>
    <w:rsid w:val="00441AA1"/>
    <w:rsid w:val="00445C39"/>
    <w:rsid w:val="00446005"/>
    <w:rsid w:val="00446AE1"/>
    <w:rsid w:val="0044782C"/>
    <w:rsid w:val="0046088D"/>
    <w:rsid w:val="00461C5A"/>
    <w:rsid w:val="0046454E"/>
    <w:rsid w:val="004656EE"/>
    <w:rsid w:val="00466205"/>
    <w:rsid w:val="00466A01"/>
    <w:rsid w:val="00475B05"/>
    <w:rsid w:val="00477C38"/>
    <w:rsid w:val="0048006F"/>
    <w:rsid w:val="0048204D"/>
    <w:rsid w:val="00487887"/>
    <w:rsid w:val="0049178D"/>
    <w:rsid w:val="0049275B"/>
    <w:rsid w:val="00493C58"/>
    <w:rsid w:val="00495684"/>
    <w:rsid w:val="00496761"/>
    <w:rsid w:val="00496C3B"/>
    <w:rsid w:val="00496CF4"/>
    <w:rsid w:val="004976F3"/>
    <w:rsid w:val="00497ADB"/>
    <w:rsid w:val="004A0A1F"/>
    <w:rsid w:val="004B0201"/>
    <w:rsid w:val="004B321C"/>
    <w:rsid w:val="004B77E3"/>
    <w:rsid w:val="004C1005"/>
    <w:rsid w:val="004C145A"/>
    <w:rsid w:val="004C2834"/>
    <w:rsid w:val="004C46E1"/>
    <w:rsid w:val="004C5861"/>
    <w:rsid w:val="004C63EE"/>
    <w:rsid w:val="004C6A8B"/>
    <w:rsid w:val="004D10DB"/>
    <w:rsid w:val="004D15BB"/>
    <w:rsid w:val="004D1EE6"/>
    <w:rsid w:val="004D28B9"/>
    <w:rsid w:val="004D6142"/>
    <w:rsid w:val="004E4C0B"/>
    <w:rsid w:val="004E4C1E"/>
    <w:rsid w:val="004E72AC"/>
    <w:rsid w:val="004E78E8"/>
    <w:rsid w:val="004F02FF"/>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63C8"/>
    <w:rsid w:val="00536611"/>
    <w:rsid w:val="00536B5C"/>
    <w:rsid w:val="00543A5D"/>
    <w:rsid w:val="005464D2"/>
    <w:rsid w:val="00546F7A"/>
    <w:rsid w:val="00555AFA"/>
    <w:rsid w:val="005573A0"/>
    <w:rsid w:val="00557A2B"/>
    <w:rsid w:val="00565697"/>
    <w:rsid w:val="00566C02"/>
    <w:rsid w:val="0057083E"/>
    <w:rsid w:val="00570FDA"/>
    <w:rsid w:val="0057681B"/>
    <w:rsid w:val="00580ADA"/>
    <w:rsid w:val="00580ED6"/>
    <w:rsid w:val="00584FEA"/>
    <w:rsid w:val="00585079"/>
    <w:rsid w:val="00587EC0"/>
    <w:rsid w:val="005902A1"/>
    <w:rsid w:val="00590621"/>
    <w:rsid w:val="00593D05"/>
    <w:rsid w:val="0059566C"/>
    <w:rsid w:val="00597ABB"/>
    <w:rsid w:val="005A0289"/>
    <w:rsid w:val="005A22CF"/>
    <w:rsid w:val="005A41EA"/>
    <w:rsid w:val="005B000C"/>
    <w:rsid w:val="005B0B97"/>
    <w:rsid w:val="005B3EF1"/>
    <w:rsid w:val="005B6C81"/>
    <w:rsid w:val="005C00AC"/>
    <w:rsid w:val="005C15A0"/>
    <w:rsid w:val="005D6743"/>
    <w:rsid w:val="005D680C"/>
    <w:rsid w:val="005E2AE9"/>
    <w:rsid w:val="005E4DEB"/>
    <w:rsid w:val="005F0BCE"/>
    <w:rsid w:val="005F1A7F"/>
    <w:rsid w:val="005F34F7"/>
    <w:rsid w:val="005F56A6"/>
    <w:rsid w:val="00600C93"/>
    <w:rsid w:val="006012C6"/>
    <w:rsid w:val="00602802"/>
    <w:rsid w:val="0060538B"/>
    <w:rsid w:val="00605B13"/>
    <w:rsid w:val="00612F9F"/>
    <w:rsid w:val="00613EFD"/>
    <w:rsid w:val="00616913"/>
    <w:rsid w:val="00617630"/>
    <w:rsid w:val="00620346"/>
    <w:rsid w:val="00620555"/>
    <w:rsid w:val="006222ED"/>
    <w:rsid w:val="00624BB7"/>
    <w:rsid w:val="00625409"/>
    <w:rsid w:val="0062638D"/>
    <w:rsid w:val="0063642D"/>
    <w:rsid w:val="0063684A"/>
    <w:rsid w:val="0064134B"/>
    <w:rsid w:val="006506EE"/>
    <w:rsid w:val="00650B77"/>
    <w:rsid w:val="00656384"/>
    <w:rsid w:val="00657662"/>
    <w:rsid w:val="006653D4"/>
    <w:rsid w:val="00666E6D"/>
    <w:rsid w:val="00667F6E"/>
    <w:rsid w:val="00671904"/>
    <w:rsid w:val="006722CE"/>
    <w:rsid w:val="00676281"/>
    <w:rsid w:val="00676BE4"/>
    <w:rsid w:val="00677F9F"/>
    <w:rsid w:val="0068274D"/>
    <w:rsid w:val="00690BB8"/>
    <w:rsid w:val="0069278C"/>
    <w:rsid w:val="00693A87"/>
    <w:rsid w:val="00696B73"/>
    <w:rsid w:val="006A185C"/>
    <w:rsid w:val="006A4230"/>
    <w:rsid w:val="006A42F6"/>
    <w:rsid w:val="006A6E0F"/>
    <w:rsid w:val="006B48F1"/>
    <w:rsid w:val="006B5E70"/>
    <w:rsid w:val="006B73F6"/>
    <w:rsid w:val="006C2467"/>
    <w:rsid w:val="006C60A2"/>
    <w:rsid w:val="006C720A"/>
    <w:rsid w:val="006C7454"/>
    <w:rsid w:val="006D4C4D"/>
    <w:rsid w:val="006D512F"/>
    <w:rsid w:val="006D52EC"/>
    <w:rsid w:val="006D7CA8"/>
    <w:rsid w:val="006E12D3"/>
    <w:rsid w:val="006E5253"/>
    <w:rsid w:val="006E6B9A"/>
    <w:rsid w:val="006F5508"/>
    <w:rsid w:val="00701EF9"/>
    <w:rsid w:val="007048C3"/>
    <w:rsid w:val="00711BA2"/>
    <w:rsid w:val="00712655"/>
    <w:rsid w:val="00713CC9"/>
    <w:rsid w:val="00721BE6"/>
    <w:rsid w:val="00723A10"/>
    <w:rsid w:val="00726156"/>
    <w:rsid w:val="00732383"/>
    <w:rsid w:val="00732D48"/>
    <w:rsid w:val="00732E84"/>
    <w:rsid w:val="00733BDE"/>
    <w:rsid w:val="00737957"/>
    <w:rsid w:val="007477F6"/>
    <w:rsid w:val="0075003C"/>
    <w:rsid w:val="00754C81"/>
    <w:rsid w:val="007561F9"/>
    <w:rsid w:val="00757C50"/>
    <w:rsid w:val="00760049"/>
    <w:rsid w:val="00760131"/>
    <w:rsid w:val="0076030D"/>
    <w:rsid w:val="00761F1C"/>
    <w:rsid w:val="0076369E"/>
    <w:rsid w:val="007646A4"/>
    <w:rsid w:val="00765BB9"/>
    <w:rsid w:val="00766C46"/>
    <w:rsid w:val="00766FA3"/>
    <w:rsid w:val="00771468"/>
    <w:rsid w:val="00772D0C"/>
    <w:rsid w:val="00773E97"/>
    <w:rsid w:val="00784191"/>
    <w:rsid w:val="0078762A"/>
    <w:rsid w:val="007911DF"/>
    <w:rsid w:val="00791A5D"/>
    <w:rsid w:val="00791EC5"/>
    <w:rsid w:val="00792173"/>
    <w:rsid w:val="00793203"/>
    <w:rsid w:val="007960C4"/>
    <w:rsid w:val="0079666E"/>
    <w:rsid w:val="0079669E"/>
    <w:rsid w:val="00796A2A"/>
    <w:rsid w:val="007A2A69"/>
    <w:rsid w:val="007A2D26"/>
    <w:rsid w:val="007A412D"/>
    <w:rsid w:val="007B059C"/>
    <w:rsid w:val="007B546D"/>
    <w:rsid w:val="007B7386"/>
    <w:rsid w:val="007C33E4"/>
    <w:rsid w:val="007D3894"/>
    <w:rsid w:val="007E04D4"/>
    <w:rsid w:val="007E267A"/>
    <w:rsid w:val="007E5CF8"/>
    <w:rsid w:val="007E771D"/>
    <w:rsid w:val="007F143F"/>
    <w:rsid w:val="007F3EF2"/>
    <w:rsid w:val="007F538E"/>
    <w:rsid w:val="008010A5"/>
    <w:rsid w:val="008018B0"/>
    <w:rsid w:val="00801948"/>
    <w:rsid w:val="00804085"/>
    <w:rsid w:val="00804288"/>
    <w:rsid w:val="0080681C"/>
    <w:rsid w:val="00807778"/>
    <w:rsid w:val="00812E66"/>
    <w:rsid w:val="00813AC2"/>
    <w:rsid w:val="00813CD3"/>
    <w:rsid w:val="0081518A"/>
    <w:rsid w:val="00815E75"/>
    <w:rsid w:val="00816F96"/>
    <w:rsid w:val="00823E65"/>
    <w:rsid w:val="008244E5"/>
    <w:rsid w:val="00824762"/>
    <w:rsid w:val="008339F9"/>
    <w:rsid w:val="0083545E"/>
    <w:rsid w:val="00836840"/>
    <w:rsid w:val="00840AB6"/>
    <w:rsid w:val="00842222"/>
    <w:rsid w:val="00842932"/>
    <w:rsid w:val="008459AF"/>
    <w:rsid w:val="00846CBF"/>
    <w:rsid w:val="00846FAB"/>
    <w:rsid w:val="00847EDD"/>
    <w:rsid w:val="00852480"/>
    <w:rsid w:val="00853203"/>
    <w:rsid w:val="00853251"/>
    <w:rsid w:val="00856CC3"/>
    <w:rsid w:val="00870BF0"/>
    <w:rsid w:val="00870FE7"/>
    <w:rsid w:val="008716FA"/>
    <w:rsid w:val="00871D7E"/>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C00"/>
    <w:rsid w:val="008C4EB6"/>
    <w:rsid w:val="008D2554"/>
    <w:rsid w:val="008D347B"/>
    <w:rsid w:val="008D3EF6"/>
    <w:rsid w:val="008E27D5"/>
    <w:rsid w:val="008E426D"/>
    <w:rsid w:val="0090352C"/>
    <w:rsid w:val="0090427E"/>
    <w:rsid w:val="0090516B"/>
    <w:rsid w:val="00905828"/>
    <w:rsid w:val="009146DD"/>
    <w:rsid w:val="00915D34"/>
    <w:rsid w:val="00916155"/>
    <w:rsid w:val="00916A11"/>
    <w:rsid w:val="00921D45"/>
    <w:rsid w:val="00931C9D"/>
    <w:rsid w:val="00932248"/>
    <w:rsid w:val="00932BEF"/>
    <w:rsid w:val="00934221"/>
    <w:rsid w:val="0093734D"/>
    <w:rsid w:val="009402E9"/>
    <w:rsid w:val="009433CB"/>
    <w:rsid w:val="0095082C"/>
    <w:rsid w:val="009545DE"/>
    <w:rsid w:val="0096003B"/>
    <w:rsid w:val="009602A3"/>
    <w:rsid w:val="009625EF"/>
    <w:rsid w:val="009628AF"/>
    <w:rsid w:val="00971496"/>
    <w:rsid w:val="00971DDC"/>
    <w:rsid w:val="0097265A"/>
    <w:rsid w:val="00972F70"/>
    <w:rsid w:val="009745AB"/>
    <w:rsid w:val="009810AE"/>
    <w:rsid w:val="009854F3"/>
    <w:rsid w:val="009871A7"/>
    <w:rsid w:val="00991070"/>
    <w:rsid w:val="00991963"/>
    <w:rsid w:val="00992DCD"/>
    <w:rsid w:val="009B147D"/>
    <w:rsid w:val="009B2AA7"/>
    <w:rsid w:val="009B5573"/>
    <w:rsid w:val="009B5B9F"/>
    <w:rsid w:val="009C1507"/>
    <w:rsid w:val="009C5DBD"/>
    <w:rsid w:val="009D03F9"/>
    <w:rsid w:val="009D1A30"/>
    <w:rsid w:val="009D2D92"/>
    <w:rsid w:val="009D31B7"/>
    <w:rsid w:val="009D4E27"/>
    <w:rsid w:val="009D7EE2"/>
    <w:rsid w:val="009E0835"/>
    <w:rsid w:val="009E27A5"/>
    <w:rsid w:val="009E2BBA"/>
    <w:rsid w:val="009E555F"/>
    <w:rsid w:val="009E748B"/>
    <w:rsid w:val="009F3333"/>
    <w:rsid w:val="009F35E1"/>
    <w:rsid w:val="009F4FB8"/>
    <w:rsid w:val="009F5202"/>
    <w:rsid w:val="009F6F2F"/>
    <w:rsid w:val="00A0363B"/>
    <w:rsid w:val="00A044DF"/>
    <w:rsid w:val="00A07D64"/>
    <w:rsid w:val="00A16D4F"/>
    <w:rsid w:val="00A20E0B"/>
    <w:rsid w:val="00A22250"/>
    <w:rsid w:val="00A22F3F"/>
    <w:rsid w:val="00A237B2"/>
    <w:rsid w:val="00A24CCA"/>
    <w:rsid w:val="00A24F87"/>
    <w:rsid w:val="00A25CF2"/>
    <w:rsid w:val="00A279D4"/>
    <w:rsid w:val="00A27B2A"/>
    <w:rsid w:val="00A3163C"/>
    <w:rsid w:val="00A31718"/>
    <w:rsid w:val="00A34767"/>
    <w:rsid w:val="00A411EE"/>
    <w:rsid w:val="00A4219D"/>
    <w:rsid w:val="00A4759F"/>
    <w:rsid w:val="00A508F9"/>
    <w:rsid w:val="00A515D6"/>
    <w:rsid w:val="00A52561"/>
    <w:rsid w:val="00A52FC5"/>
    <w:rsid w:val="00A53FC5"/>
    <w:rsid w:val="00A540F3"/>
    <w:rsid w:val="00A545BA"/>
    <w:rsid w:val="00A54F01"/>
    <w:rsid w:val="00A55F27"/>
    <w:rsid w:val="00A569A4"/>
    <w:rsid w:val="00A57168"/>
    <w:rsid w:val="00A57D7C"/>
    <w:rsid w:val="00A62B1A"/>
    <w:rsid w:val="00A63B04"/>
    <w:rsid w:val="00A71BD4"/>
    <w:rsid w:val="00A72B9C"/>
    <w:rsid w:val="00A7317C"/>
    <w:rsid w:val="00A76243"/>
    <w:rsid w:val="00A762D5"/>
    <w:rsid w:val="00A773F5"/>
    <w:rsid w:val="00A805A8"/>
    <w:rsid w:val="00A80B01"/>
    <w:rsid w:val="00A86536"/>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5888"/>
    <w:rsid w:val="00B07901"/>
    <w:rsid w:val="00B1029B"/>
    <w:rsid w:val="00B107DB"/>
    <w:rsid w:val="00B12666"/>
    <w:rsid w:val="00B12F59"/>
    <w:rsid w:val="00B139DE"/>
    <w:rsid w:val="00B22638"/>
    <w:rsid w:val="00B243F4"/>
    <w:rsid w:val="00B24CFC"/>
    <w:rsid w:val="00B26DD1"/>
    <w:rsid w:val="00B31627"/>
    <w:rsid w:val="00B31DEC"/>
    <w:rsid w:val="00B32C30"/>
    <w:rsid w:val="00B35602"/>
    <w:rsid w:val="00B37427"/>
    <w:rsid w:val="00B40B53"/>
    <w:rsid w:val="00B46077"/>
    <w:rsid w:val="00B5400B"/>
    <w:rsid w:val="00B55FA9"/>
    <w:rsid w:val="00B56B1F"/>
    <w:rsid w:val="00B578C5"/>
    <w:rsid w:val="00B60DCF"/>
    <w:rsid w:val="00B6345F"/>
    <w:rsid w:val="00B700A8"/>
    <w:rsid w:val="00B72D05"/>
    <w:rsid w:val="00B73E13"/>
    <w:rsid w:val="00B76024"/>
    <w:rsid w:val="00B765A4"/>
    <w:rsid w:val="00B816F5"/>
    <w:rsid w:val="00B8312D"/>
    <w:rsid w:val="00B83E85"/>
    <w:rsid w:val="00B846EC"/>
    <w:rsid w:val="00B86BDA"/>
    <w:rsid w:val="00B87244"/>
    <w:rsid w:val="00B87640"/>
    <w:rsid w:val="00B94CC6"/>
    <w:rsid w:val="00B95D79"/>
    <w:rsid w:val="00BA1C72"/>
    <w:rsid w:val="00BA48BD"/>
    <w:rsid w:val="00BB6344"/>
    <w:rsid w:val="00BC0F95"/>
    <w:rsid w:val="00BC1F67"/>
    <w:rsid w:val="00BC2EC5"/>
    <w:rsid w:val="00BC7528"/>
    <w:rsid w:val="00BC7924"/>
    <w:rsid w:val="00BD1F36"/>
    <w:rsid w:val="00BD2499"/>
    <w:rsid w:val="00BD285A"/>
    <w:rsid w:val="00BD4AC8"/>
    <w:rsid w:val="00BE1E0A"/>
    <w:rsid w:val="00BE2E7D"/>
    <w:rsid w:val="00BF2B67"/>
    <w:rsid w:val="00BF2C7E"/>
    <w:rsid w:val="00BF4E61"/>
    <w:rsid w:val="00BF60CE"/>
    <w:rsid w:val="00C02F16"/>
    <w:rsid w:val="00C062F6"/>
    <w:rsid w:val="00C115D4"/>
    <w:rsid w:val="00C15566"/>
    <w:rsid w:val="00C16D62"/>
    <w:rsid w:val="00C24819"/>
    <w:rsid w:val="00C30640"/>
    <w:rsid w:val="00C3079E"/>
    <w:rsid w:val="00C33CBA"/>
    <w:rsid w:val="00C42297"/>
    <w:rsid w:val="00C44689"/>
    <w:rsid w:val="00C47ABD"/>
    <w:rsid w:val="00C50168"/>
    <w:rsid w:val="00C516B7"/>
    <w:rsid w:val="00C53622"/>
    <w:rsid w:val="00C54982"/>
    <w:rsid w:val="00C5567E"/>
    <w:rsid w:val="00C561C8"/>
    <w:rsid w:val="00C573D9"/>
    <w:rsid w:val="00C66B5A"/>
    <w:rsid w:val="00C7277F"/>
    <w:rsid w:val="00C73478"/>
    <w:rsid w:val="00C81BB1"/>
    <w:rsid w:val="00C8562D"/>
    <w:rsid w:val="00C86B00"/>
    <w:rsid w:val="00C86B68"/>
    <w:rsid w:val="00C93EDD"/>
    <w:rsid w:val="00C953EF"/>
    <w:rsid w:val="00C97311"/>
    <w:rsid w:val="00CA32E5"/>
    <w:rsid w:val="00CA7B1E"/>
    <w:rsid w:val="00CC0088"/>
    <w:rsid w:val="00CC39FD"/>
    <w:rsid w:val="00CD3FBE"/>
    <w:rsid w:val="00CD478F"/>
    <w:rsid w:val="00CE1B6E"/>
    <w:rsid w:val="00CE4DE5"/>
    <w:rsid w:val="00CF2343"/>
    <w:rsid w:val="00CF356A"/>
    <w:rsid w:val="00CF527B"/>
    <w:rsid w:val="00D00BD8"/>
    <w:rsid w:val="00D02F5A"/>
    <w:rsid w:val="00D0360C"/>
    <w:rsid w:val="00D04B88"/>
    <w:rsid w:val="00D07265"/>
    <w:rsid w:val="00D12160"/>
    <w:rsid w:val="00D15C08"/>
    <w:rsid w:val="00D15E25"/>
    <w:rsid w:val="00D22B56"/>
    <w:rsid w:val="00D25CA2"/>
    <w:rsid w:val="00D261BF"/>
    <w:rsid w:val="00D26398"/>
    <w:rsid w:val="00D273EF"/>
    <w:rsid w:val="00D2780E"/>
    <w:rsid w:val="00D32A1B"/>
    <w:rsid w:val="00D3302E"/>
    <w:rsid w:val="00D4452F"/>
    <w:rsid w:val="00D45706"/>
    <w:rsid w:val="00D462B9"/>
    <w:rsid w:val="00D51AB5"/>
    <w:rsid w:val="00D5308D"/>
    <w:rsid w:val="00D53D01"/>
    <w:rsid w:val="00D56DBA"/>
    <w:rsid w:val="00D62003"/>
    <w:rsid w:val="00D673E0"/>
    <w:rsid w:val="00D70674"/>
    <w:rsid w:val="00D7074E"/>
    <w:rsid w:val="00D72F23"/>
    <w:rsid w:val="00D743AA"/>
    <w:rsid w:val="00D76E1B"/>
    <w:rsid w:val="00D8248D"/>
    <w:rsid w:val="00D82A53"/>
    <w:rsid w:val="00D83034"/>
    <w:rsid w:val="00D85273"/>
    <w:rsid w:val="00D876F7"/>
    <w:rsid w:val="00D9131C"/>
    <w:rsid w:val="00D930FE"/>
    <w:rsid w:val="00D93AC6"/>
    <w:rsid w:val="00D93B0C"/>
    <w:rsid w:val="00D96FEA"/>
    <w:rsid w:val="00DA12AB"/>
    <w:rsid w:val="00DA19C6"/>
    <w:rsid w:val="00DA5597"/>
    <w:rsid w:val="00DA7D2F"/>
    <w:rsid w:val="00DB292F"/>
    <w:rsid w:val="00DB5B00"/>
    <w:rsid w:val="00DC169B"/>
    <w:rsid w:val="00DC254A"/>
    <w:rsid w:val="00DC4081"/>
    <w:rsid w:val="00DD34F8"/>
    <w:rsid w:val="00DD646B"/>
    <w:rsid w:val="00DD71A4"/>
    <w:rsid w:val="00DD785D"/>
    <w:rsid w:val="00DE0E7D"/>
    <w:rsid w:val="00DE1EBF"/>
    <w:rsid w:val="00DE31A3"/>
    <w:rsid w:val="00DE54C5"/>
    <w:rsid w:val="00DF219B"/>
    <w:rsid w:val="00DF25FD"/>
    <w:rsid w:val="00DF3C06"/>
    <w:rsid w:val="00DF65B2"/>
    <w:rsid w:val="00E0055C"/>
    <w:rsid w:val="00E00801"/>
    <w:rsid w:val="00E0278A"/>
    <w:rsid w:val="00E03A4D"/>
    <w:rsid w:val="00E051E3"/>
    <w:rsid w:val="00E05567"/>
    <w:rsid w:val="00E07960"/>
    <w:rsid w:val="00E1495E"/>
    <w:rsid w:val="00E14F87"/>
    <w:rsid w:val="00E153F6"/>
    <w:rsid w:val="00E20171"/>
    <w:rsid w:val="00E3293F"/>
    <w:rsid w:val="00E34CA4"/>
    <w:rsid w:val="00E35457"/>
    <w:rsid w:val="00E35B00"/>
    <w:rsid w:val="00E4164A"/>
    <w:rsid w:val="00E43702"/>
    <w:rsid w:val="00E43842"/>
    <w:rsid w:val="00E4509B"/>
    <w:rsid w:val="00E4633B"/>
    <w:rsid w:val="00E46717"/>
    <w:rsid w:val="00E47699"/>
    <w:rsid w:val="00E47AE4"/>
    <w:rsid w:val="00E52E3C"/>
    <w:rsid w:val="00E53CC2"/>
    <w:rsid w:val="00E540F5"/>
    <w:rsid w:val="00E569C1"/>
    <w:rsid w:val="00E57329"/>
    <w:rsid w:val="00E6253B"/>
    <w:rsid w:val="00E631F7"/>
    <w:rsid w:val="00E75AF8"/>
    <w:rsid w:val="00E77CC4"/>
    <w:rsid w:val="00E80D8D"/>
    <w:rsid w:val="00E91BDE"/>
    <w:rsid w:val="00E943EE"/>
    <w:rsid w:val="00E95BF2"/>
    <w:rsid w:val="00E97D96"/>
    <w:rsid w:val="00EA5B9D"/>
    <w:rsid w:val="00EA622C"/>
    <w:rsid w:val="00EB0370"/>
    <w:rsid w:val="00EB434B"/>
    <w:rsid w:val="00EC162F"/>
    <w:rsid w:val="00EC363B"/>
    <w:rsid w:val="00ED1674"/>
    <w:rsid w:val="00ED1A2D"/>
    <w:rsid w:val="00ED2C69"/>
    <w:rsid w:val="00ED7742"/>
    <w:rsid w:val="00EE01E9"/>
    <w:rsid w:val="00EE5769"/>
    <w:rsid w:val="00EE6CB7"/>
    <w:rsid w:val="00F001B4"/>
    <w:rsid w:val="00F00FAE"/>
    <w:rsid w:val="00F01A21"/>
    <w:rsid w:val="00F055EA"/>
    <w:rsid w:val="00F062A2"/>
    <w:rsid w:val="00F14DE5"/>
    <w:rsid w:val="00F1510A"/>
    <w:rsid w:val="00F15DDF"/>
    <w:rsid w:val="00F17791"/>
    <w:rsid w:val="00F22144"/>
    <w:rsid w:val="00F27B5D"/>
    <w:rsid w:val="00F313F6"/>
    <w:rsid w:val="00F31E9F"/>
    <w:rsid w:val="00F40727"/>
    <w:rsid w:val="00F422C3"/>
    <w:rsid w:val="00F423D3"/>
    <w:rsid w:val="00F43013"/>
    <w:rsid w:val="00F51193"/>
    <w:rsid w:val="00F57C13"/>
    <w:rsid w:val="00F610CA"/>
    <w:rsid w:val="00F65C85"/>
    <w:rsid w:val="00F7227E"/>
    <w:rsid w:val="00F8225E"/>
    <w:rsid w:val="00F924D8"/>
    <w:rsid w:val="00F96864"/>
    <w:rsid w:val="00FA10BA"/>
    <w:rsid w:val="00FA39A9"/>
    <w:rsid w:val="00FA6853"/>
    <w:rsid w:val="00FB01B6"/>
    <w:rsid w:val="00FB1555"/>
    <w:rsid w:val="00FB412A"/>
    <w:rsid w:val="00FB7DA0"/>
    <w:rsid w:val="00FC4E76"/>
    <w:rsid w:val="00FC74EF"/>
    <w:rsid w:val="00FC7B21"/>
    <w:rsid w:val="00FD6B97"/>
    <w:rsid w:val="00FE18BD"/>
    <w:rsid w:val="00FE2656"/>
    <w:rsid w:val="00FE2682"/>
    <w:rsid w:val="00FE5A94"/>
    <w:rsid w:val="00FE7C8B"/>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706"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031B6-7B0A-4A69-AFC6-EB7F92B6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1729</TotalTime>
  <Pages>4</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78</cp:revision>
  <cp:lastPrinted>2016-09-15T07:38:00Z</cp:lastPrinted>
  <dcterms:created xsi:type="dcterms:W3CDTF">2016-09-16T06:54:00Z</dcterms:created>
  <dcterms:modified xsi:type="dcterms:W3CDTF">2016-11-04T21:17:00Z</dcterms:modified>
</cp:coreProperties>
</file>