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F54E1" w14:textId="0152B2F3" w:rsidR="003C76F9" w:rsidRPr="00B86A53" w:rsidRDefault="003C76F9" w:rsidP="003C76F9">
      <w:pPr>
        <w:pStyle w:val="3GPPHeader"/>
        <w:spacing w:after="0"/>
        <w:rPr>
          <w:rFonts w:cs="Arial"/>
          <w:sz w:val="22"/>
          <w:lang w:val="en-US"/>
        </w:rPr>
      </w:pPr>
      <w:bookmarkStart w:id="0" w:name="_GoBack"/>
      <w:r w:rsidRPr="00B86A53">
        <w:rPr>
          <w:rFonts w:cs="Arial"/>
          <w:sz w:val="22"/>
          <w:lang w:val="en-US"/>
        </w:rPr>
        <w:t xml:space="preserve">3GPP </w:t>
      </w:r>
      <w:r w:rsidR="00B86A53">
        <w:rPr>
          <w:rFonts w:cs="Arial"/>
          <w:sz w:val="22"/>
          <w:lang w:val="en-US"/>
        </w:rPr>
        <w:t>TSG-RAN1 Meeting #87</w:t>
      </w:r>
      <w:r w:rsidR="00B86A53">
        <w:rPr>
          <w:rFonts w:cs="Arial"/>
          <w:sz w:val="22"/>
          <w:lang w:val="en-US"/>
        </w:rPr>
        <w:tab/>
        <w:t xml:space="preserve"> R1-1611116</w:t>
      </w:r>
    </w:p>
    <w:p w14:paraId="3637F07E" w14:textId="77777777" w:rsidR="003C76F9" w:rsidRPr="00B86A53" w:rsidRDefault="003C76F9" w:rsidP="003C76F9">
      <w:pPr>
        <w:spacing w:after="60"/>
        <w:ind w:left="1985" w:hanging="1985"/>
        <w:rPr>
          <w:rFonts w:cs="Arial"/>
          <w:b/>
          <w:sz w:val="22"/>
        </w:rPr>
      </w:pPr>
      <w:r w:rsidRPr="00B86A53">
        <w:rPr>
          <w:rFonts w:cs="Arial"/>
          <w:b/>
          <w:sz w:val="22"/>
        </w:rPr>
        <w:t>Reno, Nevada, 14 - 18 November 2016</w:t>
      </w:r>
    </w:p>
    <w:p w14:paraId="1B11D776" w14:textId="77777777" w:rsidR="003C76F9" w:rsidRPr="00B86A53" w:rsidRDefault="003C76F9" w:rsidP="003C76F9">
      <w:pPr>
        <w:pStyle w:val="3GPPHeader"/>
        <w:spacing w:after="0"/>
        <w:rPr>
          <w:rFonts w:cs="Arial"/>
          <w:sz w:val="22"/>
          <w:lang w:val="en-US"/>
        </w:rPr>
      </w:pPr>
      <w:r w:rsidRPr="00B86A53">
        <w:rPr>
          <w:rFonts w:cs="Arial"/>
          <w:sz w:val="22"/>
          <w:lang w:val="en-US"/>
        </w:rPr>
        <w:tab/>
      </w:r>
    </w:p>
    <w:p w14:paraId="16837A80" w14:textId="204B26E8" w:rsidR="003C76F9" w:rsidRPr="00B86A53" w:rsidRDefault="009F31C4" w:rsidP="003C76F9">
      <w:pPr>
        <w:pStyle w:val="3GPPHeader"/>
        <w:spacing w:after="120"/>
        <w:rPr>
          <w:rFonts w:cs="Arial"/>
          <w:sz w:val="22"/>
          <w:lang w:val="en-US"/>
        </w:rPr>
      </w:pPr>
      <w:r w:rsidRPr="00B86A53">
        <w:rPr>
          <w:rFonts w:cs="Arial"/>
          <w:sz w:val="22"/>
          <w:lang w:val="en-US"/>
        </w:rPr>
        <w:t>Agenda Item:</w:t>
      </w:r>
      <w:r w:rsidRPr="00B86A53">
        <w:rPr>
          <w:rFonts w:cs="Arial"/>
          <w:sz w:val="22"/>
          <w:lang w:val="en-US"/>
        </w:rPr>
        <w:tab/>
        <w:t>6.2.9.1.1</w:t>
      </w:r>
    </w:p>
    <w:p w14:paraId="4CFF2F8E" w14:textId="77777777" w:rsidR="003C76F9" w:rsidRPr="00B86A53" w:rsidRDefault="003C76F9" w:rsidP="003C76F9">
      <w:pPr>
        <w:pStyle w:val="3GPPHeader"/>
        <w:spacing w:after="120"/>
        <w:rPr>
          <w:rFonts w:cs="Arial"/>
          <w:sz w:val="22"/>
          <w:lang w:val="en-US"/>
        </w:rPr>
      </w:pPr>
      <w:r w:rsidRPr="00B86A53">
        <w:rPr>
          <w:rFonts w:cs="Arial"/>
          <w:sz w:val="22"/>
          <w:lang w:val="en-US"/>
        </w:rPr>
        <w:t xml:space="preserve">Source: </w:t>
      </w:r>
      <w:r w:rsidRPr="00B86A53">
        <w:rPr>
          <w:rFonts w:cs="Arial"/>
          <w:sz w:val="22"/>
          <w:lang w:val="en-US"/>
        </w:rPr>
        <w:tab/>
      </w:r>
      <w:r w:rsidRPr="00B86A53">
        <w:rPr>
          <w:rFonts w:cs="Arial"/>
          <w:b w:val="0"/>
          <w:bCs/>
          <w:sz w:val="22"/>
          <w:lang w:val="en-US"/>
        </w:rPr>
        <w:t>Ericsson</w:t>
      </w:r>
    </w:p>
    <w:p w14:paraId="74D0371F" w14:textId="7987CDA8" w:rsidR="003C76F9" w:rsidRPr="00B86A53" w:rsidRDefault="00B86A53" w:rsidP="003C76F9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>
        <w:rPr>
          <w:rFonts w:cs="Arial"/>
          <w:sz w:val="22"/>
          <w:lang w:val="en-US"/>
        </w:rPr>
        <w:t xml:space="preserve">Title:  </w:t>
      </w:r>
      <w:r>
        <w:rPr>
          <w:rFonts w:cs="Arial"/>
          <w:sz w:val="22"/>
          <w:lang w:val="en-US"/>
        </w:rPr>
        <w:tab/>
      </w:r>
      <w:r w:rsidR="008A001C" w:rsidRPr="00B86A53">
        <w:rPr>
          <w:rFonts w:cs="Arial"/>
          <w:b w:val="0"/>
          <w:bCs/>
          <w:sz w:val="22"/>
          <w:lang w:val="en-US"/>
        </w:rPr>
        <w:t>On design of OTDOA positioning reference signal</w:t>
      </w:r>
    </w:p>
    <w:p w14:paraId="130780DC" w14:textId="72DF869C" w:rsidR="00A675B4" w:rsidRPr="0083336C" w:rsidRDefault="003C76F9" w:rsidP="003C76F9">
      <w:pPr>
        <w:pStyle w:val="3GPPHeader"/>
        <w:rPr>
          <w:rFonts w:cs="Arial"/>
          <w:b w:val="0"/>
          <w:bCs/>
          <w:sz w:val="22"/>
          <w:lang w:val="en-US"/>
        </w:rPr>
      </w:pPr>
      <w:r w:rsidRPr="00B86A53">
        <w:rPr>
          <w:rFonts w:cs="Arial"/>
          <w:sz w:val="22"/>
          <w:lang w:val="en-US"/>
        </w:rPr>
        <w:t>Document for:</w:t>
      </w:r>
      <w:r w:rsidRPr="00B86A53">
        <w:rPr>
          <w:rFonts w:cs="Arial"/>
          <w:sz w:val="22"/>
          <w:lang w:val="en-US"/>
        </w:rPr>
        <w:tab/>
      </w:r>
      <w:r w:rsidRPr="00B86A53">
        <w:rPr>
          <w:rFonts w:cs="Arial"/>
          <w:b w:val="0"/>
          <w:bCs/>
          <w:sz w:val="22"/>
          <w:lang w:val="en-US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0E40CB09" w14:textId="311954BC" w:rsidR="00A671BF" w:rsidRDefault="00A671BF" w:rsidP="00A671BF">
      <w:r>
        <w:t>One of the objectives of the REL-14 NB-IoT enhancements work item is to i</w:t>
      </w:r>
      <w:r w:rsidR="009A4D99">
        <w:t xml:space="preserve">mprove the positioning support based on </w:t>
      </w:r>
      <w:r w:rsidR="00936481">
        <w:t>OTDOA</w:t>
      </w:r>
      <w:r w:rsidR="00041F81">
        <w:t xml:space="preserve"> </w:t>
      </w:r>
      <w:r w:rsidR="00041F81">
        <w:fldChar w:fldCharType="begin"/>
      </w:r>
      <w:r w:rsidR="00041F81">
        <w:instrText xml:space="preserve"> REF _Ref462665614 \r \h </w:instrText>
      </w:r>
      <w:r w:rsidR="00041F81">
        <w:fldChar w:fldCharType="separate"/>
      </w:r>
      <w:r w:rsidR="00BD64B2">
        <w:t>[1]</w:t>
      </w:r>
      <w:r w:rsidR="00041F81">
        <w:fldChar w:fldCharType="end"/>
      </w:r>
      <w:r w:rsidR="00041F81">
        <w:t>.</w:t>
      </w:r>
    </w:p>
    <w:p w14:paraId="2BC08FC1" w14:textId="77777777" w:rsidR="00936481" w:rsidRPr="00572BF9" w:rsidRDefault="00936481" w:rsidP="00936481">
      <w:pPr>
        <w:numPr>
          <w:ilvl w:val="0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OTDOA is supported</w:t>
      </w:r>
    </w:p>
    <w:p w14:paraId="1557AA32" w14:textId="77777777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Baseline signal(s) are: NB-IoT Rel-13 signals, LTE CRS/PRS in 1 PRB</w:t>
      </w:r>
    </w:p>
    <w:p w14:paraId="5F28F3CA" w14:textId="577679A5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14:paraId="77259391" w14:textId="77777777" w:rsidR="00936481" w:rsidRPr="00327079" w:rsidRDefault="00936481" w:rsidP="00936481">
      <w:pPr>
        <w:adjustRightInd/>
        <w:spacing w:after="0"/>
        <w:ind w:left="1440"/>
        <w:jc w:val="left"/>
        <w:textAlignment w:val="auto"/>
        <w:rPr>
          <w:lang w:val="en-US" w:eastAsia="ja-JP"/>
        </w:rPr>
      </w:pPr>
    </w:p>
    <w:p w14:paraId="553DD8DA" w14:textId="6B141719" w:rsidR="008A001C" w:rsidRDefault="008A001C" w:rsidP="008A001C">
      <w:pPr>
        <w:adjustRightInd/>
        <w:spacing w:after="0"/>
        <w:jc w:val="left"/>
        <w:textAlignment w:val="auto"/>
        <w:rPr>
          <w:rFonts w:cs="Arial"/>
          <w:bCs/>
          <w:lang w:val="en-US"/>
        </w:rPr>
      </w:pPr>
      <w:r w:rsidRPr="00525CF3">
        <w:rPr>
          <w:lang w:val="en-US" w:eastAsia="ja-JP"/>
        </w:rPr>
        <w:t xml:space="preserve">In RAN1#86bis, the following </w:t>
      </w:r>
      <w:r>
        <w:rPr>
          <w:lang w:val="en-US" w:eastAsia="ja-JP"/>
        </w:rPr>
        <w:t>agreement and working assumption have been made</w:t>
      </w:r>
      <w:r w:rsidRPr="00525CF3">
        <w:rPr>
          <w:lang w:val="en-US" w:eastAsia="ja-JP"/>
        </w:rPr>
        <w:t xml:space="preserve"> for </w:t>
      </w:r>
      <w:r>
        <w:rPr>
          <w:rFonts w:cs="Arial"/>
          <w:bCs/>
          <w:lang w:val="en-US"/>
        </w:rPr>
        <w:t>narrowband OTDOA positioning reference signal (NPRS) design</w:t>
      </w:r>
      <w:r w:rsidRPr="00525CF3">
        <w:rPr>
          <w:rFonts w:cs="Arial"/>
          <w:bCs/>
          <w:lang w:val="en-US"/>
        </w:rPr>
        <w:t>.</w:t>
      </w:r>
    </w:p>
    <w:p w14:paraId="7CC6FCFA" w14:textId="77777777" w:rsidR="008A001C" w:rsidRPr="008A001C" w:rsidRDefault="008A001C" w:rsidP="008A001C">
      <w:pPr>
        <w:adjustRightInd/>
        <w:spacing w:after="0"/>
        <w:jc w:val="left"/>
        <w:textAlignment w:val="auto"/>
        <w:rPr>
          <w:lang w:val="en-US" w:eastAsia="ja-JP"/>
        </w:rPr>
      </w:pPr>
    </w:p>
    <w:p w14:paraId="2DF526D4" w14:textId="77777777" w:rsidR="008A001C" w:rsidRPr="008A001C" w:rsidRDefault="008A001C" w:rsidP="008A001C">
      <w:pPr>
        <w:pStyle w:val="BodyText"/>
        <w:rPr>
          <w:rFonts w:eastAsia="MS Mincho"/>
          <w:lang w:val="en-US" w:eastAsia="ja-JP"/>
        </w:rPr>
      </w:pPr>
      <w:r w:rsidRPr="008A001C">
        <w:rPr>
          <w:rFonts w:eastAsia="MS Mincho"/>
          <w:highlight w:val="green"/>
          <w:lang w:val="en-US" w:eastAsia="ja-JP"/>
        </w:rPr>
        <w:t>Agreement:</w:t>
      </w:r>
    </w:p>
    <w:p w14:paraId="30DF71A7" w14:textId="77777777" w:rsidR="00D962BC" w:rsidRPr="00525EF1" w:rsidRDefault="00E1720C" w:rsidP="008A001C">
      <w:pPr>
        <w:pStyle w:val="BodyText"/>
        <w:numPr>
          <w:ilvl w:val="0"/>
          <w:numId w:val="34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Introduce a new positioning reference signal for OTDOA in NB-IoT</w:t>
      </w:r>
    </w:p>
    <w:p w14:paraId="0717D6F5" w14:textId="77777777" w:rsidR="00D962BC" w:rsidRPr="00525EF1" w:rsidRDefault="00E1720C" w:rsidP="008A001C">
      <w:pPr>
        <w:pStyle w:val="BodyText"/>
        <w:numPr>
          <w:ilvl w:val="1"/>
          <w:numId w:val="34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Not based on existing Rel-13 NB-IoT signal and not based on LTE CRS.</w:t>
      </w:r>
    </w:p>
    <w:p w14:paraId="130304E3" w14:textId="77777777" w:rsidR="008A001C" w:rsidRPr="008A001C" w:rsidRDefault="008A001C" w:rsidP="008A001C">
      <w:pPr>
        <w:pStyle w:val="BodyText"/>
        <w:rPr>
          <w:rFonts w:eastAsia="MS Mincho"/>
          <w:lang w:val="en-US" w:eastAsia="ja-JP"/>
        </w:rPr>
      </w:pPr>
      <w:r w:rsidRPr="008A001C">
        <w:rPr>
          <w:rFonts w:eastAsia="MS Mincho"/>
          <w:highlight w:val="darkYellow"/>
          <w:lang w:val="en-US" w:eastAsia="ja-JP"/>
        </w:rPr>
        <w:t>Working assumptions:</w:t>
      </w:r>
    </w:p>
    <w:p w14:paraId="75DF39F3" w14:textId="77777777" w:rsidR="00D962BC" w:rsidRPr="008A001C" w:rsidRDefault="00E1720C" w:rsidP="008A001C">
      <w:pPr>
        <w:pStyle w:val="BodyText"/>
        <w:numPr>
          <w:ilvl w:val="0"/>
          <w:numId w:val="35"/>
        </w:numPr>
        <w:rPr>
          <w:rFonts w:eastAsia="MS Mincho"/>
          <w:lang w:val="en-US" w:eastAsia="ja-JP"/>
        </w:rPr>
      </w:pPr>
      <w:r w:rsidRPr="008A001C">
        <w:rPr>
          <w:rFonts w:eastAsia="MS Mincho"/>
          <w:lang w:val="en-US" w:eastAsia="ja-JP"/>
        </w:rPr>
        <w:t xml:space="preserve">NB-IoT positioning reference signal resource pattern in one subframe is at least LTE PRS in 1 PRB </w:t>
      </w:r>
    </w:p>
    <w:p w14:paraId="0FBF160B" w14:textId="77777777" w:rsidR="00D962BC" w:rsidRPr="00525EF1" w:rsidRDefault="00E1720C" w:rsidP="008A001C">
      <w:pPr>
        <w:pStyle w:val="BodyText"/>
        <w:numPr>
          <w:ilvl w:val="1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FFS: With additional REs in guard-band and standalone operation modes</w:t>
      </w:r>
    </w:p>
    <w:p w14:paraId="30BD53BA" w14:textId="77777777" w:rsidR="00D962BC" w:rsidRPr="00525EF1" w:rsidRDefault="00E1720C" w:rsidP="008A001C">
      <w:pPr>
        <w:pStyle w:val="BodyText"/>
        <w:numPr>
          <w:ilvl w:val="1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FFS: Increased density per cell according to coverage</w:t>
      </w:r>
    </w:p>
    <w:p w14:paraId="6A41D518" w14:textId="77777777" w:rsidR="00D962BC" w:rsidRPr="00525EF1" w:rsidRDefault="00E1720C" w:rsidP="008A001C">
      <w:pPr>
        <w:pStyle w:val="BodyText"/>
        <w:numPr>
          <w:ilvl w:val="1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NB-IoT PRS do not occur in a subframe containing</w:t>
      </w:r>
    </w:p>
    <w:p w14:paraId="7A98E157" w14:textId="77777777" w:rsidR="00D962BC" w:rsidRPr="00525EF1" w:rsidRDefault="00E1720C" w:rsidP="008A001C">
      <w:pPr>
        <w:pStyle w:val="BodyText"/>
        <w:numPr>
          <w:ilvl w:val="2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NPDCCH</w:t>
      </w:r>
    </w:p>
    <w:p w14:paraId="5609CED3" w14:textId="77777777" w:rsidR="00D962BC" w:rsidRPr="00525EF1" w:rsidRDefault="00E1720C" w:rsidP="008A001C">
      <w:pPr>
        <w:pStyle w:val="BodyText"/>
        <w:numPr>
          <w:ilvl w:val="2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NPDSCH</w:t>
      </w:r>
    </w:p>
    <w:p w14:paraId="5150572F" w14:textId="77777777" w:rsidR="00D962BC" w:rsidRPr="00525EF1" w:rsidRDefault="00E1720C" w:rsidP="008A001C">
      <w:pPr>
        <w:pStyle w:val="BodyText"/>
        <w:numPr>
          <w:ilvl w:val="2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NPBCH</w:t>
      </w:r>
    </w:p>
    <w:p w14:paraId="6A298DD7" w14:textId="0FC7E017" w:rsidR="008A001C" w:rsidRPr="00525EF1" w:rsidRDefault="00E1720C" w:rsidP="0056651A">
      <w:pPr>
        <w:pStyle w:val="BodyText"/>
        <w:numPr>
          <w:ilvl w:val="2"/>
          <w:numId w:val="35"/>
        </w:numPr>
        <w:rPr>
          <w:rFonts w:eastAsia="MS Mincho"/>
          <w:i/>
          <w:lang w:val="en-US" w:eastAsia="ja-JP"/>
        </w:rPr>
      </w:pPr>
      <w:r w:rsidRPr="00525EF1">
        <w:rPr>
          <w:rFonts w:eastAsia="MS Mincho"/>
          <w:i/>
          <w:lang w:val="en-US" w:eastAsia="ja-JP"/>
        </w:rPr>
        <w:t>NPSS/NSSS</w:t>
      </w:r>
    </w:p>
    <w:p w14:paraId="1CE7AAF3" w14:textId="7A236523" w:rsidR="008F0A57" w:rsidRPr="0056651A" w:rsidRDefault="008F0A57" w:rsidP="0056651A">
      <w:pPr>
        <w:pStyle w:val="BodyText"/>
      </w:pPr>
      <w:r>
        <w:rPr>
          <w:rFonts w:eastAsia="MS Mincho"/>
          <w:lang w:val="en-US" w:eastAsia="ja-JP"/>
        </w:rPr>
        <w:t>In this contribution, we discuss</w:t>
      </w:r>
      <w:r w:rsidR="0056651A">
        <w:rPr>
          <w:rFonts w:eastAsia="MS Mincho"/>
          <w:lang w:val="en-US" w:eastAsia="ja-JP"/>
        </w:rPr>
        <w:t xml:space="preserve"> </w:t>
      </w:r>
      <w:r w:rsidR="008A001C">
        <w:rPr>
          <w:rFonts w:eastAsia="MS Mincho"/>
          <w:lang w:val="en-US" w:eastAsia="ja-JP"/>
        </w:rPr>
        <w:t xml:space="preserve">the NPRS design for </w:t>
      </w:r>
      <w:r w:rsidR="000D3EEB">
        <w:rPr>
          <w:rFonts w:eastAsia="MS Mincho"/>
          <w:lang w:val="en-US" w:eastAsia="ja-JP"/>
        </w:rPr>
        <w:t xml:space="preserve">OTDOA in </w:t>
      </w:r>
      <w:r w:rsidR="008A001C">
        <w:rPr>
          <w:rFonts w:eastAsia="MS Mincho"/>
          <w:lang w:val="en-US" w:eastAsia="ja-JP"/>
        </w:rPr>
        <w:t>NB-Io</w:t>
      </w:r>
      <w:r w:rsidR="00AA6ADA">
        <w:rPr>
          <w:rFonts w:eastAsia="MS Mincho"/>
          <w:lang w:val="en-US" w:eastAsia="ja-JP"/>
        </w:rPr>
        <w:t>T</w:t>
      </w:r>
      <w:r w:rsidR="003074F0">
        <w:rPr>
          <w:rFonts w:eastAsia="MS Mincho"/>
          <w:lang w:val="en-US" w:eastAsia="ja-JP"/>
        </w:rPr>
        <w:t xml:space="preserve">. The discussion of NPRS configuration (including increased NPRS density) is treated in our companion contribution </w:t>
      </w:r>
      <w:r w:rsidR="003074F0">
        <w:rPr>
          <w:rFonts w:eastAsia="MS Mincho"/>
          <w:lang w:val="en-US" w:eastAsia="ja-JP"/>
        </w:rPr>
        <w:fldChar w:fldCharType="begin"/>
      </w:r>
      <w:r w:rsidR="003074F0">
        <w:rPr>
          <w:rFonts w:eastAsia="MS Mincho"/>
          <w:lang w:val="en-US" w:eastAsia="ja-JP"/>
        </w:rPr>
        <w:instrText xml:space="preserve"> REF _Ref465676605 \r \h </w:instrText>
      </w:r>
      <w:r w:rsidR="003074F0">
        <w:rPr>
          <w:rFonts w:eastAsia="MS Mincho"/>
          <w:lang w:val="en-US" w:eastAsia="ja-JP"/>
        </w:rPr>
      </w:r>
      <w:r w:rsidR="003074F0">
        <w:rPr>
          <w:rFonts w:eastAsia="MS Mincho"/>
          <w:lang w:val="en-US" w:eastAsia="ja-JP"/>
        </w:rPr>
        <w:fldChar w:fldCharType="separate"/>
      </w:r>
      <w:r w:rsidR="00BD64B2">
        <w:rPr>
          <w:rFonts w:eastAsia="MS Mincho"/>
          <w:lang w:val="en-US" w:eastAsia="ja-JP"/>
        </w:rPr>
        <w:t>[2]</w:t>
      </w:r>
      <w:r w:rsidR="003074F0">
        <w:rPr>
          <w:rFonts w:eastAsia="MS Mincho"/>
          <w:lang w:val="en-US" w:eastAsia="ja-JP"/>
        </w:rPr>
        <w:fldChar w:fldCharType="end"/>
      </w:r>
      <w:r w:rsidR="003074F0">
        <w:rPr>
          <w:rFonts w:eastAsia="MS Mincho"/>
          <w:lang w:val="en-US" w:eastAsia="ja-JP"/>
        </w:rPr>
        <w:t>.</w:t>
      </w:r>
    </w:p>
    <w:p w14:paraId="5A956A3D" w14:textId="73429D67" w:rsidR="0072236D" w:rsidRDefault="00CA599C" w:rsidP="001726E9">
      <w:pPr>
        <w:pStyle w:val="Heading1"/>
      </w:pPr>
      <w:r>
        <w:t>NPRS</w:t>
      </w:r>
      <w:r w:rsidR="00AA6ADA">
        <w:t xml:space="preserve"> for NB-I</w:t>
      </w:r>
      <w:r w:rsidR="009D0724">
        <w:t>o</w:t>
      </w:r>
      <w:r w:rsidR="00AA6ADA">
        <w:t>T OTDOA</w:t>
      </w:r>
    </w:p>
    <w:p w14:paraId="05BAD033" w14:textId="3C6B5990" w:rsidR="0091347F" w:rsidRPr="00921456" w:rsidRDefault="0091347F" w:rsidP="0091347F">
      <w:r w:rsidRPr="0071565D">
        <w:rPr>
          <w:rStyle w:val="IvDbodytextChar"/>
        </w:rPr>
        <w:t xml:space="preserve">In LTE, </w:t>
      </w:r>
      <w:r w:rsidRPr="0071565D">
        <w:t xml:space="preserve">the basic concept of </w:t>
      </w:r>
      <w:r>
        <w:t xml:space="preserve">OTDOA </w:t>
      </w:r>
      <w:r w:rsidRPr="0071565D">
        <w:t xml:space="preserve">is that a positioning server, e.g. an </w:t>
      </w:r>
      <w:r>
        <w:t>E-</w:t>
      </w:r>
      <w:r w:rsidRPr="0071565D">
        <w:t xml:space="preserve">SMLC, requests the position of a UE which triggers the UE to </w:t>
      </w:r>
      <w:r>
        <w:t>estimate</w:t>
      </w:r>
      <w:r w:rsidRPr="0071565D">
        <w:t xml:space="preserve"> time of arrival (TOA) of </w:t>
      </w:r>
      <w:r>
        <w:t>signals received from multiple eNBs</w:t>
      </w:r>
      <w:r w:rsidRPr="0071565D">
        <w:t>.</w:t>
      </w:r>
      <w:r>
        <w:t xml:space="preserve"> The TOAs from several neighboring eNBs are subtracted from a TOA from a reference eNB to form </w:t>
      </w:r>
      <w:r>
        <w:rPr>
          <w:rStyle w:val="IvDbodytextChar"/>
          <w:rFonts w:cs="Arial"/>
        </w:rPr>
        <w:t>O</w:t>
      </w:r>
      <w:r w:rsidRPr="00DC03AE">
        <w:rPr>
          <w:rStyle w:val="IvDbodytextChar"/>
          <w:rFonts w:cs="Arial"/>
        </w:rPr>
        <w:t>bserved Time Difference of Arrival</w:t>
      </w:r>
      <w:r>
        <w:rPr>
          <w:rStyle w:val="IvDbodytextChar"/>
          <w:rFonts w:cs="Arial"/>
        </w:rPr>
        <w:t>s that the UE reports to the network. These measurements are known as Reference Signal Time Difference (RSTD) measurements.</w:t>
      </w:r>
      <w:r>
        <w:t xml:space="preserve"> Based on the reported RSTD measurements and known positions of the involved eNBs,</w:t>
      </w:r>
      <w:r w:rsidRPr="0071565D">
        <w:t xml:space="preserve"> </w:t>
      </w:r>
      <w:r>
        <w:t>t</w:t>
      </w:r>
      <w:r w:rsidRPr="0071565D">
        <w:t xml:space="preserve">he positioning server </w:t>
      </w:r>
      <w:r>
        <w:t xml:space="preserve">can estimate </w:t>
      </w:r>
      <w:r w:rsidRPr="0071565D">
        <w:t>the position of the UE by using multilateration techniques.</w:t>
      </w:r>
    </w:p>
    <w:p w14:paraId="633A1D18" w14:textId="66E89631" w:rsidR="00CA599C" w:rsidRDefault="00CA599C" w:rsidP="00CA599C">
      <w:pPr>
        <w:pStyle w:val="BodyText"/>
        <w:rPr>
          <w:rFonts w:eastAsia="MS Mincho"/>
          <w:lang w:val="en-US" w:eastAsia="ja-JP"/>
        </w:rPr>
      </w:pPr>
      <w:r>
        <w:rPr>
          <w:rStyle w:val="IvDbodytextChar"/>
        </w:rPr>
        <w:t xml:space="preserve">It has been agreed in </w:t>
      </w:r>
      <w:r w:rsidRPr="00525CF3">
        <w:rPr>
          <w:lang w:val="en-US" w:eastAsia="ja-JP"/>
        </w:rPr>
        <w:t>RAN1#86bis</w:t>
      </w:r>
      <w:r>
        <w:rPr>
          <w:lang w:val="en-US" w:eastAsia="ja-JP"/>
        </w:rPr>
        <w:t xml:space="preserve"> that </w:t>
      </w:r>
      <w:r w:rsidRPr="008A001C">
        <w:rPr>
          <w:rFonts w:eastAsia="MS Mincho"/>
          <w:lang w:val="en-US" w:eastAsia="ja-JP"/>
        </w:rPr>
        <w:t>a new positioning reference signal</w:t>
      </w:r>
      <w:r>
        <w:rPr>
          <w:rFonts w:eastAsia="MS Mincho"/>
          <w:lang w:val="en-US" w:eastAsia="ja-JP"/>
        </w:rPr>
        <w:t xml:space="preserve"> (n</w:t>
      </w:r>
      <w:r w:rsidRPr="00CA599C">
        <w:rPr>
          <w:rFonts w:eastAsia="MS Mincho"/>
          <w:lang w:val="en-US" w:eastAsia="ja-JP"/>
        </w:rPr>
        <w:t>ot based on existing Rel-13 NB-IoT signal and not based on LTE CRS</w:t>
      </w:r>
      <w:r>
        <w:rPr>
          <w:rFonts w:eastAsia="MS Mincho"/>
          <w:lang w:val="en-US" w:eastAsia="ja-JP"/>
        </w:rPr>
        <w:t>)</w:t>
      </w:r>
      <w:r w:rsidR="005745BE">
        <w:rPr>
          <w:rFonts w:eastAsia="MS Mincho"/>
          <w:lang w:val="en-US" w:eastAsia="ja-JP"/>
        </w:rPr>
        <w:t xml:space="preserve"> is introduced</w:t>
      </w:r>
      <w:r w:rsidRPr="008A001C">
        <w:rPr>
          <w:rFonts w:eastAsia="MS Mincho"/>
          <w:lang w:val="en-US" w:eastAsia="ja-JP"/>
        </w:rPr>
        <w:t xml:space="preserve"> for OTDOA in NB-IoT</w:t>
      </w:r>
      <w:r>
        <w:rPr>
          <w:rFonts w:eastAsia="MS Mincho"/>
          <w:lang w:val="en-US" w:eastAsia="ja-JP"/>
        </w:rPr>
        <w:t xml:space="preserve">. Further, a working assumption that </w:t>
      </w:r>
      <w:r w:rsidRPr="00CA599C">
        <w:rPr>
          <w:rFonts w:eastAsia="MS Mincho"/>
          <w:lang w:val="en-US" w:eastAsia="ja-JP"/>
        </w:rPr>
        <w:t>NB-IoT positioning reference signal resource pattern in one subframe is at least LTE PRS in 1 PRB</w:t>
      </w:r>
      <w:r>
        <w:rPr>
          <w:rFonts w:eastAsia="MS Mincho"/>
          <w:lang w:val="en-US" w:eastAsia="ja-JP"/>
        </w:rPr>
        <w:t xml:space="preserve"> has been made</w:t>
      </w:r>
      <w:r w:rsidR="004E5FBF">
        <w:rPr>
          <w:rFonts w:eastAsia="MS Mincho"/>
          <w:lang w:val="en-US" w:eastAsia="ja-JP"/>
        </w:rPr>
        <w:t xml:space="preserve"> in RAN1#86bis</w:t>
      </w:r>
      <w:r>
        <w:rPr>
          <w:rFonts w:eastAsia="MS Mincho"/>
          <w:lang w:val="en-US" w:eastAsia="ja-JP"/>
        </w:rPr>
        <w:t>.</w:t>
      </w:r>
    </w:p>
    <w:p w14:paraId="196EF9E8" w14:textId="0A2E5952" w:rsidR="00177A89" w:rsidRDefault="00177A89" w:rsidP="00177A89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NPRS resource element mapping</w:t>
      </w:r>
      <w:r w:rsidR="009379B2">
        <w:rPr>
          <w:rFonts w:eastAsia="MS Mincho"/>
          <w:lang w:val="en-US" w:eastAsia="ja-JP"/>
        </w:rPr>
        <w:t xml:space="preserve"> pattern</w:t>
      </w:r>
    </w:p>
    <w:p w14:paraId="2FF0A0C7" w14:textId="77777777" w:rsidR="00CA599C" w:rsidRDefault="00CA599C" w:rsidP="00CA599C">
      <w:pPr>
        <w:rPr>
          <w:rStyle w:val="IvDbodytextChar"/>
        </w:rPr>
      </w:pPr>
      <w:r>
        <w:rPr>
          <w:rStyle w:val="IvDbodytextChar"/>
        </w:rPr>
        <w:t xml:space="preserve">LTE </w:t>
      </w:r>
      <w:r w:rsidRPr="0091347F">
        <w:rPr>
          <w:rStyle w:val="IvDbodytextChar"/>
        </w:rPr>
        <w:t xml:space="preserve">PRS </w:t>
      </w:r>
      <w:r>
        <w:rPr>
          <w:rStyle w:val="IvDbodytextChar"/>
        </w:rPr>
        <w:t xml:space="preserve">is a well-established signal for RSTD measurement in OTDOA since Rel-9, and a rich set of mechanisms have been standardized to achieve good positioning accuracy. In particular, LTE PRS offers 3 layers of isolation of PRS signals from different cells: </w:t>
      </w:r>
    </w:p>
    <w:p w14:paraId="3D54ACAA" w14:textId="77777777" w:rsidR="00CA599C" w:rsidRDefault="00CA599C" w:rsidP="00CA599C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 xml:space="preserve">frequency domain with a reuse 6, </w:t>
      </w:r>
    </w:p>
    <w:p w14:paraId="7470BC56" w14:textId="77777777" w:rsidR="00CA599C" w:rsidRDefault="00CA599C" w:rsidP="00CA599C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 xml:space="preserve">time domain with muting, and </w:t>
      </w:r>
    </w:p>
    <w:p w14:paraId="23F6337E" w14:textId="77777777" w:rsidR="00CA599C" w:rsidRDefault="00CA599C" w:rsidP="00CA599C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 xml:space="preserve">code domain with different cells using different sequences. </w:t>
      </w:r>
    </w:p>
    <w:p w14:paraId="3722332E" w14:textId="77777777" w:rsidR="00CA599C" w:rsidRDefault="00CA599C" w:rsidP="00CA599C">
      <w:pPr>
        <w:rPr>
          <w:rStyle w:val="IvDbodytextChar"/>
        </w:rPr>
      </w:pPr>
      <w:r>
        <w:rPr>
          <w:rStyle w:val="IvDbodytextChar"/>
        </w:rPr>
        <w:t>These designs enable excellent hearability of PRS from multiple neighboring cells.</w:t>
      </w:r>
    </w:p>
    <w:p w14:paraId="0A73232F" w14:textId="336FA5F9" w:rsidR="00CA599C" w:rsidRPr="00AC26FD" w:rsidRDefault="00CA599C" w:rsidP="00AC26FD">
      <w:pPr>
        <w:rPr>
          <w:spacing w:val="2"/>
        </w:rPr>
      </w:pPr>
      <w:r>
        <w:rPr>
          <w:rStyle w:val="IvDbodytextChar"/>
        </w:rPr>
        <w:t xml:space="preserve">Building on the wisdom that 3GPP has been devoted to PRS, using LTE </w:t>
      </w:r>
      <w:r w:rsidRPr="0091347F">
        <w:rPr>
          <w:rStyle w:val="IvDbodytextChar"/>
        </w:rPr>
        <w:t>PRS</w:t>
      </w:r>
      <w:r>
        <w:rPr>
          <w:rStyle w:val="IvDbodytextChar"/>
        </w:rPr>
        <w:t xml:space="preserve"> in 1 PRB for NB-IoT OTDOA helps reduce design risks and testing efforts, leading to fast time-to-market that has been an important consideration since the birth of NB-IoT. It also leads to good </w:t>
      </w:r>
      <w:r w:rsidRPr="00133470">
        <w:rPr>
          <w:rStyle w:val="IvDbodytextChar"/>
        </w:rPr>
        <w:t>synergy with legacy LTE PRS and FeMTC PRS for OTDOA</w:t>
      </w:r>
      <w:r>
        <w:rPr>
          <w:rStyle w:val="IvDbodytextChar"/>
        </w:rPr>
        <w:t xml:space="preserve"> when NB-IoT is deployed inband. More importantly, the reuse 6 pattern greatly enhances hearability of PRS from multiple neighboring cells. </w:t>
      </w:r>
      <w:r w:rsidRPr="00284682">
        <w:rPr>
          <w:rStyle w:val="IvDbodytextChar"/>
        </w:rPr>
        <w:t xml:space="preserve">Indeed, as shown in our accompanying contribution </w:t>
      </w:r>
      <w:r w:rsidRPr="00284682">
        <w:rPr>
          <w:rStyle w:val="IvDbodytextChar"/>
        </w:rPr>
        <w:fldChar w:fldCharType="begin"/>
      </w:r>
      <w:r w:rsidRPr="00284682">
        <w:rPr>
          <w:rStyle w:val="IvDbodytextChar"/>
        </w:rPr>
        <w:instrText xml:space="preserve"> REF _Ref462991604 \r \h </w:instrText>
      </w:r>
      <w:r w:rsidR="00CE27FF" w:rsidRPr="00284682">
        <w:rPr>
          <w:rStyle w:val="IvDbodytextChar"/>
        </w:rPr>
        <w:instrText xml:space="preserve"> \* MERGEFORMAT </w:instrText>
      </w:r>
      <w:r w:rsidRPr="00284682">
        <w:rPr>
          <w:rStyle w:val="IvDbodytextChar"/>
        </w:rPr>
      </w:r>
      <w:r w:rsidRPr="00284682">
        <w:rPr>
          <w:rStyle w:val="IvDbodytextChar"/>
        </w:rPr>
        <w:fldChar w:fldCharType="separate"/>
      </w:r>
      <w:r w:rsidR="00BD64B2">
        <w:rPr>
          <w:rStyle w:val="IvDbodytextChar"/>
        </w:rPr>
        <w:t>[3]</w:t>
      </w:r>
      <w:r w:rsidRPr="00284682">
        <w:rPr>
          <w:rStyle w:val="IvDbodytextChar"/>
        </w:rPr>
        <w:fldChar w:fldCharType="end"/>
      </w:r>
      <w:r w:rsidRPr="00284682">
        <w:rPr>
          <w:rStyle w:val="IvDbodytextChar"/>
        </w:rPr>
        <w:t xml:space="preserve">, </w:t>
      </w:r>
      <w:r w:rsidR="00177376" w:rsidRPr="00284682">
        <w:rPr>
          <w:rStyle w:val="IvDbodytextChar"/>
        </w:rPr>
        <w:t xml:space="preserve">the </w:t>
      </w:r>
      <w:r w:rsidRPr="00284682">
        <w:rPr>
          <w:rStyle w:val="IvDbodytextChar"/>
        </w:rPr>
        <w:t>reuse</w:t>
      </w:r>
      <w:r w:rsidR="00177376" w:rsidRPr="00284682">
        <w:rPr>
          <w:rStyle w:val="IvDbodytextChar"/>
        </w:rPr>
        <w:t xml:space="preserve"> 6</w:t>
      </w:r>
      <w:r w:rsidR="005B0669" w:rsidRPr="00284682">
        <w:rPr>
          <w:rStyle w:val="IvDbodytextChar"/>
        </w:rPr>
        <w:t xml:space="preserve"> PRS</w:t>
      </w:r>
      <w:r w:rsidR="00177376" w:rsidRPr="00284682">
        <w:rPr>
          <w:rStyle w:val="IvDbodytextChar"/>
        </w:rPr>
        <w:t xml:space="preserve"> pattern</w:t>
      </w:r>
      <w:r w:rsidRPr="00284682">
        <w:rPr>
          <w:rStyle w:val="IvDbodytextChar"/>
        </w:rPr>
        <w:t xml:space="preserve"> alone allows 70% of all connections to be above -15 dB SINR for 10 strongest eNBs in a reuse 1 network, showing a significant 30% improvement compared to the case without reuse 6 PRS pattern. If in addition applying time domain muting further improvements are within reach</w:t>
      </w:r>
      <w:r w:rsidR="00195E5C" w:rsidRPr="00284682">
        <w:rPr>
          <w:rStyle w:val="IvDbodytextChar"/>
        </w:rPr>
        <w:t xml:space="preserve"> </w:t>
      </w:r>
      <w:r w:rsidR="00195E5C" w:rsidRPr="00284682">
        <w:rPr>
          <w:rStyle w:val="IvDbodytextChar"/>
        </w:rPr>
        <w:fldChar w:fldCharType="begin"/>
      </w:r>
      <w:r w:rsidR="00195E5C" w:rsidRPr="00284682">
        <w:rPr>
          <w:rStyle w:val="IvDbodytextChar"/>
        </w:rPr>
        <w:instrText xml:space="preserve"> REF _Ref465673922 \r \h </w:instrText>
      </w:r>
      <w:r w:rsidR="00CE27FF" w:rsidRPr="00284682">
        <w:rPr>
          <w:rStyle w:val="IvDbodytextChar"/>
        </w:rPr>
        <w:instrText xml:space="preserve"> \* MERGEFORMAT </w:instrText>
      </w:r>
      <w:r w:rsidR="00195E5C" w:rsidRPr="00284682">
        <w:rPr>
          <w:rStyle w:val="IvDbodytextChar"/>
        </w:rPr>
      </w:r>
      <w:r w:rsidR="00195E5C" w:rsidRPr="00284682">
        <w:rPr>
          <w:rStyle w:val="IvDbodytextChar"/>
        </w:rPr>
        <w:fldChar w:fldCharType="separate"/>
      </w:r>
      <w:r w:rsidR="00BD64B2">
        <w:rPr>
          <w:rStyle w:val="IvDbodytextChar"/>
        </w:rPr>
        <w:t>[4]</w:t>
      </w:r>
      <w:r w:rsidR="00195E5C" w:rsidRPr="00284682">
        <w:rPr>
          <w:rStyle w:val="IvDbodytextChar"/>
        </w:rPr>
        <w:fldChar w:fldCharType="end"/>
      </w:r>
      <w:r w:rsidRPr="00284682">
        <w:rPr>
          <w:rStyle w:val="IvDbodytextChar"/>
        </w:rPr>
        <w:t>.</w:t>
      </w:r>
    </w:p>
    <w:p w14:paraId="3A46EDBB" w14:textId="46D7F64E" w:rsidR="00AC26FD" w:rsidRDefault="00027EA9" w:rsidP="00AC26FD">
      <w:pPr>
        <w:pStyle w:val="IvDInstructiontext"/>
        <w:rPr>
          <w:rStyle w:val="IvDbodytextChar"/>
          <w:b/>
          <w:i w:val="0"/>
          <w:color w:val="auto"/>
        </w:rPr>
      </w:pPr>
      <w:r>
        <w:rPr>
          <w:rStyle w:val="IvDbodytextChar"/>
          <w:b/>
          <w:i w:val="0"/>
          <w:color w:val="auto"/>
        </w:rPr>
        <w:t>Observation 1</w:t>
      </w:r>
      <w:r w:rsidR="00AC26FD" w:rsidRPr="00880B6F">
        <w:rPr>
          <w:rStyle w:val="IvDbodytextChar"/>
          <w:b/>
          <w:i w:val="0"/>
          <w:color w:val="auto"/>
        </w:rPr>
        <w:t xml:space="preserve">: </w:t>
      </w:r>
      <w:r w:rsidR="00AC26FD">
        <w:rPr>
          <w:rStyle w:val="IvDbodytextChar"/>
          <w:b/>
          <w:i w:val="0"/>
          <w:color w:val="auto"/>
        </w:rPr>
        <w:t>Using</w:t>
      </w:r>
      <w:r w:rsidR="00AC26FD" w:rsidRPr="00880B6F">
        <w:rPr>
          <w:rStyle w:val="IvDbodytextChar"/>
          <w:b/>
          <w:i w:val="0"/>
          <w:color w:val="auto"/>
        </w:rPr>
        <w:t xml:space="preserve"> LTE PRS in 1 PRB</w:t>
      </w:r>
      <w:r w:rsidR="00AC26FD">
        <w:rPr>
          <w:rStyle w:val="IvDbodytextChar"/>
          <w:b/>
          <w:i w:val="0"/>
          <w:color w:val="auto"/>
        </w:rPr>
        <w:t xml:space="preserve"> for </w:t>
      </w:r>
      <w:r w:rsidR="00AC26FD" w:rsidRPr="00941C19">
        <w:rPr>
          <w:rStyle w:val="IvDbodytextChar"/>
          <w:b/>
          <w:i w:val="0"/>
          <w:color w:val="auto"/>
        </w:rPr>
        <w:t>RSTD measurements</w:t>
      </w:r>
      <w:r w:rsidR="00AC26FD">
        <w:rPr>
          <w:rStyle w:val="IvDbodytextChar"/>
          <w:b/>
          <w:i w:val="0"/>
          <w:color w:val="auto"/>
        </w:rPr>
        <w:t xml:space="preserve"> for NB-IoT OTDOA</w:t>
      </w:r>
      <w:r w:rsidR="00AC26FD" w:rsidRPr="00880B6F">
        <w:rPr>
          <w:rStyle w:val="IvDbodytextChar"/>
          <w:b/>
          <w:i w:val="0"/>
          <w:color w:val="auto"/>
        </w:rPr>
        <w:t xml:space="preserve"> reduce</w:t>
      </w:r>
      <w:r w:rsidR="00AC26FD">
        <w:rPr>
          <w:rStyle w:val="IvDbodytextChar"/>
          <w:b/>
          <w:i w:val="0"/>
          <w:color w:val="auto"/>
        </w:rPr>
        <w:t>s</w:t>
      </w:r>
      <w:r w:rsidR="00AC26FD" w:rsidRPr="00880B6F">
        <w:rPr>
          <w:rStyle w:val="IvDbodytextChar"/>
          <w:b/>
          <w:i w:val="0"/>
          <w:color w:val="auto"/>
        </w:rPr>
        <w:t xml:space="preserve"> design risks and testing efforts, achieve</w:t>
      </w:r>
      <w:r w:rsidR="00AC26FD">
        <w:rPr>
          <w:rStyle w:val="IvDbodytextChar"/>
          <w:b/>
          <w:i w:val="0"/>
          <w:color w:val="auto"/>
        </w:rPr>
        <w:t>s</w:t>
      </w:r>
      <w:r w:rsidR="00AC26FD" w:rsidRPr="00880B6F">
        <w:rPr>
          <w:rStyle w:val="IvDbodytextChar"/>
          <w:b/>
          <w:i w:val="0"/>
          <w:color w:val="auto"/>
        </w:rPr>
        <w:t xml:space="preserve"> good synergy with legacy LTE PRS and FeMTC PRS, </w:t>
      </w:r>
      <w:r w:rsidR="00AC26FD">
        <w:rPr>
          <w:rStyle w:val="IvDbodytextChar"/>
          <w:b/>
          <w:i w:val="0"/>
          <w:color w:val="auto"/>
        </w:rPr>
        <w:t xml:space="preserve">and </w:t>
      </w:r>
      <w:r w:rsidR="00AC26FD" w:rsidRPr="00880B6F">
        <w:rPr>
          <w:rStyle w:val="IvDbodytextChar"/>
          <w:b/>
          <w:i w:val="0"/>
          <w:color w:val="auto"/>
        </w:rPr>
        <w:t>enables much enhanced hearability of multiple neighboring cells.</w:t>
      </w:r>
    </w:p>
    <w:p w14:paraId="5DB4182C" w14:textId="77777777" w:rsidR="00F07C61" w:rsidRDefault="00F07C61" w:rsidP="0091347F">
      <w:pPr>
        <w:rPr>
          <w:rStyle w:val="IvDbodytextChar"/>
          <w:b/>
          <w:lang w:val="en-US"/>
        </w:rPr>
      </w:pPr>
    </w:p>
    <w:p w14:paraId="3E13BD2E" w14:textId="49F6C1DA" w:rsidR="00CA599C" w:rsidRPr="009C5737" w:rsidRDefault="00027EA9" w:rsidP="0091347F">
      <w:pPr>
        <w:rPr>
          <w:rStyle w:val="IvDbodytextChar"/>
          <w:b/>
          <w:lang w:val="en-US"/>
        </w:rPr>
      </w:pPr>
      <w:r>
        <w:rPr>
          <w:rStyle w:val="IvDbodytextChar"/>
          <w:b/>
          <w:lang w:val="en-US"/>
        </w:rPr>
        <w:t>Proposal 1</w:t>
      </w:r>
      <w:r w:rsidR="00057B78" w:rsidRPr="00057B78">
        <w:rPr>
          <w:rStyle w:val="IvDbodytextChar"/>
          <w:b/>
          <w:lang w:val="en-US"/>
        </w:rPr>
        <w:t>:</w:t>
      </w:r>
      <w:r>
        <w:rPr>
          <w:rStyle w:val="IvDbodytextChar"/>
          <w:b/>
          <w:lang w:val="en-US"/>
        </w:rPr>
        <w:t xml:space="preserve"> RAN1 a</w:t>
      </w:r>
      <w:r w:rsidR="00057B78" w:rsidRPr="00057B78">
        <w:rPr>
          <w:rStyle w:val="IvDbodytextChar"/>
          <w:b/>
          <w:lang w:val="en-US"/>
        </w:rPr>
        <w:t>gree</w:t>
      </w:r>
      <w:r>
        <w:rPr>
          <w:rStyle w:val="IvDbodytextChar"/>
          <w:b/>
          <w:lang w:val="en-US"/>
        </w:rPr>
        <w:t>s</w:t>
      </w:r>
      <w:r w:rsidR="00057B78" w:rsidRPr="00057B78">
        <w:rPr>
          <w:rStyle w:val="IvDbodytextChar"/>
          <w:b/>
          <w:lang w:val="en-US"/>
        </w:rPr>
        <w:t xml:space="preserve"> on the working assumption that “NB-IoT positioning reference signal resource pattern in one subframe is at least LTE PRS in 1 PRB.”</w:t>
      </w:r>
    </w:p>
    <w:p w14:paraId="5113F4C8" w14:textId="77777777" w:rsidR="00E92E22" w:rsidRDefault="00E92E22" w:rsidP="00E92E22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178012B" wp14:editId="63D18C6F">
            <wp:extent cx="4074203" cy="2433099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055" cy="243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29059" w14:textId="342CBED5" w:rsidR="00E92E22" w:rsidRPr="00FB08EB" w:rsidRDefault="00E92E22" w:rsidP="00E92E22">
      <w:pPr>
        <w:pStyle w:val="Caption"/>
        <w:rPr>
          <w:rStyle w:val="IvDbodytextChar"/>
          <w:spacing w:val="0"/>
          <w:lang w:val="en-US"/>
        </w:rPr>
      </w:pPr>
      <w:bookmarkStart w:id="2" w:name="_Ref4656766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4B2">
        <w:rPr>
          <w:noProof/>
        </w:rPr>
        <w:t>1</w:t>
      </w:r>
      <w:r>
        <w:fldChar w:fldCharType="end"/>
      </w:r>
      <w:bookmarkEnd w:id="2"/>
      <w:r>
        <w:t>: LTE PRS in 1 PRB in inband deployment (1 or 2 PBCH antenna ports)</w:t>
      </w:r>
    </w:p>
    <w:p w14:paraId="48886B31" w14:textId="0DA8E4D1" w:rsidR="00E92E22" w:rsidRDefault="00E92E22" w:rsidP="00E92E22">
      <w:pPr>
        <w:rPr>
          <w:rStyle w:val="IvDbodytextChar"/>
        </w:rPr>
      </w:pPr>
      <w:r>
        <w:rPr>
          <w:rStyle w:val="IvDbodytextChar"/>
        </w:rPr>
        <w:t xml:space="preserve">The diagonal pattern of LTE </w:t>
      </w:r>
      <w:r w:rsidRPr="0091347F">
        <w:rPr>
          <w:rStyle w:val="IvDbodytextChar"/>
        </w:rPr>
        <w:t>PRS</w:t>
      </w:r>
      <w:r>
        <w:rPr>
          <w:rStyle w:val="IvDbodytextChar"/>
        </w:rPr>
        <w:t xml:space="preserve"> in </w:t>
      </w:r>
      <w:r w:rsidR="00CC1AE8">
        <w:rPr>
          <w:rStyle w:val="IvDbodytextChar"/>
        </w:rPr>
        <w:t xml:space="preserve">1 </w:t>
      </w:r>
      <w:r>
        <w:rPr>
          <w:rStyle w:val="IvDbodytextChar"/>
        </w:rPr>
        <w:t>PRB, as shown in</w:t>
      </w:r>
      <w:r w:rsidR="001152E5">
        <w:rPr>
          <w:rStyle w:val="IvDbodytextChar"/>
        </w:rPr>
        <w:t xml:space="preserve"> </w:t>
      </w:r>
      <w:r w:rsidR="001152E5">
        <w:rPr>
          <w:rStyle w:val="IvDbodytextChar"/>
        </w:rPr>
        <w:fldChar w:fldCharType="begin"/>
      </w:r>
      <w:r w:rsidR="001152E5">
        <w:rPr>
          <w:rStyle w:val="IvDbodytextChar"/>
        </w:rPr>
        <w:instrText xml:space="preserve"> REF _Ref465676646 \h </w:instrText>
      </w:r>
      <w:r w:rsidR="001152E5">
        <w:rPr>
          <w:rStyle w:val="IvDbodytextChar"/>
        </w:rPr>
      </w:r>
      <w:r w:rsidR="001152E5">
        <w:rPr>
          <w:rStyle w:val="IvDbodytextChar"/>
        </w:rPr>
        <w:fldChar w:fldCharType="separate"/>
      </w:r>
      <w:r w:rsidR="00BD64B2">
        <w:t xml:space="preserve">Figure </w:t>
      </w:r>
      <w:r w:rsidR="00BD64B2">
        <w:rPr>
          <w:noProof/>
        </w:rPr>
        <w:t>1</w:t>
      </w:r>
      <w:r w:rsidR="001152E5">
        <w:rPr>
          <w:rStyle w:val="IvDbodytextChar"/>
        </w:rPr>
        <w:fldChar w:fldCharType="end"/>
      </w:r>
      <w:r>
        <w:rPr>
          <w:rStyle w:val="IvDbodytextChar"/>
        </w:rPr>
        <w:t xml:space="preserve">, </w:t>
      </w:r>
      <w:r w:rsidRPr="0008594B">
        <w:rPr>
          <w:rStyle w:val="IvDbodytextChar"/>
        </w:rPr>
        <w:t>avoid</w:t>
      </w:r>
      <w:r>
        <w:rPr>
          <w:rStyle w:val="IvDbodytextChar"/>
        </w:rPr>
        <w:t>s</w:t>
      </w:r>
      <w:r w:rsidRPr="0008594B">
        <w:rPr>
          <w:rStyle w:val="IvDbodytextChar"/>
        </w:rPr>
        <w:t xml:space="preserve"> collision with</w:t>
      </w:r>
      <w:r>
        <w:rPr>
          <w:rStyle w:val="IvDbodytextChar"/>
        </w:rPr>
        <w:t xml:space="preserve"> LTE CRS and</w:t>
      </w:r>
      <w:r w:rsidRPr="0008594B">
        <w:rPr>
          <w:rStyle w:val="IvDbodytextChar"/>
        </w:rPr>
        <w:t xml:space="preserve"> LTE PCFICH, PHICH, and PDCCH that may use up to the first 3 OFDM symbols in a subfra</w:t>
      </w:r>
      <w:r>
        <w:rPr>
          <w:rStyle w:val="IvDbodytextChar"/>
        </w:rPr>
        <w:t xml:space="preserve">me (for &gt;1.4 MHz LTE bandwidth). This mapping has already well taken care of </w:t>
      </w:r>
      <w:r w:rsidR="00350463">
        <w:rPr>
          <w:rStyle w:val="IvDbodytextChar"/>
        </w:rPr>
        <w:t>the constraints imposed on</w:t>
      </w:r>
      <w:r>
        <w:rPr>
          <w:rStyle w:val="IvDbodytextChar"/>
        </w:rPr>
        <w:t xml:space="preserve"> NB-IoT inband deployment. For standalone or guardband deployment, it is not necessary to </w:t>
      </w:r>
      <w:r w:rsidRPr="0008594B">
        <w:rPr>
          <w:rStyle w:val="IvDbodytextChar"/>
        </w:rPr>
        <w:t>avoid collision with</w:t>
      </w:r>
      <w:r>
        <w:rPr>
          <w:rStyle w:val="IvDbodytextChar"/>
        </w:rPr>
        <w:t xml:space="preserve"> LTE CRS and</w:t>
      </w:r>
      <w:r w:rsidRPr="0008594B">
        <w:rPr>
          <w:rStyle w:val="IvDbodytextChar"/>
        </w:rPr>
        <w:t xml:space="preserve"> LTE PCFICH, PHICH, and PDCCH</w:t>
      </w:r>
      <w:r>
        <w:rPr>
          <w:rStyle w:val="IvDbodytextChar"/>
        </w:rPr>
        <w:t xml:space="preserve">. The unnecessary avoidance may lead to radio resource waste. Therefore, it is beneficial to reclaim the punctured resource elements in the diagonal pattern of LTE PRS for NB-IoT standalone or guardband deployment. </w:t>
      </w:r>
      <w:r w:rsidR="006C7055">
        <w:rPr>
          <w:rStyle w:val="IvDbodytextChar"/>
        </w:rPr>
        <w:fldChar w:fldCharType="begin"/>
      </w:r>
      <w:r w:rsidR="006C7055">
        <w:rPr>
          <w:rStyle w:val="IvDbodytextChar"/>
        </w:rPr>
        <w:instrText xml:space="preserve"> REF _Ref465675022 \h </w:instrText>
      </w:r>
      <w:r w:rsidR="006C7055">
        <w:rPr>
          <w:rStyle w:val="IvDbodytextChar"/>
        </w:rPr>
      </w:r>
      <w:r w:rsidR="006C7055">
        <w:rPr>
          <w:rStyle w:val="IvDbodytextChar"/>
        </w:rPr>
        <w:fldChar w:fldCharType="separate"/>
      </w:r>
      <w:r w:rsidR="00BD64B2">
        <w:t xml:space="preserve">Figure </w:t>
      </w:r>
      <w:r w:rsidR="00BD64B2">
        <w:rPr>
          <w:noProof/>
        </w:rPr>
        <w:t>2</w:t>
      </w:r>
      <w:r w:rsidR="006C7055">
        <w:rPr>
          <w:rStyle w:val="IvDbodytextChar"/>
        </w:rPr>
        <w:fldChar w:fldCharType="end"/>
      </w:r>
      <w:r w:rsidR="006C7055">
        <w:rPr>
          <w:rStyle w:val="IvDbodytextChar"/>
        </w:rPr>
        <w:t xml:space="preserve"> show</w:t>
      </w:r>
      <w:r>
        <w:rPr>
          <w:rStyle w:val="IvDbodytextChar"/>
        </w:rPr>
        <w:t xml:space="preserve"> how such reclaim may be performed. The reclaim yields </w:t>
      </w:r>
      <w:r w:rsidRPr="00626972">
        <w:rPr>
          <w:rStyle w:val="IvDbodytextChar"/>
        </w:rPr>
        <w:t>10*log10(14/8)</w:t>
      </w:r>
      <w:r>
        <w:rPr>
          <w:rStyle w:val="IvDbodytextChar"/>
        </w:rPr>
        <w:t xml:space="preserve"> = 2.43dB energy gain for standalone or guardband deployment where LTE CRS is not transmitted, and the diagonal pattern </w:t>
      </w:r>
      <w:r w:rsidRPr="00626972">
        <w:rPr>
          <w:rStyle w:val="IvDbodytextChar"/>
        </w:rPr>
        <w:t>spread</w:t>
      </w:r>
      <w:r>
        <w:rPr>
          <w:rStyle w:val="IvDbodytextChar"/>
        </w:rPr>
        <w:t>s PRS</w:t>
      </w:r>
      <w:r w:rsidRPr="00626972">
        <w:rPr>
          <w:rStyle w:val="IvDbodytextChar"/>
        </w:rPr>
        <w:t xml:space="preserve"> in time and </w:t>
      </w:r>
      <w:r>
        <w:rPr>
          <w:rStyle w:val="IvDbodytextChar"/>
        </w:rPr>
        <w:t>frequency to the largest extent, yielding the maximum</w:t>
      </w:r>
      <w:r w:rsidR="002C371E">
        <w:rPr>
          <w:rStyle w:val="IvDbodytextChar"/>
        </w:rPr>
        <w:t xml:space="preserve"> possible</w:t>
      </w:r>
      <w:r>
        <w:rPr>
          <w:rStyle w:val="IvDbodytextChar"/>
        </w:rPr>
        <w:t xml:space="preserve"> timing </w:t>
      </w:r>
      <w:r w:rsidR="002C371E">
        <w:rPr>
          <w:rStyle w:val="IvDbodytextChar"/>
        </w:rPr>
        <w:t>resolution</w:t>
      </w:r>
      <w:r>
        <w:rPr>
          <w:rStyle w:val="IvDbodytextChar"/>
        </w:rPr>
        <w:t xml:space="preserve"> in 1 PRB.</w:t>
      </w:r>
    </w:p>
    <w:p w14:paraId="1A23CF92" w14:textId="77777777" w:rsidR="00F07C61" w:rsidRDefault="00F07C61" w:rsidP="00F07C61">
      <w:pPr>
        <w:jc w:val="center"/>
        <w:rPr>
          <w:rStyle w:val="IvDbodytextChar"/>
        </w:rPr>
      </w:pPr>
      <w:r>
        <w:rPr>
          <w:noProof/>
          <w:lang w:val="en-US"/>
        </w:rPr>
        <w:lastRenderedPageBreak/>
        <w:drawing>
          <wp:inline distT="0" distB="0" distL="0" distR="0" wp14:anchorId="02E5FE9B" wp14:editId="4C65435E">
            <wp:extent cx="4951562" cy="2361633"/>
            <wp:effectExtent l="0" t="0" r="190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6622" cy="2368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D8CA9" w14:textId="3EA54B95" w:rsidR="00F07C61" w:rsidRPr="00F07C61" w:rsidRDefault="00F07C61" w:rsidP="00F07C61">
      <w:pPr>
        <w:pStyle w:val="Caption"/>
        <w:rPr>
          <w:rStyle w:val="IvDbodytextChar"/>
          <w:spacing w:val="0"/>
        </w:rPr>
      </w:pPr>
      <w:bookmarkStart w:id="3" w:name="_Ref4656750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4B2">
        <w:rPr>
          <w:noProof/>
        </w:rPr>
        <w:t>2</w:t>
      </w:r>
      <w:r>
        <w:fldChar w:fldCharType="end"/>
      </w:r>
      <w:bookmarkEnd w:id="3"/>
      <w:r>
        <w:t xml:space="preserve">: LTE PRS in 1 PRB extended to </w:t>
      </w:r>
      <w:r>
        <w:rPr>
          <w:lang w:val="en-US"/>
        </w:rPr>
        <w:t>standalone and guardband deployments</w:t>
      </w:r>
    </w:p>
    <w:p w14:paraId="60845898" w14:textId="7B59B9BB" w:rsidR="009556FB" w:rsidRDefault="00E92E22" w:rsidP="009556FB">
      <w:pPr>
        <w:pStyle w:val="IvDInstructiontext"/>
        <w:rPr>
          <w:rStyle w:val="IvDbodytextChar"/>
        </w:rPr>
      </w:pPr>
      <w:r w:rsidRPr="003B1F30">
        <w:rPr>
          <w:rStyle w:val="IvDbodytextChar"/>
          <w:b/>
          <w:i w:val="0"/>
          <w:color w:val="auto"/>
        </w:rPr>
        <w:t xml:space="preserve">Observation </w:t>
      </w:r>
      <w:r w:rsidR="007722B2">
        <w:rPr>
          <w:rStyle w:val="IvDbodytextChar"/>
          <w:b/>
          <w:i w:val="0"/>
          <w:color w:val="auto"/>
        </w:rPr>
        <w:t>2</w:t>
      </w:r>
      <w:r w:rsidRPr="003B1F30">
        <w:rPr>
          <w:rStyle w:val="IvDbodytextChar"/>
          <w:b/>
          <w:i w:val="0"/>
          <w:color w:val="auto"/>
        </w:rPr>
        <w:t>: The punctured resource elements in the diagonal pattern of LTE PRS in 1 PRB can be reclaimed for NB-IoT standalone or guardband deployment.</w:t>
      </w:r>
    </w:p>
    <w:p w14:paraId="1DA112C9" w14:textId="315CAE80" w:rsidR="009556FB" w:rsidRPr="009556FB" w:rsidRDefault="007722B2" w:rsidP="009556FB">
      <w:pPr>
        <w:pStyle w:val="IvDInstructiontext"/>
        <w:rPr>
          <w:rStyle w:val="IvDbodytextChar"/>
          <w:b/>
          <w:i w:val="0"/>
          <w:color w:val="auto"/>
        </w:rPr>
      </w:pPr>
      <w:r>
        <w:rPr>
          <w:rStyle w:val="IvDbodytextChar"/>
          <w:b/>
          <w:i w:val="0"/>
          <w:color w:val="auto"/>
          <w:lang w:val="en-US"/>
        </w:rPr>
        <w:t>Proposal 2</w:t>
      </w:r>
      <w:r w:rsidR="00F07C61" w:rsidRPr="009556FB">
        <w:rPr>
          <w:rStyle w:val="IvDbodytextChar"/>
          <w:b/>
          <w:i w:val="0"/>
          <w:color w:val="auto"/>
          <w:lang w:val="en-US"/>
        </w:rPr>
        <w:t xml:space="preserve">: </w:t>
      </w:r>
      <w:r w:rsidR="009556FB" w:rsidRPr="009556FB">
        <w:rPr>
          <w:rStyle w:val="IvDbodytextChar"/>
          <w:b/>
          <w:i w:val="0"/>
          <w:color w:val="auto"/>
          <w:lang w:val="en-US"/>
        </w:rPr>
        <w:t xml:space="preserve">For </w:t>
      </w:r>
      <w:r w:rsidR="009556FB" w:rsidRPr="009556FB">
        <w:rPr>
          <w:rStyle w:val="IvDbodytextChar"/>
          <w:b/>
          <w:i w:val="0"/>
          <w:color w:val="auto"/>
        </w:rPr>
        <w:t>NB-IoT standalone or guardband deployment,</w:t>
      </w:r>
      <w:r w:rsidR="009556FB" w:rsidRPr="009556FB">
        <w:rPr>
          <w:b/>
          <w:i w:val="0"/>
          <w:color w:val="auto"/>
          <w:sz w:val="20"/>
          <w:szCs w:val="20"/>
        </w:rPr>
        <w:t xml:space="preserve"> </w:t>
      </w:r>
      <w:r w:rsidR="009556FB" w:rsidRPr="009556FB">
        <w:rPr>
          <w:rStyle w:val="IvDbodytextChar"/>
          <w:b/>
          <w:i w:val="0"/>
          <w:color w:val="auto"/>
        </w:rPr>
        <w:t xml:space="preserve">the diagonal </w:t>
      </w:r>
      <w:r w:rsidR="00C33761">
        <w:rPr>
          <w:rStyle w:val="IvDbodytextChar"/>
          <w:b/>
          <w:i w:val="0"/>
          <w:color w:val="auto"/>
        </w:rPr>
        <w:t xml:space="preserve">resource element mapping </w:t>
      </w:r>
      <w:r w:rsidR="009556FB" w:rsidRPr="009556FB">
        <w:rPr>
          <w:rStyle w:val="IvDbodytextChar"/>
          <w:b/>
          <w:i w:val="0"/>
          <w:color w:val="auto"/>
        </w:rPr>
        <w:t>pattern of LTE PRS in 1 PRB is extended to use all the</w:t>
      </w:r>
      <w:r w:rsidR="000E260E">
        <w:rPr>
          <w:rStyle w:val="IvDbodytextChar"/>
          <w:b/>
          <w:i w:val="0"/>
          <w:color w:val="auto"/>
        </w:rPr>
        <w:t xml:space="preserve"> diagonal resource elements</w:t>
      </w:r>
      <w:r w:rsidR="009556FB" w:rsidRPr="009556FB">
        <w:rPr>
          <w:rStyle w:val="IvDbodytextChar"/>
          <w:b/>
          <w:i w:val="0"/>
          <w:color w:val="auto"/>
        </w:rPr>
        <w:t xml:space="preserve"> in a subframe</w:t>
      </w:r>
      <w:r w:rsidR="00E73BB4">
        <w:rPr>
          <w:rStyle w:val="IvDbodytextChar"/>
          <w:b/>
          <w:i w:val="0"/>
          <w:color w:val="auto"/>
        </w:rPr>
        <w:t xml:space="preserve"> for NPRS</w:t>
      </w:r>
      <w:r w:rsidR="009556FB" w:rsidRPr="009556FB">
        <w:rPr>
          <w:rStyle w:val="IvDbodytextChar"/>
          <w:b/>
          <w:i w:val="0"/>
          <w:color w:val="auto"/>
        </w:rPr>
        <w:t xml:space="preserve">, as illustrated in </w:t>
      </w:r>
      <w:r w:rsidR="009556FB" w:rsidRPr="009556FB">
        <w:rPr>
          <w:rStyle w:val="IvDbodytextChar"/>
          <w:b/>
          <w:i w:val="0"/>
          <w:color w:val="auto"/>
        </w:rPr>
        <w:fldChar w:fldCharType="begin"/>
      </w:r>
      <w:r w:rsidR="009556FB" w:rsidRPr="009556FB">
        <w:rPr>
          <w:rStyle w:val="IvDbodytextChar"/>
          <w:b/>
          <w:i w:val="0"/>
          <w:color w:val="auto"/>
        </w:rPr>
        <w:instrText xml:space="preserve"> REF _Ref465675022 \h  \* MERGEFORMAT </w:instrText>
      </w:r>
      <w:r w:rsidR="009556FB" w:rsidRPr="009556FB">
        <w:rPr>
          <w:rStyle w:val="IvDbodytextChar"/>
          <w:b/>
          <w:i w:val="0"/>
          <w:color w:val="auto"/>
        </w:rPr>
      </w:r>
      <w:r w:rsidR="009556FB" w:rsidRPr="009556FB">
        <w:rPr>
          <w:rStyle w:val="IvDbodytextChar"/>
          <w:b/>
          <w:i w:val="0"/>
          <w:color w:val="auto"/>
        </w:rPr>
        <w:fldChar w:fldCharType="separate"/>
      </w:r>
      <w:r w:rsidR="00BD64B2" w:rsidRPr="00BD64B2">
        <w:rPr>
          <w:b/>
          <w:i w:val="0"/>
          <w:color w:val="auto"/>
          <w:sz w:val="20"/>
          <w:szCs w:val="20"/>
        </w:rPr>
        <w:t xml:space="preserve">Figure </w:t>
      </w:r>
      <w:r w:rsidR="00BD64B2" w:rsidRPr="00BD64B2">
        <w:rPr>
          <w:b/>
          <w:i w:val="0"/>
          <w:noProof/>
          <w:color w:val="auto"/>
          <w:sz w:val="20"/>
          <w:szCs w:val="20"/>
        </w:rPr>
        <w:t>2</w:t>
      </w:r>
      <w:r w:rsidR="009556FB" w:rsidRPr="009556FB">
        <w:rPr>
          <w:rStyle w:val="IvDbodytextChar"/>
          <w:b/>
          <w:i w:val="0"/>
          <w:color w:val="auto"/>
        </w:rPr>
        <w:fldChar w:fldCharType="end"/>
      </w:r>
      <w:r w:rsidR="009556FB" w:rsidRPr="009556FB">
        <w:rPr>
          <w:rStyle w:val="IvDbodytextChar"/>
          <w:b/>
          <w:i w:val="0"/>
          <w:color w:val="auto"/>
        </w:rPr>
        <w:t>.</w:t>
      </w:r>
    </w:p>
    <w:p w14:paraId="1B48AEFE" w14:textId="77777777" w:rsidR="006C7055" w:rsidRPr="006C7055" w:rsidRDefault="006C7055" w:rsidP="00F07C61">
      <w:pPr>
        <w:jc w:val="left"/>
        <w:rPr>
          <w:rStyle w:val="IvDbodytextChar"/>
          <w:lang w:val="en-US"/>
        </w:rPr>
      </w:pPr>
    </w:p>
    <w:p w14:paraId="433B924F" w14:textId="332315BE" w:rsidR="00BC4311" w:rsidRDefault="00177A89" w:rsidP="00BC4311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NPRS sequence</w:t>
      </w:r>
      <w:r w:rsidR="00DE298E">
        <w:rPr>
          <w:rFonts w:eastAsia="MS Mincho"/>
          <w:lang w:val="en-US" w:eastAsia="ja-JP"/>
        </w:rPr>
        <w:t xml:space="preserve"> determination</w:t>
      </w:r>
    </w:p>
    <w:p w14:paraId="34DE65E8" w14:textId="3B67B7D0" w:rsidR="00D36848" w:rsidRDefault="000A341F" w:rsidP="00BC4311">
      <w:pPr>
        <w:rPr>
          <w:rStyle w:val="IvDbodytextChar"/>
        </w:rPr>
      </w:pPr>
      <w:r w:rsidRPr="007313B5">
        <w:rPr>
          <w:rStyle w:val="IvDbodytextChar"/>
        </w:rPr>
        <w:t>LTE PRS sequence</w:t>
      </w:r>
      <w:r w:rsidR="007313B5" w:rsidRPr="007313B5">
        <w:rPr>
          <w:rStyle w:val="IvDbodytextChar"/>
        </w:rPr>
        <w:t xml:space="preserve"> is based on pseudo-random QPSK sequence</w:t>
      </w:r>
      <w:r w:rsidR="007313B5">
        <w:rPr>
          <w:rStyle w:val="IvDbodytextChar"/>
        </w:rPr>
        <w:t xml:space="preserve"> specified in Section 6.10.4 in</w:t>
      </w:r>
      <w:r w:rsidR="00620254">
        <w:rPr>
          <w:rStyle w:val="IvDbodytextChar"/>
        </w:rPr>
        <w:t xml:space="preserve"> </w:t>
      </w:r>
      <w:r w:rsidR="00620254">
        <w:rPr>
          <w:rStyle w:val="IvDbodytextChar"/>
        </w:rPr>
        <w:fldChar w:fldCharType="begin"/>
      </w:r>
      <w:r w:rsidR="00620254">
        <w:rPr>
          <w:rStyle w:val="IvDbodytextChar"/>
        </w:rPr>
        <w:instrText xml:space="preserve"> REF _Ref465942590 \r \h </w:instrText>
      </w:r>
      <w:r w:rsidR="00620254">
        <w:rPr>
          <w:rStyle w:val="IvDbodytextChar"/>
        </w:rPr>
      </w:r>
      <w:r w:rsidR="00620254">
        <w:rPr>
          <w:rStyle w:val="IvDbodytextChar"/>
        </w:rPr>
        <w:fldChar w:fldCharType="separate"/>
      </w:r>
      <w:r w:rsidR="00BD64B2">
        <w:rPr>
          <w:rStyle w:val="IvDbodytextChar"/>
        </w:rPr>
        <w:t>[5]</w:t>
      </w:r>
      <w:r w:rsidR="00620254">
        <w:rPr>
          <w:rStyle w:val="IvDbodytextChar"/>
        </w:rPr>
        <w:fldChar w:fldCharType="end"/>
      </w:r>
      <w:r w:rsidR="007313B5">
        <w:rPr>
          <w:rStyle w:val="IvDbodytextChar"/>
        </w:rPr>
        <w:t>.</w:t>
      </w:r>
      <w:r w:rsidR="0067504E">
        <w:rPr>
          <w:rStyle w:val="IvDbodytextChar"/>
        </w:rPr>
        <w:t xml:space="preserve"> </w:t>
      </w:r>
      <w:r w:rsidR="007313B5" w:rsidRPr="007313B5">
        <w:rPr>
          <w:rStyle w:val="IvDbodytextChar"/>
        </w:rPr>
        <w:t xml:space="preserve">The sequence changes with frequency index, symbol index, and slot index </w:t>
      </w:r>
      <w:r w:rsidR="0067504E">
        <w:rPr>
          <w:rStyle w:val="IvDbodytextChar"/>
        </w:rPr>
        <w:t>in a radio frame.</w:t>
      </w:r>
      <w:r w:rsidR="00D36848">
        <w:rPr>
          <w:rStyle w:val="IvDbodytextChar"/>
        </w:rPr>
        <w:t xml:space="preserve"> LTE </w:t>
      </w:r>
      <w:r w:rsidR="00D36848" w:rsidRPr="00D36848">
        <w:rPr>
          <w:rStyle w:val="IvDbodytextChar"/>
        </w:rPr>
        <w:t>PRS</w:t>
      </w:r>
      <w:r w:rsidR="00D36848">
        <w:rPr>
          <w:rStyle w:val="IvDbodytextChar"/>
        </w:rPr>
        <w:t xml:space="preserve"> sequences</w:t>
      </w:r>
      <w:r w:rsidR="00D36848" w:rsidRPr="00D36848">
        <w:rPr>
          <w:rStyle w:val="IvDbodytextChar"/>
        </w:rPr>
        <w:t xml:space="preserve"> are always mapped around the carrier frequency with configurable bandwidth</w:t>
      </w:r>
      <w:r w:rsidR="00D36848">
        <w:rPr>
          <w:rStyle w:val="IvDbodytextChar"/>
        </w:rPr>
        <w:t xml:space="preserve"> of</w:t>
      </w:r>
      <w:r w:rsidR="00D36848" w:rsidRPr="00D36848">
        <w:rPr>
          <w:rStyle w:val="IvDbodytextChar"/>
        </w:rPr>
        <w:t xml:space="preserve"> 1.4, 3, 5, 10, 15, </w:t>
      </w:r>
      <w:r w:rsidR="00D36848">
        <w:rPr>
          <w:rStyle w:val="IvDbodytextChar"/>
        </w:rPr>
        <w:t xml:space="preserve">or </w:t>
      </w:r>
      <w:r w:rsidR="00D36848" w:rsidRPr="00D36848">
        <w:rPr>
          <w:rStyle w:val="IvDbodytextChar"/>
        </w:rPr>
        <w:t>20 MHz</w:t>
      </w:r>
      <w:r w:rsidR="00D36848">
        <w:rPr>
          <w:rStyle w:val="IvDbodytextChar"/>
        </w:rPr>
        <w:t xml:space="preserve">. </w:t>
      </w:r>
      <w:r>
        <w:rPr>
          <w:rStyle w:val="IvDbodytextChar"/>
        </w:rPr>
        <w:fldChar w:fldCharType="begin"/>
      </w:r>
      <w:r>
        <w:rPr>
          <w:rStyle w:val="IvDbodytextChar"/>
        </w:rPr>
        <w:instrText xml:space="preserve"> REF _Ref465677482 \h </w:instrText>
      </w:r>
      <w:r>
        <w:rPr>
          <w:rStyle w:val="IvDbodytextChar"/>
        </w:rPr>
      </w:r>
      <w:r>
        <w:rPr>
          <w:rStyle w:val="IvDbodytextChar"/>
        </w:rPr>
        <w:fldChar w:fldCharType="separate"/>
      </w:r>
      <w:r w:rsidR="00BD64B2">
        <w:t xml:space="preserve">Figure </w:t>
      </w:r>
      <w:r w:rsidR="00BD64B2">
        <w:rPr>
          <w:noProof/>
        </w:rPr>
        <w:t>3</w:t>
      </w:r>
      <w:r>
        <w:rPr>
          <w:rStyle w:val="IvDbodytextChar"/>
        </w:rPr>
        <w:fldChar w:fldCharType="end"/>
      </w:r>
      <w:r>
        <w:rPr>
          <w:rStyle w:val="IvDbodytextChar"/>
        </w:rPr>
        <w:t xml:space="preserve"> gives an illustration of LTE PRS sequence mapp</w:t>
      </w:r>
      <w:r w:rsidR="004158A8">
        <w:rPr>
          <w:rStyle w:val="IvDbodytextChar"/>
        </w:rPr>
        <w:t>ing when LTE PRS of 6 PRBs is</w:t>
      </w:r>
      <w:r>
        <w:rPr>
          <w:rStyle w:val="IvDbodytextChar"/>
        </w:rPr>
        <w:t xml:space="preserve"> configured. </w:t>
      </w:r>
    </w:p>
    <w:p w14:paraId="30E48F7F" w14:textId="1118418F" w:rsidR="00D36848" w:rsidRDefault="00D36848" w:rsidP="00386BE0">
      <w:pPr>
        <w:jc w:val="center"/>
        <w:rPr>
          <w:rStyle w:val="IvDbodytextChar"/>
        </w:rPr>
      </w:pPr>
      <w:r w:rsidRPr="00D36848">
        <w:rPr>
          <w:noProof/>
          <w:spacing w:val="2"/>
          <w:lang w:val="en-US"/>
        </w:rPr>
        <w:drawing>
          <wp:inline distT="0" distB="0" distL="0" distR="0" wp14:anchorId="2C4AFDB9" wp14:editId="53F4766D">
            <wp:extent cx="5916121" cy="2072144"/>
            <wp:effectExtent l="0" t="0" r="8890" b="444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121" cy="20721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8DD96" w14:textId="4C2DB87D" w:rsidR="0067504E" w:rsidRDefault="00D36848" w:rsidP="00386BE0">
      <w:pPr>
        <w:pStyle w:val="Caption"/>
        <w:rPr>
          <w:spacing w:val="2"/>
        </w:rPr>
      </w:pPr>
      <w:bookmarkStart w:id="4" w:name="_Ref4656774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4B2">
        <w:rPr>
          <w:noProof/>
        </w:rPr>
        <w:t>3</w:t>
      </w:r>
      <w:r>
        <w:fldChar w:fldCharType="end"/>
      </w:r>
      <w:bookmarkEnd w:id="4"/>
      <w:r>
        <w:t>: An illustration of LTE PRS sequence mapping</w:t>
      </w:r>
    </w:p>
    <w:p w14:paraId="5B47CB61" w14:textId="3D4067E8" w:rsidR="00594B24" w:rsidRDefault="000A341F" w:rsidP="00BC4311">
      <w:pPr>
        <w:rPr>
          <w:rStyle w:val="IvDbodytextChar"/>
        </w:rPr>
      </w:pPr>
      <w:r w:rsidRPr="007313B5">
        <w:rPr>
          <w:lang w:val="en-US" w:eastAsia="ja-JP"/>
        </w:rPr>
        <w:t xml:space="preserve">If NPRS </w:t>
      </w:r>
      <w:r w:rsidRPr="007313B5">
        <w:rPr>
          <w:rStyle w:val="IvDbodytextChar"/>
        </w:rPr>
        <w:t>resource element mapping pattern</w:t>
      </w:r>
      <w:r>
        <w:rPr>
          <w:rStyle w:val="IvDbodytextChar"/>
        </w:rPr>
        <w:t xml:space="preserve"> follows the diagonal pattern of </w:t>
      </w:r>
      <w:r w:rsidRPr="007313B5">
        <w:rPr>
          <w:rStyle w:val="IvDbodytextChar"/>
        </w:rPr>
        <w:t>LTE PRS in 1 PRB</w:t>
      </w:r>
      <w:r>
        <w:rPr>
          <w:rStyle w:val="IvDbodytextChar"/>
        </w:rPr>
        <w:t xml:space="preserve"> with reuse 6, it is </w:t>
      </w:r>
      <w:r w:rsidR="00E82FF2">
        <w:rPr>
          <w:rStyle w:val="IvDbodytextChar"/>
        </w:rPr>
        <w:t>also natural to</w:t>
      </w:r>
      <w:r w:rsidR="00694E1E">
        <w:rPr>
          <w:rStyle w:val="IvDbodytextChar"/>
        </w:rPr>
        <w:t xml:space="preserve"> reuse</w:t>
      </w:r>
      <w:r>
        <w:rPr>
          <w:rStyle w:val="IvDbodytextChar"/>
        </w:rPr>
        <w:t xml:space="preserve"> </w:t>
      </w:r>
      <w:r w:rsidRPr="007313B5">
        <w:rPr>
          <w:rStyle w:val="IvDbodytextChar"/>
        </w:rPr>
        <w:t>LTE PRS sequence</w:t>
      </w:r>
      <w:r w:rsidR="00694E1E">
        <w:rPr>
          <w:rStyle w:val="IvDbodytextChar"/>
        </w:rPr>
        <w:t xml:space="preserve"> for NPRS sequence</w:t>
      </w:r>
      <w:r>
        <w:rPr>
          <w:rStyle w:val="IvDbodytextChar"/>
        </w:rPr>
        <w:t>.</w:t>
      </w:r>
      <w:r w:rsidR="00694E1E">
        <w:rPr>
          <w:rStyle w:val="IvDbodytextChar"/>
        </w:rPr>
        <w:t xml:space="preserve"> In particular, we can </w:t>
      </w:r>
      <w:r w:rsidR="00694E1E" w:rsidRPr="00694E1E">
        <w:rPr>
          <w:rStyle w:val="IvDbodytextChar"/>
        </w:rPr>
        <w:t xml:space="preserve">truncate the </w:t>
      </w:r>
      <w:r w:rsidR="00694E1E">
        <w:rPr>
          <w:rStyle w:val="IvDbodytextChar"/>
        </w:rPr>
        <w:t xml:space="preserve">LTE PRS </w:t>
      </w:r>
      <w:r w:rsidR="00694E1E" w:rsidRPr="00694E1E">
        <w:rPr>
          <w:rStyle w:val="IvDbodytextChar"/>
        </w:rPr>
        <w:t>sequence</w:t>
      </w:r>
      <w:r w:rsidR="004F020C">
        <w:rPr>
          <w:rStyle w:val="IvDbodytextChar"/>
        </w:rPr>
        <w:t xml:space="preserve"> (that has</w:t>
      </w:r>
      <w:r w:rsidR="00694E1E">
        <w:rPr>
          <w:rStyle w:val="IvDbodytextChar"/>
        </w:rPr>
        <w:t xml:space="preserve"> a maximum length of 220</w:t>
      </w:r>
      <w:r w:rsidR="004F020C">
        <w:rPr>
          <w:rStyle w:val="IvDbodytextChar"/>
        </w:rPr>
        <w:t xml:space="preserve">) and </w:t>
      </w:r>
      <w:r w:rsidR="00694E1E" w:rsidRPr="00694E1E">
        <w:rPr>
          <w:rStyle w:val="IvDbodytextChar"/>
        </w:rPr>
        <w:t>use a portion</w:t>
      </w:r>
      <w:r w:rsidR="00624A35">
        <w:rPr>
          <w:rStyle w:val="IvDbodytextChar"/>
        </w:rPr>
        <w:t xml:space="preserve"> of 2 elements in</w:t>
      </w:r>
      <w:r w:rsidR="00694E1E" w:rsidRPr="00694E1E">
        <w:rPr>
          <w:rStyle w:val="IvDbodytextChar"/>
        </w:rPr>
        <w:t xml:space="preserve"> the sequence for NPRS. </w:t>
      </w:r>
      <w:r w:rsidR="00624A35">
        <w:rPr>
          <w:rStyle w:val="IvDbodytextChar"/>
        </w:rPr>
        <w:t>T</w:t>
      </w:r>
      <w:r w:rsidR="00C44EF8">
        <w:rPr>
          <w:rStyle w:val="IvDbodytextChar"/>
        </w:rPr>
        <w:t>he remaining question</w:t>
      </w:r>
      <w:r w:rsidR="00624A35">
        <w:rPr>
          <w:rStyle w:val="IvDbodytextChar"/>
        </w:rPr>
        <w:t xml:space="preserve"> is about </w:t>
      </w:r>
      <w:r w:rsidR="00694E1E" w:rsidRPr="00694E1E">
        <w:rPr>
          <w:rStyle w:val="IvDbodytextChar"/>
        </w:rPr>
        <w:t xml:space="preserve">which </w:t>
      </w:r>
      <w:r w:rsidR="00B5354B">
        <w:rPr>
          <w:rStyle w:val="IvDbodytextChar"/>
        </w:rPr>
        <w:t>portion of the</w:t>
      </w:r>
      <w:r w:rsidR="00694E1E" w:rsidRPr="00694E1E">
        <w:rPr>
          <w:rStyle w:val="IvDbodytextChar"/>
        </w:rPr>
        <w:t xml:space="preserve"> </w:t>
      </w:r>
      <w:r w:rsidR="00624A35">
        <w:rPr>
          <w:rStyle w:val="IvDbodytextChar"/>
        </w:rPr>
        <w:t xml:space="preserve">LTE PRS </w:t>
      </w:r>
      <w:r w:rsidR="00106B55">
        <w:rPr>
          <w:rStyle w:val="IvDbodytextChar"/>
        </w:rPr>
        <w:t>sequence should be</w:t>
      </w:r>
      <w:r w:rsidR="00694E1E" w:rsidRPr="00694E1E">
        <w:rPr>
          <w:rStyle w:val="IvDbodytextChar"/>
        </w:rPr>
        <w:t xml:space="preserve"> used for NPRS.</w:t>
      </w:r>
      <w:r>
        <w:rPr>
          <w:rStyle w:val="IvDbodytextChar"/>
        </w:rPr>
        <w:t xml:space="preserve"> </w:t>
      </w:r>
    </w:p>
    <w:p w14:paraId="33C1C00F" w14:textId="7B936B26" w:rsidR="00594B24" w:rsidRDefault="00594B24" w:rsidP="00594B24">
      <w:pPr>
        <w:pStyle w:val="BodyText"/>
        <w:rPr>
          <w:rStyle w:val="IvDbodytextChar"/>
        </w:rPr>
      </w:pPr>
      <w:r>
        <w:t xml:space="preserve">A fixed subsequence of length-2 truncated from the LTE PRS sequence can be used for NPRS, e.g., </w:t>
      </w:r>
      <w:r w:rsidRPr="00594B24">
        <w:t>the fixed subsequence can be the centra</w:t>
      </w:r>
      <w:r>
        <w:t>l</w:t>
      </w:r>
      <w:r w:rsidRPr="00594B24">
        <w:t xml:space="preserve"> two elements</w:t>
      </w:r>
      <w:r>
        <w:t xml:space="preserve"> of LTE PRS sequence. </w:t>
      </w:r>
      <w:r>
        <w:rPr>
          <w:rStyle w:val="IvDbodytextChar"/>
        </w:rPr>
        <w:t>This is suitable for standalone deployment of NB-IoT.</w:t>
      </w:r>
    </w:p>
    <w:p w14:paraId="3E98E655" w14:textId="212489E3" w:rsidR="00B16E81" w:rsidRDefault="00B16E81" w:rsidP="00BC4311">
      <w:pPr>
        <w:rPr>
          <w:rStyle w:val="IvDbodytextChar"/>
        </w:rPr>
      </w:pPr>
      <w:r>
        <w:rPr>
          <w:rStyle w:val="IvDbodytextChar"/>
        </w:rPr>
        <w:lastRenderedPageBreak/>
        <w:t>Inband NB-IoT carriers can be flexibly placed in a number of positions inside a wideband LTE carrier. Without considering the position of NB-IoT carrier in a LTE carrier,</w:t>
      </w:r>
      <w:r w:rsidR="002F032D">
        <w:rPr>
          <w:rStyle w:val="IvDbodytextChar"/>
        </w:rPr>
        <w:t xml:space="preserve"> the</w:t>
      </w:r>
      <w:r>
        <w:rPr>
          <w:rStyle w:val="IvDbodytextChar"/>
        </w:rPr>
        <w:t xml:space="preserve"> synergy between LTE PRS and NPRS is lost to some extent. </w:t>
      </w:r>
      <w:r w:rsidR="00B15041">
        <w:rPr>
          <w:rStyle w:val="IvDbodytextChar"/>
        </w:rPr>
        <w:t xml:space="preserve">For example, in </w:t>
      </w:r>
      <w:r w:rsidR="00B15041">
        <w:rPr>
          <w:rStyle w:val="IvDbodytextChar"/>
        </w:rPr>
        <w:fldChar w:fldCharType="begin"/>
      </w:r>
      <w:r w:rsidR="00B15041">
        <w:rPr>
          <w:rStyle w:val="IvDbodytextChar"/>
        </w:rPr>
        <w:instrText xml:space="preserve"> REF _Ref465682932 \h </w:instrText>
      </w:r>
      <w:r w:rsidR="00B15041">
        <w:rPr>
          <w:rStyle w:val="IvDbodytextChar"/>
        </w:rPr>
      </w:r>
      <w:r w:rsidR="00B15041">
        <w:rPr>
          <w:rStyle w:val="IvDbodytextChar"/>
        </w:rPr>
        <w:fldChar w:fldCharType="separate"/>
      </w:r>
      <w:r w:rsidR="00BD64B2">
        <w:t xml:space="preserve">Figure </w:t>
      </w:r>
      <w:r w:rsidR="00BD64B2">
        <w:rPr>
          <w:noProof/>
        </w:rPr>
        <w:t>4</w:t>
      </w:r>
      <w:r w:rsidR="00B15041">
        <w:rPr>
          <w:rStyle w:val="IvDbodytextChar"/>
        </w:rPr>
        <w:fldChar w:fldCharType="end"/>
      </w:r>
      <w:r w:rsidR="00B15041">
        <w:rPr>
          <w:rStyle w:val="IvDbodytextChar"/>
        </w:rPr>
        <w:t>, LTE PRS and NPRS are configured with the same period (but NPRS is much denser than LTE PRS in time domain).</w:t>
      </w:r>
      <w:r w:rsidR="00B42775">
        <w:rPr>
          <w:rStyle w:val="IvDbodytextChar"/>
        </w:rPr>
        <w:t xml:space="preserve"> In this case, NPRS punctures LTE PRS if NPRS sequence is fixed to be the central 2 elements</w:t>
      </w:r>
      <w:r w:rsidR="00422302">
        <w:rPr>
          <w:rStyle w:val="IvDbodytextChar"/>
        </w:rPr>
        <w:t xml:space="preserve"> of LTE PRS sequence</w:t>
      </w:r>
      <w:r w:rsidR="00B42775">
        <w:rPr>
          <w:rStyle w:val="IvDbodytextChar"/>
        </w:rPr>
        <w:t>.</w:t>
      </w:r>
      <w:r w:rsidR="00422302">
        <w:rPr>
          <w:rStyle w:val="IvDbodytextChar"/>
        </w:rPr>
        <w:t xml:space="preserve"> T</w:t>
      </w:r>
      <w:r w:rsidR="00BD7059">
        <w:rPr>
          <w:rStyle w:val="IvDbodytextChar"/>
        </w:rPr>
        <w:t>his puncturing would</w:t>
      </w:r>
      <w:r w:rsidR="00422302">
        <w:rPr>
          <w:rStyle w:val="IvDbodytextChar"/>
        </w:rPr>
        <w:t xml:space="preserve"> not</w:t>
      </w:r>
      <w:r w:rsidR="00BD7059">
        <w:rPr>
          <w:rStyle w:val="IvDbodytextChar"/>
        </w:rPr>
        <w:t xml:space="preserve"> be</w:t>
      </w:r>
      <w:r w:rsidR="00422302">
        <w:rPr>
          <w:rStyle w:val="IvDbodytextChar"/>
        </w:rPr>
        <w:t xml:space="preserve"> known to legacy LTE UE.</w:t>
      </w:r>
      <w:r w:rsidR="00B42775">
        <w:rPr>
          <w:rStyle w:val="IvDbodytextChar"/>
        </w:rPr>
        <w:t xml:space="preserve"> Network may </w:t>
      </w:r>
      <w:r w:rsidR="00B42775" w:rsidRPr="00B42775">
        <w:rPr>
          <w:rStyle w:val="IvDbodytextChar"/>
        </w:rPr>
        <w:t>circumvent</w:t>
      </w:r>
      <w:r w:rsidR="00B42775">
        <w:rPr>
          <w:rStyle w:val="IvDbodytextChar"/>
        </w:rPr>
        <w:t xml:space="preserve"> this issue by configuring orthogonal radio resources for LTE PRS and NPRS, respectively. Still, it would be </w:t>
      </w:r>
      <w:r w:rsidR="00A709FD">
        <w:rPr>
          <w:rStyle w:val="IvDbodytextChar"/>
        </w:rPr>
        <w:t>beneficial</w:t>
      </w:r>
      <w:r w:rsidR="00B42775">
        <w:rPr>
          <w:rStyle w:val="IvDbodytextChar"/>
        </w:rPr>
        <w:t xml:space="preserve"> if NPRS sequence can be determined based on the position of the corresponding NB-IoT carrier inside the wideband LTE carrier. This also helps improve </w:t>
      </w:r>
      <w:r w:rsidR="00B42775" w:rsidRPr="00B16E81">
        <w:rPr>
          <w:rStyle w:val="IvDbodytextChar"/>
        </w:rPr>
        <w:t>quasi-orthogonality of pseudo-random sequence</w:t>
      </w:r>
      <w:r w:rsidR="00B42775">
        <w:rPr>
          <w:rStyle w:val="IvDbodytextChar"/>
        </w:rPr>
        <w:t xml:space="preserve">s when NPRS’s are configured on multiple NB-IoT carriers. In particular, it helps randomize interference, leading to improved RSTD measurement accuracy. </w:t>
      </w:r>
    </w:p>
    <w:p w14:paraId="0E455502" w14:textId="073DEA00" w:rsidR="00521CEC" w:rsidRDefault="00521CEC" w:rsidP="00521CEC">
      <w:pPr>
        <w:jc w:val="center"/>
        <w:rPr>
          <w:rStyle w:val="IvDbodytextChar"/>
        </w:rPr>
      </w:pPr>
      <w:r>
        <w:rPr>
          <w:noProof/>
          <w:lang w:val="en-US"/>
        </w:rPr>
        <w:drawing>
          <wp:inline distT="0" distB="0" distL="0" distR="0" wp14:anchorId="6F854B42" wp14:editId="3655ED6E">
            <wp:extent cx="3485072" cy="1732403"/>
            <wp:effectExtent l="0" t="0" r="127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7104" cy="1733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554FB" w14:textId="2171DF9E" w:rsidR="00B16E81" w:rsidRDefault="00521CEC" w:rsidP="00313465">
      <w:pPr>
        <w:pStyle w:val="Caption"/>
        <w:rPr>
          <w:rStyle w:val="IvDbodytextChar"/>
        </w:rPr>
      </w:pPr>
      <w:bookmarkStart w:id="5" w:name="_Ref4656829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4B2">
        <w:rPr>
          <w:noProof/>
        </w:rPr>
        <w:t>4</w:t>
      </w:r>
      <w:r>
        <w:fldChar w:fldCharType="end"/>
      </w:r>
      <w:bookmarkEnd w:id="5"/>
      <w:r>
        <w:t xml:space="preserve">: Wideband LTE PRS underlaid with </w:t>
      </w:r>
      <w:r w:rsidR="00247DD6">
        <w:t xml:space="preserve">inband </w:t>
      </w:r>
      <w:r>
        <w:t>NPRS</w:t>
      </w:r>
    </w:p>
    <w:p w14:paraId="1A92711C" w14:textId="35A9DD4A" w:rsidR="00C168C6" w:rsidRPr="00C168C6" w:rsidRDefault="00DA1A05" w:rsidP="00BC4311">
      <w:pPr>
        <w:rPr>
          <w:rStyle w:val="IvDbodytextChar"/>
        </w:rPr>
      </w:pPr>
      <w:r w:rsidRPr="00C168C6">
        <w:rPr>
          <w:rStyle w:val="IvDbodytextChar"/>
        </w:rPr>
        <w:t>For NB-IoT deployed in</w:t>
      </w:r>
      <w:r w:rsidR="00C168C6" w:rsidRPr="00C168C6">
        <w:rPr>
          <w:rStyle w:val="IvDbodytextChar"/>
        </w:rPr>
        <w:t xml:space="preserve"> the</w:t>
      </w:r>
      <w:r w:rsidRPr="00C168C6">
        <w:rPr>
          <w:rStyle w:val="IvDbodytextChar"/>
        </w:rPr>
        <w:t xml:space="preserve"> guard</w:t>
      </w:r>
      <w:r w:rsidR="00C168C6" w:rsidRPr="00C168C6">
        <w:rPr>
          <w:rStyle w:val="IvDbodytextChar"/>
        </w:rPr>
        <w:t xml:space="preserve"> </w:t>
      </w:r>
      <w:r w:rsidRPr="00C168C6">
        <w:rPr>
          <w:rStyle w:val="IvDbodytextChar"/>
        </w:rPr>
        <w:t>band</w:t>
      </w:r>
      <w:r w:rsidR="00C168C6" w:rsidRPr="00C168C6">
        <w:rPr>
          <w:rStyle w:val="IvDbodytextChar"/>
        </w:rPr>
        <w:t>s</w:t>
      </w:r>
      <w:r w:rsidRPr="00C168C6">
        <w:rPr>
          <w:rStyle w:val="IvDbodytextChar"/>
        </w:rPr>
        <w:t>,</w:t>
      </w:r>
      <w:r w:rsidR="00C168C6">
        <w:rPr>
          <w:rStyle w:val="IvDbodytextChar"/>
        </w:rPr>
        <w:t xml:space="preserve"> maintaining the synergy between NPRS sequence and LTE PRS sequence is less needed. Therefore, NPRS for guardband NB-IoT can be determined in a similar way as standalone NB-IoT, i.e., </w:t>
      </w:r>
      <w:r w:rsidR="00C168C6">
        <w:t xml:space="preserve">the </w:t>
      </w:r>
      <w:r w:rsidR="00C168C6" w:rsidRPr="00594B24">
        <w:t>centra</w:t>
      </w:r>
      <w:r w:rsidR="00C168C6">
        <w:t>l</w:t>
      </w:r>
      <w:r w:rsidR="00C168C6" w:rsidRPr="00594B24">
        <w:t xml:space="preserve"> two elements</w:t>
      </w:r>
      <w:r w:rsidR="00C168C6">
        <w:t xml:space="preserve"> of LTE PRS sequence is also used for NPRS in </w:t>
      </w:r>
      <w:r w:rsidR="00C168C6">
        <w:rPr>
          <w:rStyle w:val="IvDbodytextChar"/>
        </w:rPr>
        <w:t>guardband NB-IoT.</w:t>
      </w:r>
    </w:p>
    <w:p w14:paraId="094D4074" w14:textId="4BA3F5ED" w:rsidR="00386BE0" w:rsidRPr="00564BA2" w:rsidRDefault="007722B2" w:rsidP="00BC4311">
      <w:pPr>
        <w:rPr>
          <w:rStyle w:val="IvDbodytextChar"/>
          <w:b/>
        </w:rPr>
      </w:pPr>
      <w:r>
        <w:rPr>
          <w:rStyle w:val="IvDbodytextChar"/>
          <w:b/>
        </w:rPr>
        <w:t>Observation 3</w:t>
      </w:r>
      <w:r w:rsidR="00386BE0" w:rsidRPr="00564BA2">
        <w:rPr>
          <w:rStyle w:val="IvDbodytextChar"/>
          <w:b/>
        </w:rPr>
        <w:t>:</w:t>
      </w:r>
      <w:r w:rsidR="00313465" w:rsidRPr="00564BA2">
        <w:rPr>
          <w:rStyle w:val="IvDbodytextChar"/>
          <w:b/>
        </w:rPr>
        <w:t xml:space="preserve"> NPRS sequence can be determined based on</w:t>
      </w:r>
      <w:r w:rsidR="00564BA2" w:rsidRPr="00564BA2">
        <w:rPr>
          <w:rStyle w:val="IvDbodytextChar"/>
          <w:b/>
        </w:rPr>
        <w:t xml:space="preserve"> a </w:t>
      </w:r>
      <w:r w:rsidR="00564BA2" w:rsidRPr="00564BA2">
        <w:rPr>
          <w:b/>
        </w:rPr>
        <w:t>subsequence of length-2 truncated from the LTE PRS</w:t>
      </w:r>
      <w:r w:rsidR="006C2F41">
        <w:rPr>
          <w:b/>
        </w:rPr>
        <w:t xml:space="preserve"> sequence</w:t>
      </w:r>
      <w:r w:rsidR="00313465" w:rsidRPr="00564BA2">
        <w:rPr>
          <w:rStyle w:val="IvDbodytextChar"/>
          <w:b/>
        </w:rPr>
        <w:t xml:space="preserve"> </w:t>
      </w:r>
      <w:r w:rsidR="00E75593" w:rsidRPr="00564BA2">
        <w:rPr>
          <w:rStyle w:val="IvDbodytextChar"/>
          <w:b/>
        </w:rPr>
        <w:t>that has</w:t>
      </w:r>
      <w:r w:rsidR="00313465" w:rsidRPr="00564BA2">
        <w:rPr>
          <w:rStyle w:val="IvDbodytextChar"/>
          <w:b/>
        </w:rPr>
        <w:t xml:space="preserve"> a maximum length of 220.</w:t>
      </w:r>
    </w:p>
    <w:p w14:paraId="6E34FB25" w14:textId="28DA8F23" w:rsidR="00B23A49" w:rsidRDefault="007722B2" w:rsidP="00BC4311">
      <w:pPr>
        <w:rPr>
          <w:rStyle w:val="IvDbodytextChar"/>
          <w:b/>
        </w:rPr>
      </w:pPr>
      <w:r>
        <w:rPr>
          <w:rStyle w:val="IvDbodytextChar"/>
          <w:b/>
        </w:rPr>
        <w:t>Proposal 3</w:t>
      </w:r>
      <w:r w:rsidR="00386BE0" w:rsidRPr="00386BE0">
        <w:rPr>
          <w:rStyle w:val="IvDbodytextChar"/>
          <w:b/>
        </w:rPr>
        <w:t>:</w:t>
      </w:r>
      <w:r w:rsidR="00E75593">
        <w:rPr>
          <w:rStyle w:val="IvDbodytextChar"/>
          <w:b/>
        </w:rPr>
        <w:t xml:space="preserve"> </w:t>
      </w:r>
      <w:r w:rsidR="00594B24">
        <w:rPr>
          <w:rStyle w:val="IvDbodytextChar"/>
          <w:b/>
        </w:rPr>
        <w:t>For standalone</w:t>
      </w:r>
      <w:r w:rsidR="00C168C6">
        <w:rPr>
          <w:rStyle w:val="IvDbodytextChar"/>
          <w:b/>
        </w:rPr>
        <w:t>/guardband</w:t>
      </w:r>
      <w:r w:rsidR="00594B24">
        <w:rPr>
          <w:rStyle w:val="IvDbodytextChar"/>
          <w:b/>
        </w:rPr>
        <w:t xml:space="preserve"> NB-IoT, </w:t>
      </w:r>
      <w:r w:rsidR="00B23A49">
        <w:rPr>
          <w:rStyle w:val="IvDbodytextChar"/>
          <w:b/>
        </w:rPr>
        <w:t xml:space="preserve">the central 2 elements of LTE PRS </w:t>
      </w:r>
      <w:r w:rsidR="00B23A49" w:rsidRPr="00594B24">
        <w:rPr>
          <w:rStyle w:val="IvDbodytextChar"/>
          <w:b/>
        </w:rPr>
        <w:t>sequence is used for NPRS</w:t>
      </w:r>
      <w:r w:rsidR="00B23A49">
        <w:rPr>
          <w:rStyle w:val="IvDbodytextChar"/>
          <w:b/>
        </w:rPr>
        <w:t>.</w:t>
      </w:r>
    </w:p>
    <w:p w14:paraId="333946A1" w14:textId="28A9287D" w:rsidR="00591B83" w:rsidRDefault="007722B2" w:rsidP="00313465">
      <w:pPr>
        <w:rPr>
          <w:rStyle w:val="IvDbodytextChar"/>
          <w:b/>
        </w:rPr>
      </w:pPr>
      <w:r>
        <w:rPr>
          <w:rStyle w:val="IvDbodytextChar"/>
          <w:b/>
        </w:rPr>
        <w:t>Proposal 4</w:t>
      </w:r>
      <w:r w:rsidR="00313465" w:rsidRPr="00591B83">
        <w:rPr>
          <w:rStyle w:val="IvDbodytextChar"/>
          <w:b/>
        </w:rPr>
        <w:t>:</w:t>
      </w:r>
      <w:r w:rsidR="00C168C6" w:rsidRPr="00591B83">
        <w:rPr>
          <w:rStyle w:val="IvDbodytextChar"/>
          <w:b/>
        </w:rPr>
        <w:t xml:space="preserve"> </w:t>
      </w:r>
      <w:r w:rsidR="00591B83">
        <w:rPr>
          <w:rStyle w:val="IvDbodytextChar"/>
          <w:b/>
        </w:rPr>
        <w:t>For inband NB-IoT,</w:t>
      </w:r>
      <w:r w:rsidR="001E0842">
        <w:rPr>
          <w:rStyle w:val="IvDbodytextChar"/>
          <w:b/>
        </w:rPr>
        <w:t xml:space="preserve"> the</w:t>
      </w:r>
      <w:r w:rsidR="00591B83">
        <w:rPr>
          <w:rStyle w:val="IvDbodytextChar"/>
          <w:b/>
        </w:rPr>
        <w:t xml:space="preserve"> </w:t>
      </w:r>
      <w:r w:rsidR="00212A45" w:rsidRPr="00591B83">
        <w:rPr>
          <w:rStyle w:val="IvDbodytextChar"/>
          <w:b/>
        </w:rPr>
        <w:t xml:space="preserve">length-2 </w:t>
      </w:r>
      <w:r w:rsidR="00591B83">
        <w:rPr>
          <w:rStyle w:val="IvDbodytextChar"/>
          <w:b/>
        </w:rPr>
        <w:t xml:space="preserve">NPRS sequence </w:t>
      </w:r>
      <w:r w:rsidR="00591B83" w:rsidRPr="00591B83">
        <w:rPr>
          <w:rStyle w:val="IvDbodytextChar"/>
          <w:b/>
        </w:rPr>
        <w:t xml:space="preserve">is truncated from </w:t>
      </w:r>
      <w:r w:rsidR="00212A45" w:rsidRPr="00591B83">
        <w:rPr>
          <w:rStyle w:val="IvDbodytextChar"/>
          <w:b/>
        </w:rPr>
        <w:t>LTE PRS sequence</w:t>
      </w:r>
      <w:r w:rsidR="00591B83" w:rsidRPr="00591B83">
        <w:rPr>
          <w:rStyle w:val="IvDbodytextChar"/>
          <w:b/>
        </w:rPr>
        <w:t xml:space="preserve"> based on the relative </w:t>
      </w:r>
      <w:r w:rsidR="00591B83">
        <w:rPr>
          <w:rStyle w:val="IvDbodytextChar"/>
          <w:b/>
        </w:rPr>
        <w:t>frequency position</w:t>
      </w:r>
      <w:r w:rsidR="00591B83" w:rsidRPr="00591B83">
        <w:rPr>
          <w:rStyle w:val="IvDbodytextChar"/>
          <w:b/>
        </w:rPr>
        <w:t xml:space="preserve"> of NB-IoT</w:t>
      </w:r>
      <w:r w:rsidR="00591B83">
        <w:rPr>
          <w:rStyle w:val="IvDbodytextChar"/>
          <w:b/>
        </w:rPr>
        <w:t xml:space="preserve"> carrier inside the</w:t>
      </w:r>
      <w:r w:rsidR="00591B83" w:rsidRPr="00591B83">
        <w:rPr>
          <w:rStyle w:val="IvDbodytextChar"/>
          <w:b/>
        </w:rPr>
        <w:t xml:space="preserve"> LTE carrier.</w:t>
      </w: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1C6EB1F9" w14:textId="45E4002D" w:rsidR="006D203B" w:rsidRDefault="00511F61" w:rsidP="00055FB3">
      <w:pPr>
        <w:pStyle w:val="BodyText"/>
      </w:pPr>
      <w:r>
        <w:t xml:space="preserve">In this contribution, we have </w:t>
      </w:r>
      <w:r w:rsidR="00DD53F7">
        <w:t xml:space="preserve">analysed </w:t>
      </w:r>
      <w:r w:rsidR="002B23C5">
        <w:rPr>
          <w:rStyle w:val="IvDbodytextChar"/>
        </w:rPr>
        <w:t xml:space="preserve">the </w:t>
      </w:r>
      <w:r w:rsidR="00CF6E75">
        <w:rPr>
          <w:rStyle w:val="IvDbodytextChar"/>
        </w:rPr>
        <w:t>NPRS design for</w:t>
      </w:r>
      <w:r w:rsidR="002B23C5">
        <w:rPr>
          <w:rStyle w:val="IvDbodytextChar"/>
        </w:rPr>
        <w:t xml:space="preserve"> OTDOA support in NB-IoT</w:t>
      </w:r>
      <w:r w:rsidR="00DD53F7">
        <w:t xml:space="preserve"> and made the following observations.</w:t>
      </w:r>
    </w:p>
    <w:p w14:paraId="0816EAAE" w14:textId="77777777" w:rsidR="004D0949" w:rsidRDefault="004D0949" w:rsidP="004D0949">
      <w:pPr>
        <w:pStyle w:val="IvDInstructiontext"/>
        <w:rPr>
          <w:rStyle w:val="IvDbodytextChar"/>
          <w:b/>
          <w:i w:val="0"/>
          <w:color w:val="auto"/>
        </w:rPr>
      </w:pPr>
      <w:r>
        <w:rPr>
          <w:rStyle w:val="IvDbodytextChar"/>
          <w:b/>
          <w:i w:val="0"/>
          <w:color w:val="auto"/>
        </w:rPr>
        <w:t>Observation 1</w:t>
      </w:r>
      <w:r w:rsidRPr="00880B6F">
        <w:rPr>
          <w:rStyle w:val="IvDbodytextChar"/>
          <w:b/>
          <w:i w:val="0"/>
          <w:color w:val="auto"/>
        </w:rPr>
        <w:t xml:space="preserve">: </w:t>
      </w:r>
      <w:r>
        <w:rPr>
          <w:rStyle w:val="IvDbodytextChar"/>
          <w:b/>
          <w:i w:val="0"/>
          <w:color w:val="auto"/>
        </w:rPr>
        <w:t>Using</w:t>
      </w:r>
      <w:r w:rsidRPr="00880B6F">
        <w:rPr>
          <w:rStyle w:val="IvDbodytextChar"/>
          <w:b/>
          <w:i w:val="0"/>
          <w:color w:val="auto"/>
        </w:rPr>
        <w:t xml:space="preserve"> LTE PRS in 1 PRB</w:t>
      </w:r>
      <w:r>
        <w:rPr>
          <w:rStyle w:val="IvDbodytextChar"/>
          <w:b/>
          <w:i w:val="0"/>
          <w:color w:val="auto"/>
        </w:rPr>
        <w:t xml:space="preserve"> for </w:t>
      </w:r>
      <w:r w:rsidRPr="00941C19">
        <w:rPr>
          <w:rStyle w:val="IvDbodytextChar"/>
          <w:b/>
          <w:i w:val="0"/>
          <w:color w:val="auto"/>
        </w:rPr>
        <w:t>RSTD measurements</w:t>
      </w:r>
      <w:r>
        <w:rPr>
          <w:rStyle w:val="IvDbodytextChar"/>
          <w:b/>
          <w:i w:val="0"/>
          <w:color w:val="auto"/>
        </w:rPr>
        <w:t xml:space="preserve"> for NB-IoT OTDOA</w:t>
      </w:r>
      <w:r w:rsidRPr="00880B6F">
        <w:rPr>
          <w:rStyle w:val="IvDbodytextChar"/>
          <w:b/>
          <w:i w:val="0"/>
          <w:color w:val="auto"/>
        </w:rPr>
        <w:t xml:space="preserve"> reduce</w:t>
      </w:r>
      <w:r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design risks and testing efforts, achieve</w:t>
      </w:r>
      <w:r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good synergy with legacy LTE PRS and FeMTC PRS, </w:t>
      </w:r>
      <w:r>
        <w:rPr>
          <w:rStyle w:val="IvDbodytextChar"/>
          <w:b/>
          <w:i w:val="0"/>
          <w:color w:val="auto"/>
        </w:rPr>
        <w:t xml:space="preserve">and </w:t>
      </w:r>
      <w:r w:rsidRPr="00880B6F">
        <w:rPr>
          <w:rStyle w:val="IvDbodytextChar"/>
          <w:b/>
          <w:i w:val="0"/>
          <w:color w:val="auto"/>
        </w:rPr>
        <w:t>enables much enhanced hearability of multiple neighboring cells.</w:t>
      </w:r>
    </w:p>
    <w:p w14:paraId="57DA2197" w14:textId="77777777" w:rsidR="00A37D6C" w:rsidRDefault="004D0949" w:rsidP="00A37D6C">
      <w:pPr>
        <w:pStyle w:val="IvDInstructiontext"/>
        <w:rPr>
          <w:rStyle w:val="IvDbodytextChar"/>
          <w:b/>
          <w:i w:val="0"/>
          <w:color w:val="auto"/>
        </w:rPr>
      </w:pPr>
      <w:r w:rsidRPr="003B1F30">
        <w:rPr>
          <w:rStyle w:val="IvDbodytextChar"/>
          <w:b/>
          <w:i w:val="0"/>
          <w:color w:val="auto"/>
        </w:rPr>
        <w:t xml:space="preserve">Observation </w:t>
      </w:r>
      <w:r>
        <w:rPr>
          <w:rStyle w:val="IvDbodytextChar"/>
          <w:b/>
          <w:i w:val="0"/>
          <w:color w:val="auto"/>
        </w:rPr>
        <w:t>2</w:t>
      </w:r>
      <w:r w:rsidRPr="003B1F30">
        <w:rPr>
          <w:rStyle w:val="IvDbodytextChar"/>
          <w:b/>
          <w:i w:val="0"/>
          <w:color w:val="auto"/>
        </w:rPr>
        <w:t>: The punctured resource elements in the diagonal pattern of LTE PRS in 1 PRB can be reclaimed for NB-IoT standalone or guardband deployment.</w:t>
      </w:r>
    </w:p>
    <w:p w14:paraId="2909A56D" w14:textId="63790B6D" w:rsidR="004D0949" w:rsidRDefault="004D0949" w:rsidP="00A37D6C">
      <w:pPr>
        <w:pStyle w:val="IvDInstructiontext"/>
        <w:rPr>
          <w:rStyle w:val="IvDbodytextChar"/>
          <w:b/>
          <w:i w:val="0"/>
          <w:color w:val="000000" w:themeColor="text1"/>
        </w:rPr>
      </w:pPr>
      <w:r w:rsidRPr="00A37D6C">
        <w:rPr>
          <w:rStyle w:val="IvDbodytextChar"/>
          <w:b/>
          <w:i w:val="0"/>
          <w:color w:val="000000" w:themeColor="text1"/>
        </w:rPr>
        <w:t xml:space="preserve">Observation 3: NPRS sequence can be determined based on a </w:t>
      </w:r>
      <w:r w:rsidRPr="00A37D6C">
        <w:rPr>
          <w:b/>
          <w:i w:val="0"/>
          <w:color w:val="000000" w:themeColor="text1"/>
        </w:rPr>
        <w:t>subsequence of length-2 truncated from the LTE PRS sequence</w:t>
      </w:r>
      <w:r w:rsidRPr="00A37D6C">
        <w:rPr>
          <w:rStyle w:val="IvDbodytextChar"/>
          <w:b/>
          <w:i w:val="0"/>
          <w:color w:val="000000" w:themeColor="text1"/>
        </w:rPr>
        <w:t xml:space="preserve"> that has a maximum length of 220.</w:t>
      </w:r>
    </w:p>
    <w:p w14:paraId="35B84F1B" w14:textId="77777777" w:rsidR="00A37D6C" w:rsidRPr="00A37D6C" w:rsidRDefault="00A37D6C" w:rsidP="00A37D6C">
      <w:pPr>
        <w:pStyle w:val="IvDInstructiontext"/>
        <w:rPr>
          <w:b/>
          <w:i w:val="0"/>
          <w:color w:val="000000" w:themeColor="text1"/>
          <w:sz w:val="20"/>
          <w:szCs w:val="20"/>
          <w:lang w:val="en-GB" w:eastAsia="zh-CN"/>
        </w:rPr>
      </w:pPr>
    </w:p>
    <w:p w14:paraId="1D6E8A75" w14:textId="7DE07424" w:rsidR="00402D1F" w:rsidRDefault="00DD53F7" w:rsidP="00055FB3">
      <w:pPr>
        <w:pStyle w:val="BodyText"/>
      </w:pPr>
      <w:r>
        <w:t>Based on the analysis</w:t>
      </w:r>
      <w:r w:rsidR="006E7D3A">
        <w:t xml:space="preserve"> and observations</w:t>
      </w:r>
      <w:r>
        <w:t xml:space="preserve">, we </w:t>
      </w:r>
      <w:r w:rsidR="006E7D3A">
        <w:t>make the following</w:t>
      </w:r>
      <w:r>
        <w:t xml:space="preserve"> proposal</w:t>
      </w:r>
      <w:r w:rsidR="00457A5D">
        <w:t>s</w:t>
      </w:r>
      <w:r>
        <w:t xml:space="preserve">. </w:t>
      </w:r>
    </w:p>
    <w:p w14:paraId="4078C4A8" w14:textId="77777777" w:rsidR="004D0949" w:rsidRPr="009C5737" w:rsidRDefault="004D0949" w:rsidP="004D0949">
      <w:pPr>
        <w:rPr>
          <w:rStyle w:val="IvDbodytextChar"/>
          <w:b/>
          <w:lang w:val="en-US"/>
        </w:rPr>
      </w:pPr>
      <w:r>
        <w:rPr>
          <w:rStyle w:val="IvDbodytextChar"/>
          <w:b/>
          <w:lang w:val="en-US"/>
        </w:rPr>
        <w:t>Proposal 1</w:t>
      </w:r>
      <w:r w:rsidRPr="00057B78">
        <w:rPr>
          <w:rStyle w:val="IvDbodytextChar"/>
          <w:b/>
          <w:lang w:val="en-US"/>
        </w:rPr>
        <w:t>:</w:t>
      </w:r>
      <w:r>
        <w:rPr>
          <w:rStyle w:val="IvDbodytextChar"/>
          <w:b/>
          <w:lang w:val="en-US"/>
        </w:rPr>
        <w:t xml:space="preserve"> RAN1 a</w:t>
      </w:r>
      <w:r w:rsidRPr="00057B78">
        <w:rPr>
          <w:rStyle w:val="IvDbodytextChar"/>
          <w:b/>
          <w:lang w:val="en-US"/>
        </w:rPr>
        <w:t>gree</w:t>
      </w:r>
      <w:r>
        <w:rPr>
          <w:rStyle w:val="IvDbodytextChar"/>
          <w:b/>
          <w:lang w:val="en-US"/>
        </w:rPr>
        <w:t>s</w:t>
      </w:r>
      <w:r w:rsidRPr="00057B78">
        <w:rPr>
          <w:rStyle w:val="IvDbodytextChar"/>
          <w:b/>
          <w:lang w:val="en-US"/>
        </w:rPr>
        <w:t xml:space="preserve"> on the working assumption that “NB-IoT positioning reference signal resource pattern in one subframe is at least LTE PRS in 1 PRB.”</w:t>
      </w:r>
    </w:p>
    <w:p w14:paraId="7AC63629" w14:textId="42C3E128" w:rsidR="004D0949" w:rsidRPr="009556FB" w:rsidRDefault="004D0949" w:rsidP="004D0949">
      <w:pPr>
        <w:pStyle w:val="IvDInstructiontext"/>
        <w:rPr>
          <w:rStyle w:val="IvDbodytextChar"/>
          <w:b/>
          <w:i w:val="0"/>
          <w:color w:val="auto"/>
        </w:rPr>
      </w:pPr>
      <w:r>
        <w:rPr>
          <w:rStyle w:val="IvDbodytextChar"/>
          <w:b/>
          <w:i w:val="0"/>
          <w:color w:val="auto"/>
          <w:lang w:val="en-US"/>
        </w:rPr>
        <w:lastRenderedPageBreak/>
        <w:t>Proposal 2</w:t>
      </w:r>
      <w:r w:rsidRPr="009556FB">
        <w:rPr>
          <w:rStyle w:val="IvDbodytextChar"/>
          <w:b/>
          <w:i w:val="0"/>
          <w:color w:val="auto"/>
          <w:lang w:val="en-US"/>
        </w:rPr>
        <w:t xml:space="preserve">: For </w:t>
      </w:r>
      <w:r w:rsidRPr="009556FB">
        <w:rPr>
          <w:rStyle w:val="IvDbodytextChar"/>
          <w:b/>
          <w:i w:val="0"/>
          <w:color w:val="auto"/>
        </w:rPr>
        <w:t>NB-IoT standalone or guardband deployment,</w:t>
      </w:r>
      <w:r w:rsidRPr="009556FB">
        <w:rPr>
          <w:b/>
          <w:i w:val="0"/>
          <w:color w:val="auto"/>
          <w:sz w:val="20"/>
          <w:szCs w:val="20"/>
        </w:rPr>
        <w:t xml:space="preserve"> </w:t>
      </w:r>
      <w:r w:rsidRPr="009556FB">
        <w:rPr>
          <w:rStyle w:val="IvDbodytextChar"/>
          <w:b/>
          <w:i w:val="0"/>
          <w:color w:val="auto"/>
        </w:rPr>
        <w:t xml:space="preserve">the diagonal </w:t>
      </w:r>
      <w:r>
        <w:rPr>
          <w:rStyle w:val="IvDbodytextChar"/>
          <w:b/>
          <w:i w:val="0"/>
          <w:color w:val="auto"/>
        </w:rPr>
        <w:t xml:space="preserve">resource element mapping </w:t>
      </w:r>
      <w:r w:rsidRPr="009556FB">
        <w:rPr>
          <w:rStyle w:val="IvDbodytextChar"/>
          <w:b/>
          <w:i w:val="0"/>
          <w:color w:val="auto"/>
        </w:rPr>
        <w:t>pattern of LTE PRS in 1 PRB is extended to use all the</w:t>
      </w:r>
      <w:r>
        <w:rPr>
          <w:rStyle w:val="IvDbodytextChar"/>
          <w:b/>
          <w:i w:val="0"/>
          <w:color w:val="auto"/>
        </w:rPr>
        <w:t xml:space="preserve"> diagonal resource elements</w:t>
      </w:r>
      <w:r w:rsidRPr="009556FB">
        <w:rPr>
          <w:rStyle w:val="IvDbodytextChar"/>
          <w:b/>
          <w:i w:val="0"/>
          <w:color w:val="auto"/>
        </w:rPr>
        <w:t xml:space="preserve"> in a subframe</w:t>
      </w:r>
      <w:r>
        <w:rPr>
          <w:rStyle w:val="IvDbodytextChar"/>
          <w:b/>
          <w:i w:val="0"/>
          <w:color w:val="auto"/>
        </w:rPr>
        <w:t xml:space="preserve"> for NPRS</w:t>
      </w:r>
      <w:r w:rsidRPr="009556FB">
        <w:rPr>
          <w:rStyle w:val="IvDbodytextChar"/>
          <w:b/>
          <w:i w:val="0"/>
          <w:color w:val="auto"/>
        </w:rPr>
        <w:t xml:space="preserve">, as illustrated in </w:t>
      </w:r>
      <w:r w:rsidRPr="009556FB">
        <w:rPr>
          <w:rStyle w:val="IvDbodytextChar"/>
          <w:b/>
          <w:i w:val="0"/>
          <w:color w:val="auto"/>
        </w:rPr>
        <w:fldChar w:fldCharType="begin"/>
      </w:r>
      <w:r w:rsidRPr="009556FB">
        <w:rPr>
          <w:rStyle w:val="IvDbodytextChar"/>
          <w:b/>
          <w:i w:val="0"/>
          <w:color w:val="auto"/>
        </w:rPr>
        <w:instrText xml:space="preserve"> REF _Ref465675022 \h  \* MERGEFORMAT </w:instrText>
      </w:r>
      <w:r w:rsidRPr="009556FB">
        <w:rPr>
          <w:rStyle w:val="IvDbodytextChar"/>
          <w:b/>
          <w:i w:val="0"/>
          <w:color w:val="auto"/>
        </w:rPr>
      </w:r>
      <w:r w:rsidRPr="009556FB">
        <w:rPr>
          <w:rStyle w:val="IvDbodytextChar"/>
          <w:b/>
          <w:i w:val="0"/>
          <w:color w:val="auto"/>
        </w:rPr>
        <w:fldChar w:fldCharType="separate"/>
      </w:r>
      <w:r w:rsidR="00BD64B2" w:rsidRPr="00BD64B2">
        <w:rPr>
          <w:b/>
          <w:i w:val="0"/>
          <w:color w:val="auto"/>
          <w:sz w:val="20"/>
          <w:szCs w:val="20"/>
        </w:rPr>
        <w:t xml:space="preserve">Figure </w:t>
      </w:r>
      <w:r w:rsidR="00BD64B2" w:rsidRPr="00BD64B2">
        <w:rPr>
          <w:b/>
          <w:i w:val="0"/>
          <w:noProof/>
          <w:color w:val="auto"/>
          <w:sz w:val="20"/>
          <w:szCs w:val="20"/>
        </w:rPr>
        <w:t>2</w:t>
      </w:r>
      <w:r w:rsidRPr="009556FB">
        <w:rPr>
          <w:rStyle w:val="IvDbodytextChar"/>
          <w:b/>
          <w:i w:val="0"/>
          <w:color w:val="auto"/>
        </w:rPr>
        <w:fldChar w:fldCharType="end"/>
      </w:r>
      <w:r w:rsidRPr="009556FB">
        <w:rPr>
          <w:rStyle w:val="IvDbodytextChar"/>
          <w:b/>
          <w:i w:val="0"/>
          <w:color w:val="auto"/>
        </w:rPr>
        <w:t>.</w:t>
      </w:r>
    </w:p>
    <w:p w14:paraId="16ECDC39" w14:textId="77777777" w:rsidR="004D0949" w:rsidRPr="004D0949" w:rsidRDefault="004D0949" w:rsidP="004D0949">
      <w:pPr>
        <w:rPr>
          <w:rStyle w:val="IvDbodytextChar"/>
          <w:b/>
        </w:rPr>
      </w:pPr>
    </w:p>
    <w:p w14:paraId="63E9DF6C" w14:textId="67111F5B" w:rsidR="004D0949" w:rsidRDefault="004D0949" w:rsidP="004D0949">
      <w:pPr>
        <w:rPr>
          <w:rStyle w:val="IvDbodytextChar"/>
          <w:b/>
        </w:rPr>
      </w:pPr>
      <w:r>
        <w:rPr>
          <w:rStyle w:val="IvDbodytextChar"/>
          <w:b/>
        </w:rPr>
        <w:t>Proposal 3</w:t>
      </w:r>
      <w:r w:rsidRPr="00386BE0">
        <w:rPr>
          <w:rStyle w:val="IvDbodytextChar"/>
          <w:b/>
        </w:rPr>
        <w:t>:</w:t>
      </w:r>
      <w:r>
        <w:rPr>
          <w:rStyle w:val="IvDbodytextChar"/>
          <w:b/>
        </w:rPr>
        <w:t xml:space="preserve"> For standalone/guardband NB-IoT, the central 2 elements of LTE PRS </w:t>
      </w:r>
      <w:r w:rsidRPr="00594B24">
        <w:rPr>
          <w:rStyle w:val="IvDbodytextChar"/>
          <w:b/>
        </w:rPr>
        <w:t>sequence is used for NPRS</w:t>
      </w:r>
      <w:r>
        <w:rPr>
          <w:rStyle w:val="IvDbodytextChar"/>
          <w:b/>
        </w:rPr>
        <w:t>.</w:t>
      </w:r>
    </w:p>
    <w:p w14:paraId="1E2D0FF9" w14:textId="77777777" w:rsidR="004D0949" w:rsidRDefault="004D0949" w:rsidP="004D0949">
      <w:pPr>
        <w:rPr>
          <w:rStyle w:val="IvDbodytextChar"/>
          <w:b/>
        </w:rPr>
      </w:pPr>
      <w:r>
        <w:rPr>
          <w:rStyle w:val="IvDbodytextChar"/>
          <w:b/>
        </w:rPr>
        <w:t>Proposal 4</w:t>
      </w:r>
      <w:r w:rsidRPr="00591B83">
        <w:rPr>
          <w:rStyle w:val="IvDbodytextChar"/>
          <w:b/>
        </w:rPr>
        <w:t xml:space="preserve">: </w:t>
      </w:r>
      <w:r>
        <w:rPr>
          <w:rStyle w:val="IvDbodytextChar"/>
          <w:b/>
        </w:rPr>
        <w:t xml:space="preserve">For inband NB-IoT, the </w:t>
      </w:r>
      <w:r w:rsidRPr="00591B83">
        <w:rPr>
          <w:rStyle w:val="IvDbodytextChar"/>
          <w:b/>
        </w:rPr>
        <w:t xml:space="preserve">length-2 </w:t>
      </w:r>
      <w:r>
        <w:rPr>
          <w:rStyle w:val="IvDbodytextChar"/>
          <w:b/>
        </w:rPr>
        <w:t xml:space="preserve">NPRS sequence </w:t>
      </w:r>
      <w:r w:rsidRPr="00591B83">
        <w:rPr>
          <w:rStyle w:val="IvDbodytextChar"/>
          <w:b/>
        </w:rPr>
        <w:t xml:space="preserve">is truncated from LTE PRS sequence based on the relative </w:t>
      </w:r>
      <w:r>
        <w:rPr>
          <w:rStyle w:val="IvDbodytextChar"/>
          <w:b/>
        </w:rPr>
        <w:t>frequency position</w:t>
      </w:r>
      <w:r w:rsidRPr="00591B83">
        <w:rPr>
          <w:rStyle w:val="IvDbodytextChar"/>
          <w:b/>
        </w:rPr>
        <w:t xml:space="preserve"> of NB-IoT</w:t>
      </w:r>
      <w:r>
        <w:rPr>
          <w:rStyle w:val="IvDbodytextChar"/>
          <w:b/>
        </w:rPr>
        <w:t xml:space="preserve"> carrier inside the</w:t>
      </w:r>
      <w:r w:rsidRPr="00591B83">
        <w:rPr>
          <w:rStyle w:val="IvDbodytextChar"/>
          <w:b/>
        </w:rPr>
        <w:t xml:space="preserve"> LTE carrier.</w:t>
      </w:r>
    </w:p>
    <w:p w14:paraId="636ACB15" w14:textId="77777777" w:rsidR="00DD53F7" w:rsidRPr="004D0949" w:rsidRDefault="00DD53F7" w:rsidP="00DD53F7">
      <w:pPr>
        <w:pStyle w:val="ListParagraph"/>
      </w:pP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3980C89D" w14:textId="4548BF67" w:rsidR="004A2087" w:rsidRPr="0093284E" w:rsidRDefault="00063883" w:rsidP="00A84D0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6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NB-IoT,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>source</w:t>
      </w:r>
      <w:r w:rsidR="006C4E5E">
        <w:rPr>
          <w:lang w:val="en-US"/>
        </w:rPr>
        <w:t xml:space="preserve"> Huawei, HiSilicon</w:t>
      </w:r>
      <w:r>
        <w:rPr>
          <w:lang w:val="en-US"/>
        </w:rPr>
        <w:t xml:space="preserve">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 w:rsidR="00533EC6"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6"/>
    </w:p>
    <w:p w14:paraId="12E3B10E" w14:textId="7CBF4D5D" w:rsidR="0093284E" w:rsidRPr="000E3B23" w:rsidRDefault="000E3B23" w:rsidP="00D75BC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7" w:name="_Ref465676605"/>
      <w:r>
        <w:rPr>
          <w:lang w:val="en-US"/>
        </w:rPr>
        <w:t>R1-1611117</w:t>
      </w:r>
      <w:r w:rsidR="00D75BC3" w:rsidRPr="000E3B23">
        <w:rPr>
          <w:lang w:val="en-US"/>
        </w:rPr>
        <w:t>, “On remaining details of narrowband OTDOA positioning configurations</w:t>
      </w:r>
      <w:bookmarkEnd w:id="7"/>
      <w:r w:rsidR="00D75BC3" w:rsidRPr="000E3B23">
        <w:rPr>
          <w:lang w:val="en-US"/>
        </w:rPr>
        <w:t>,” RAN1#87, source Ericsson,</w:t>
      </w:r>
      <w:r w:rsidR="006D78DF" w:rsidRPr="000E3B23">
        <w:rPr>
          <w:lang w:val="en-US"/>
        </w:rPr>
        <w:t xml:space="preserve"> 14-18 November 2016.</w:t>
      </w:r>
      <w:r w:rsidR="00D75BC3" w:rsidRPr="000E3B23">
        <w:rPr>
          <w:lang w:val="en-US"/>
        </w:rPr>
        <w:t xml:space="preserve"> </w:t>
      </w:r>
    </w:p>
    <w:p w14:paraId="479F497C" w14:textId="7EFE4769" w:rsidR="00195E5C" w:rsidRPr="00F13AFD" w:rsidRDefault="00195E5C" w:rsidP="00F13AF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8" w:name="_Ref462991604"/>
      <w:r w:rsidRPr="00F13AFD">
        <w:rPr>
          <w:rFonts w:cs="Arial"/>
        </w:rPr>
        <w:t>R1</w:t>
      </w:r>
      <w:r w:rsidR="00F13AFD" w:rsidRPr="00F13AFD">
        <w:rPr>
          <w:rFonts w:cs="Arial"/>
        </w:rPr>
        <w:t>-1612790</w:t>
      </w:r>
      <w:r w:rsidRPr="00F13AFD">
        <w:rPr>
          <w:rFonts w:cs="Arial"/>
        </w:rPr>
        <w:t>, “</w:t>
      </w:r>
      <w:r w:rsidR="00F13AFD" w:rsidRPr="00F13AFD">
        <w:rPr>
          <w:rFonts w:cs="Arial"/>
        </w:rPr>
        <w:t>A new system simulator for NB-IoT positioning (update of R1-1610434),” RAN1#867</w:t>
      </w:r>
      <w:r w:rsidRPr="00F13AFD">
        <w:rPr>
          <w:rFonts w:cs="Arial"/>
        </w:rPr>
        <w:t>, source Eric</w:t>
      </w:r>
      <w:r w:rsidR="00D75BC3" w:rsidRPr="00F13AFD">
        <w:rPr>
          <w:rFonts w:cs="Arial"/>
        </w:rPr>
        <w:t xml:space="preserve">sson, </w:t>
      </w:r>
      <w:r w:rsidR="00F13AFD" w:rsidRPr="00F13AFD">
        <w:rPr>
          <w:rFonts w:cs="Arial"/>
        </w:rPr>
        <w:t>14 - 18 November</w:t>
      </w:r>
      <w:r w:rsidRPr="00F13AFD">
        <w:rPr>
          <w:rFonts w:cs="Arial"/>
        </w:rPr>
        <w:t xml:space="preserve"> 2016.</w:t>
      </w:r>
      <w:bookmarkEnd w:id="8"/>
      <w:r w:rsidR="00F13AFD" w:rsidRPr="00F13AFD">
        <w:rPr>
          <w:rFonts w:cs="Arial"/>
        </w:rPr>
        <w:t xml:space="preserve"> </w:t>
      </w:r>
    </w:p>
    <w:p w14:paraId="21776998" w14:textId="3A15C45F" w:rsidR="006D78DF" w:rsidRPr="000E3B23" w:rsidRDefault="000E3B23" w:rsidP="006D78D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65673922"/>
      <w:r>
        <w:rPr>
          <w:rFonts w:cs="Arial"/>
        </w:rPr>
        <w:t>R1-1611118</w:t>
      </w:r>
      <w:r w:rsidR="00A84D06" w:rsidRPr="000E3B23">
        <w:rPr>
          <w:rFonts w:cs="Arial"/>
        </w:rPr>
        <w:t>, “OTDOA performance for NB-IoT,”</w:t>
      </w:r>
      <w:r w:rsidR="00F13AFD">
        <w:rPr>
          <w:rFonts w:cs="Arial"/>
        </w:rPr>
        <w:t xml:space="preserve"> RAN1#87</w:t>
      </w:r>
      <w:r>
        <w:rPr>
          <w:rFonts w:cs="Arial"/>
        </w:rPr>
        <w:t>, source Ericsson, 14 - 18 November</w:t>
      </w:r>
      <w:r w:rsidR="00A84D06" w:rsidRPr="000E3B23">
        <w:rPr>
          <w:rFonts w:cs="Arial"/>
        </w:rPr>
        <w:t xml:space="preserve"> 2016.</w:t>
      </w:r>
      <w:bookmarkEnd w:id="9"/>
      <w:r w:rsidR="00A84D06" w:rsidRPr="000E3B23">
        <w:rPr>
          <w:rFonts w:cs="Arial"/>
        </w:rPr>
        <w:t xml:space="preserve">  </w:t>
      </w:r>
      <w:bookmarkStart w:id="10" w:name="_Ref465677015"/>
    </w:p>
    <w:p w14:paraId="7D027F5A" w14:textId="389945A8" w:rsidR="00A84D06" w:rsidRPr="00387F48" w:rsidRDefault="006D78DF" w:rsidP="006D78D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1" w:name="_Ref465942590"/>
      <w:r w:rsidRPr="00387F48">
        <w:rPr>
          <w:rFonts w:cs="Arial"/>
        </w:rPr>
        <w:t xml:space="preserve">TS </w:t>
      </w:r>
      <w:r w:rsidR="007313B5" w:rsidRPr="00387F48">
        <w:rPr>
          <w:rFonts w:cs="Arial"/>
        </w:rPr>
        <w:t>36.211</w:t>
      </w:r>
      <w:r w:rsidRPr="00387F48">
        <w:rPr>
          <w:rFonts w:cs="Arial"/>
        </w:rPr>
        <w:t>, “</w:t>
      </w:r>
      <w:r w:rsidRPr="00387F48">
        <w:rPr>
          <w:rFonts w:cs="Arial"/>
          <w:color w:val="000000"/>
          <w:lang w:val="en-US"/>
        </w:rPr>
        <w:t>Evolved Universal Terrestrial Radio Access (E-UTRA); Physical channels and modulation,</w:t>
      </w:r>
      <w:r w:rsidRPr="00387F48">
        <w:rPr>
          <w:rFonts w:cs="Arial"/>
        </w:rPr>
        <w:t>” source 3GPP.</w:t>
      </w:r>
      <w:bookmarkEnd w:id="11"/>
      <w:r w:rsidRPr="00387F48">
        <w:rPr>
          <w:rFonts w:cs="Arial"/>
        </w:rPr>
        <w:t xml:space="preserve"> </w:t>
      </w:r>
      <w:bookmarkEnd w:id="10"/>
    </w:p>
    <w:p w14:paraId="7D7B0398" w14:textId="682D7EFA" w:rsidR="0093284E" w:rsidRPr="00EF6AEB" w:rsidRDefault="0093284E" w:rsidP="0093284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highlight w:val="yellow"/>
        </w:rPr>
      </w:pPr>
    </w:p>
    <w:bookmarkEnd w:id="0"/>
    <w:p w14:paraId="4914B510" w14:textId="14DB6675" w:rsidR="00A84D06" w:rsidRPr="00342134" w:rsidRDefault="00A84D06" w:rsidP="006B747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</w:p>
    <w:sectPr w:rsidR="00A84D06" w:rsidRPr="00342134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1B0C4" w14:textId="77777777" w:rsidR="00DF1BDD" w:rsidRDefault="00DF1BDD">
      <w:pPr>
        <w:spacing w:after="0"/>
      </w:pPr>
      <w:r>
        <w:separator/>
      </w:r>
    </w:p>
  </w:endnote>
  <w:endnote w:type="continuationSeparator" w:id="0">
    <w:p w14:paraId="04461A3B" w14:textId="77777777" w:rsidR="00DF1BDD" w:rsidRDefault="00DF1B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6E4153B9" w:rsidR="00913E26" w:rsidRDefault="00913E2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4B2">
      <w:rPr>
        <w:rStyle w:val="PageNumber"/>
      </w:rPr>
      <w:t>5</w:t>
    </w:r>
    <w:r>
      <w:rPr>
        <w:rStyle w:val="PageNumber"/>
      </w:rPr>
      <w:fldChar w:fldCharType="end"/>
    </w:r>
    <w:bookmarkStart w:id="1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4B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58104F0F" w:rsidR="00913E26" w:rsidRDefault="00913E2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4B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4B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6C39C" w14:textId="77777777" w:rsidR="00DF1BDD" w:rsidRDefault="00DF1BDD">
      <w:pPr>
        <w:spacing w:after="0"/>
      </w:pPr>
      <w:r>
        <w:separator/>
      </w:r>
    </w:p>
  </w:footnote>
  <w:footnote w:type="continuationSeparator" w:id="0">
    <w:p w14:paraId="3C3FC582" w14:textId="77777777" w:rsidR="00DF1BDD" w:rsidRDefault="00DF1B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913E26" w:rsidRPr="006A0FC7" w:rsidRDefault="00913E2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913E26" w:rsidRPr="00BF30DA" w:rsidRDefault="00913E2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844AF7"/>
    <w:multiLevelType w:val="hybridMultilevel"/>
    <w:tmpl w:val="669C053E"/>
    <w:lvl w:ilvl="0" w:tplc="5E9C1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AE65E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945C4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C77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8853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48C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425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C247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389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53B75"/>
    <w:multiLevelType w:val="hybridMultilevel"/>
    <w:tmpl w:val="85523F0C"/>
    <w:lvl w:ilvl="0" w:tplc="0C021F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6054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0E6A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BEC7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8ED9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84B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F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5AA7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9EF2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A7854"/>
    <w:multiLevelType w:val="hybridMultilevel"/>
    <w:tmpl w:val="04F0B86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71BDC"/>
    <w:multiLevelType w:val="hybridMultilevel"/>
    <w:tmpl w:val="69AAF9BC"/>
    <w:lvl w:ilvl="0" w:tplc="19FC5B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21A10"/>
    <w:multiLevelType w:val="hybridMultilevel"/>
    <w:tmpl w:val="224E8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11"/>
  </w:num>
  <w:num w:numId="6">
    <w:abstractNumId w:val="20"/>
  </w:num>
  <w:num w:numId="7">
    <w:abstractNumId w:val="27"/>
  </w:num>
  <w:num w:numId="8">
    <w:abstractNumId w:val="13"/>
  </w:num>
  <w:num w:numId="9">
    <w:abstractNumId w:val="18"/>
  </w:num>
  <w:num w:numId="10">
    <w:abstractNumId w:val="16"/>
  </w:num>
  <w:num w:numId="11">
    <w:abstractNumId w:val="26"/>
  </w:num>
  <w:num w:numId="12">
    <w:abstractNumId w:val="24"/>
  </w:num>
  <w:num w:numId="13">
    <w:abstractNumId w:val="35"/>
  </w:num>
  <w:num w:numId="14">
    <w:abstractNumId w:val="32"/>
  </w:num>
  <w:num w:numId="15">
    <w:abstractNumId w:val="34"/>
  </w:num>
  <w:num w:numId="16">
    <w:abstractNumId w:val="33"/>
  </w:num>
  <w:num w:numId="17">
    <w:abstractNumId w:val="9"/>
  </w:num>
  <w:num w:numId="18">
    <w:abstractNumId w:val="19"/>
  </w:num>
  <w:num w:numId="19">
    <w:abstractNumId w:val="3"/>
  </w:num>
  <w:num w:numId="20">
    <w:abstractNumId w:val="7"/>
  </w:num>
  <w:num w:numId="21">
    <w:abstractNumId w:val="29"/>
  </w:num>
  <w:num w:numId="22">
    <w:abstractNumId w:val="10"/>
  </w:num>
  <w:num w:numId="23">
    <w:abstractNumId w:val="23"/>
  </w:num>
  <w:num w:numId="24">
    <w:abstractNumId w:val="2"/>
  </w:num>
  <w:num w:numId="25">
    <w:abstractNumId w:val="17"/>
  </w:num>
  <w:num w:numId="26">
    <w:abstractNumId w:val="30"/>
  </w:num>
  <w:num w:numId="27">
    <w:abstractNumId w:val="15"/>
  </w:num>
  <w:num w:numId="28">
    <w:abstractNumId w:val="25"/>
  </w:num>
  <w:num w:numId="29">
    <w:abstractNumId w:val="14"/>
  </w:num>
  <w:num w:numId="30">
    <w:abstractNumId w:val="8"/>
  </w:num>
  <w:num w:numId="31">
    <w:abstractNumId w:val="4"/>
  </w:num>
  <w:num w:numId="32">
    <w:abstractNumId w:val="22"/>
  </w:num>
  <w:num w:numId="33">
    <w:abstractNumId w:val="28"/>
  </w:num>
  <w:num w:numId="34">
    <w:abstractNumId w:val="12"/>
  </w:num>
  <w:num w:numId="35">
    <w:abstractNumId w:val="6"/>
  </w:num>
  <w:num w:numId="36">
    <w:abstractNumId w:val="21"/>
  </w:num>
  <w:num w:numId="37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782"/>
    <w:rsid w:val="00001E95"/>
    <w:rsid w:val="00003659"/>
    <w:rsid w:val="00003F28"/>
    <w:rsid w:val="0000470B"/>
    <w:rsid w:val="00004F8F"/>
    <w:rsid w:val="000051C9"/>
    <w:rsid w:val="000057DF"/>
    <w:rsid w:val="00005C0F"/>
    <w:rsid w:val="0000640E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27EA9"/>
    <w:rsid w:val="0003069E"/>
    <w:rsid w:val="00031103"/>
    <w:rsid w:val="00031AF6"/>
    <w:rsid w:val="00032D3A"/>
    <w:rsid w:val="00035879"/>
    <w:rsid w:val="00036AAB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7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C1B"/>
    <w:rsid w:val="0007045A"/>
    <w:rsid w:val="00070D16"/>
    <w:rsid w:val="000718D9"/>
    <w:rsid w:val="00071D7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4F84"/>
    <w:rsid w:val="000857F2"/>
    <w:rsid w:val="0008594B"/>
    <w:rsid w:val="00087350"/>
    <w:rsid w:val="0008796B"/>
    <w:rsid w:val="00091A7F"/>
    <w:rsid w:val="00091F76"/>
    <w:rsid w:val="000922A0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341F"/>
    <w:rsid w:val="000A4871"/>
    <w:rsid w:val="000A4A16"/>
    <w:rsid w:val="000A4FF9"/>
    <w:rsid w:val="000A51A1"/>
    <w:rsid w:val="000A525A"/>
    <w:rsid w:val="000A6510"/>
    <w:rsid w:val="000A7043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A4B"/>
    <w:rsid w:val="000C6BD6"/>
    <w:rsid w:val="000C6F10"/>
    <w:rsid w:val="000C735C"/>
    <w:rsid w:val="000C7570"/>
    <w:rsid w:val="000C7F06"/>
    <w:rsid w:val="000D00D7"/>
    <w:rsid w:val="000D036A"/>
    <w:rsid w:val="000D17FC"/>
    <w:rsid w:val="000D1E59"/>
    <w:rsid w:val="000D2956"/>
    <w:rsid w:val="000D3E6A"/>
    <w:rsid w:val="000D3EEB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60E"/>
    <w:rsid w:val="000E2D68"/>
    <w:rsid w:val="000E2DED"/>
    <w:rsid w:val="000E34C8"/>
    <w:rsid w:val="000E3586"/>
    <w:rsid w:val="000E36EA"/>
    <w:rsid w:val="000E3B23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06B55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2E5"/>
    <w:rsid w:val="0011558F"/>
    <w:rsid w:val="0011577C"/>
    <w:rsid w:val="001168FA"/>
    <w:rsid w:val="001178F2"/>
    <w:rsid w:val="00120041"/>
    <w:rsid w:val="001203AA"/>
    <w:rsid w:val="00120888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EFD"/>
    <w:rsid w:val="00134F1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376"/>
    <w:rsid w:val="00177929"/>
    <w:rsid w:val="00177A8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5E5C"/>
    <w:rsid w:val="00197701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D7192"/>
    <w:rsid w:val="001E0842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2A45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000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47DD6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0C6D"/>
    <w:rsid w:val="00281337"/>
    <w:rsid w:val="002818AC"/>
    <w:rsid w:val="00281BFA"/>
    <w:rsid w:val="00284682"/>
    <w:rsid w:val="00285772"/>
    <w:rsid w:val="002860F4"/>
    <w:rsid w:val="00287364"/>
    <w:rsid w:val="00287516"/>
    <w:rsid w:val="00287D33"/>
    <w:rsid w:val="00291AA4"/>
    <w:rsid w:val="00292A88"/>
    <w:rsid w:val="00292E99"/>
    <w:rsid w:val="0029480F"/>
    <w:rsid w:val="002951FC"/>
    <w:rsid w:val="002971F7"/>
    <w:rsid w:val="002A039E"/>
    <w:rsid w:val="002A1CBA"/>
    <w:rsid w:val="002A1FDF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71E"/>
    <w:rsid w:val="002C3811"/>
    <w:rsid w:val="002C39D5"/>
    <w:rsid w:val="002C6DB8"/>
    <w:rsid w:val="002C741C"/>
    <w:rsid w:val="002D14F3"/>
    <w:rsid w:val="002D3252"/>
    <w:rsid w:val="002D409D"/>
    <w:rsid w:val="002D43CF"/>
    <w:rsid w:val="002D4EAD"/>
    <w:rsid w:val="002D5B4C"/>
    <w:rsid w:val="002E04A3"/>
    <w:rsid w:val="002E499D"/>
    <w:rsid w:val="002E4D26"/>
    <w:rsid w:val="002E7007"/>
    <w:rsid w:val="002F032D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4F0"/>
    <w:rsid w:val="00307F52"/>
    <w:rsid w:val="0031167A"/>
    <w:rsid w:val="00311A62"/>
    <w:rsid w:val="00311D9B"/>
    <w:rsid w:val="00312CFF"/>
    <w:rsid w:val="0031334F"/>
    <w:rsid w:val="00313465"/>
    <w:rsid w:val="003140E8"/>
    <w:rsid w:val="00314278"/>
    <w:rsid w:val="003150B0"/>
    <w:rsid w:val="003165DA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43F"/>
    <w:rsid w:val="00340E5F"/>
    <w:rsid w:val="00341CEA"/>
    <w:rsid w:val="00342134"/>
    <w:rsid w:val="0034254D"/>
    <w:rsid w:val="00342F4F"/>
    <w:rsid w:val="003448CE"/>
    <w:rsid w:val="003454B8"/>
    <w:rsid w:val="0034618D"/>
    <w:rsid w:val="0034674D"/>
    <w:rsid w:val="00347E2E"/>
    <w:rsid w:val="00350463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23D"/>
    <w:rsid w:val="003858E4"/>
    <w:rsid w:val="00385AAD"/>
    <w:rsid w:val="00386515"/>
    <w:rsid w:val="00386BE0"/>
    <w:rsid w:val="003870D0"/>
    <w:rsid w:val="003876CE"/>
    <w:rsid w:val="00387F48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57"/>
    <w:rsid w:val="003B2F84"/>
    <w:rsid w:val="003B3145"/>
    <w:rsid w:val="003B346C"/>
    <w:rsid w:val="003B44B7"/>
    <w:rsid w:val="003B5666"/>
    <w:rsid w:val="003B7801"/>
    <w:rsid w:val="003C02B6"/>
    <w:rsid w:val="003C09A3"/>
    <w:rsid w:val="003C0AA3"/>
    <w:rsid w:val="003C3120"/>
    <w:rsid w:val="003C456B"/>
    <w:rsid w:val="003C4C8D"/>
    <w:rsid w:val="003C72EE"/>
    <w:rsid w:val="003C76F9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158A8"/>
    <w:rsid w:val="00420193"/>
    <w:rsid w:val="0042059A"/>
    <w:rsid w:val="00420701"/>
    <w:rsid w:val="00420745"/>
    <w:rsid w:val="00421F27"/>
    <w:rsid w:val="00422302"/>
    <w:rsid w:val="00422D08"/>
    <w:rsid w:val="00425B94"/>
    <w:rsid w:val="00427DC8"/>
    <w:rsid w:val="004316AC"/>
    <w:rsid w:val="00432C91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2A6B"/>
    <w:rsid w:val="00453445"/>
    <w:rsid w:val="004559A1"/>
    <w:rsid w:val="00456CBD"/>
    <w:rsid w:val="00456F20"/>
    <w:rsid w:val="0045766E"/>
    <w:rsid w:val="004576AA"/>
    <w:rsid w:val="00457A5D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EB5"/>
    <w:rsid w:val="00491B56"/>
    <w:rsid w:val="00494AD8"/>
    <w:rsid w:val="0049781A"/>
    <w:rsid w:val="004A0B27"/>
    <w:rsid w:val="004A0C80"/>
    <w:rsid w:val="004A0D5B"/>
    <w:rsid w:val="004A2087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2E2E"/>
    <w:rsid w:val="004B459D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949"/>
    <w:rsid w:val="004D0ED6"/>
    <w:rsid w:val="004D21D7"/>
    <w:rsid w:val="004D3B6D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3D3"/>
    <w:rsid w:val="004E3722"/>
    <w:rsid w:val="004E3C80"/>
    <w:rsid w:val="004E4A28"/>
    <w:rsid w:val="004E5FBF"/>
    <w:rsid w:val="004E72A1"/>
    <w:rsid w:val="004F020C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1CEC"/>
    <w:rsid w:val="00522479"/>
    <w:rsid w:val="00522658"/>
    <w:rsid w:val="00523338"/>
    <w:rsid w:val="00523A75"/>
    <w:rsid w:val="0052438A"/>
    <w:rsid w:val="00525201"/>
    <w:rsid w:val="005256AF"/>
    <w:rsid w:val="00525EF1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90F"/>
    <w:rsid w:val="00541C4C"/>
    <w:rsid w:val="00543232"/>
    <w:rsid w:val="00543839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4BA2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45BE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1B83"/>
    <w:rsid w:val="005939CA"/>
    <w:rsid w:val="00593B40"/>
    <w:rsid w:val="005940EF"/>
    <w:rsid w:val="005946BE"/>
    <w:rsid w:val="00594B24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AFC"/>
    <w:rsid w:val="005A6E8F"/>
    <w:rsid w:val="005A7BD4"/>
    <w:rsid w:val="005B0669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E7D28"/>
    <w:rsid w:val="005F03B9"/>
    <w:rsid w:val="005F03D4"/>
    <w:rsid w:val="005F0425"/>
    <w:rsid w:val="005F0B78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0254"/>
    <w:rsid w:val="0062197D"/>
    <w:rsid w:val="00621A6E"/>
    <w:rsid w:val="00622075"/>
    <w:rsid w:val="00623176"/>
    <w:rsid w:val="006231CB"/>
    <w:rsid w:val="0062374F"/>
    <w:rsid w:val="00624196"/>
    <w:rsid w:val="00624A35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435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35AB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04E"/>
    <w:rsid w:val="00675D3A"/>
    <w:rsid w:val="00676297"/>
    <w:rsid w:val="0067637D"/>
    <w:rsid w:val="00683F57"/>
    <w:rsid w:val="006843DD"/>
    <w:rsid w:val="00686293"/>
    <w:rsid w:val="006863BF"/>
    <w:rsid w:val="006879C9"/>
    <w:rsid w:val="00687B04"/>
    <w:rsid w:val="00687B18"/>
    <w:rsid w:val="0069139A"/>
    <w:rsid w:val="0069166A"/>
    <w:rsid w:val="00691D59"/>
    <w:rsid w:val="00693300"/>
    <w:rsid w:val="006949B5"/>
    <w:rsid w:val="00694E1E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470"/>
    <w:rsid w:val="006B7C09"/>
    <w:rsid w:val="006C03D6"/>
    <w:rsid w:val="006C0829"/>
    <w:rsid w:val="006C0F4A"/>
    <w:rsid w:val="006C13C2"/>
    <w:rsid w:val="006C2F41"/>
    <w:rsid w:val="006C3505"/>
    <w:rsid w:val="006C4961"/>
    <w:rsid w:val="006C4E5E"/>
    <w:rsid w:val="006C54B7"/>
    <w:rsid w:val="006C5DC3"/>
    <w:rsid w:val="006C66E6"/>
    <w:rsid w:val="006C67B9"/>
    <w:rsid w:val="006C7055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D78DF"/>
    <w:rsid w:val="006E1648"/>
    <w:rsid w:val="006E1680"/>
    <w:rsid w:val="006E1967"/>
    <w:rsid w:val="006E321C"/>
    <w:rsid w:val="006E32CE"/>
    <w:rsid w:val="006E4216"/>
    <w:rsid w:val="006E4D3D"/>
    <w:rsid w:val="006E7D3A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16FE"/>
    <w:rsid w:val="0071270D"/>
    <w:rsid w:val="00712912"/>
    <w:rsid w:val="00713109"/>
    <w:rsid w:val="00713C99"/>
    <w:rsid w:val="00713D61"/>
    <w:rsid w:val="007147C5"/>
    <w:rsid w:val="00715EF6"/>
    <w:rsid w:val="0071670B"/>
    <w:rsid w:val="00721B29"/>
    <w:rsid w:val="00721E11"/>
    <w:rsid w:val="00721E7C"/>
    <w:rsid w:val="0072236D"/>
    <w:rsid w:val="00723434"/>
    <w:rsid w:val="00725EF5"/>
    <w:rsid w:val="00726BE5"/>
    <w:rsid w:val="007278A9"/>
    <w:rsid w:val="00730008"/>
    <w:rsid w:val="007313B5"/>
    <w:rsid w:val="0073288E"/>
    <w:rsid w:val="00733709"/>
    <w:rsid w:val="00734054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6FC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0B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D1A"/>
    <w:rsid w:val="0076599A"/>
    <w:rsid w:val="00765FF7"/>
    <w:rsid w:val="00766775"/>
    <w:rsid w:val="00767578"/>
    <w:rsid w:val="0077181F"/>
    <w:rsid w:val="00771903"/>
    <w:rsid w:val="00771E29"/>
    <w:rsid w:val="007722B2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345"/>
    <w:rsid w:val="00792F10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7D3F"/>
    <w:rsid w:val="007F162A"/>
    <w:rsid w:val="007F1C84"/>
    <w:rsid w:val="007F36C8"/>
    <w:rsid w:val="007F3917"/>
    <w:rsid w:val="007F3A50"/>
    <w:rsid w:val="007F4772"/>
    <w:rsid w:val="007F63DD"/>
    <w:rsid w:val="007F75C1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D5A"/>
    <w:rsid w:val="00824E69"/>
    <w:rsid w:val="00824FAD"/>
    <w:rsid w:val="0082509B"/>
    <w:rsid w:val="00832E6B"/>
    <w:rsid w:val="00832F1E"/>
    <w:rsid w:val="0083336C"/>
    <w:rsid w:val="008345AE"/>
    <w:rsid w:val="00834C61"/>
    <w:rsid w:val="0083685F"/>
    <w:rsid w:val="00836ABF"/>
    <w:rsid w:val="00837339"/>
    <w:rsid w:val="0083744D"/>
    <w:rsid w:val="0084188F"/>
    <w:rsid w:val="00841D9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30C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5CF8"/>
    <w:rsid w:val="00877064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1C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7199"/>
    <w:rsid w:val="008A788A"/>
    <w:rsid w:val="008B2F7C"/>
    <w:rsid w:val="008B2FB4"/>
    <w:rsid w:val="008B47CD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4E3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59FB"/>
    <w:rsid w:val="009060D6"/>
    <w:rsid w:val="00906F95"/>
    <w:rsid w:val="009104EE"/>
    <w:rsid w:val="00910677"/>
    <w:rsid w:val="0091129F"/>
    <w:rsid w:val="00911396"/>
    <w:rsid w:val="009113B9"/>
    <w:rsid w:val="00912103"/>
    <w:rsid w:val="00912C1C"/>
    <w:rsid w:val="0091347F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236F"/>
    <w:rsid w:val="0093242B"/>
    <w:rsid w:val="0093284E"/>
    <w:rsid w:val="00932AEA"/>
    <w:rsid w:val="00932BC5"/>
    <w:rsid w:val="009351D5"/>
    <w:rsid w:val="00936015"/>
    <w:rsid w:val="009361F9"/>
    <w:rsid w:val="00936481"/>
    <w:rsid w:val="00936660"/>
    <w:rsid w:val="009369D2"/>
    <w:rsid w:val="009379B2"/>
    <w:rsid w:val="00937BF1"/>
    <w:rsid w:val="00937C46"/>
    <w:rsid w:val="00937F0E"/>
    <w:rsid w:val="00941C19"/>
    <w:rsid w:val="00941CA0"/>
    <w:rsid w:val="00941D3A"/>
    <w:rsid w:val="00942712"/>
    <w:rsid w:val="009434F9"/>
    <w:rsid w:val="00943F97"/>
    <w:rsid w:val="0094520F"/>
    <w:rsid w:val="009458DE"/>
    <w:rsid w:val="00945A79"/>
    <w:rsid w:val="0094606E"/>
    <w:rsid w:val="0094694F"/>
    <w:rsid w:val="009507B6"/>
    <w:rsid w:val="00950EF8"/>
    <w:rsid w:val="00951444"/>
    <w:rsid w:val="00951A5F"/>
    <w:rsid w:val="00952014"/>
    <w:rsid w:val="009556FB"/>
    <w:rsid w:val="0095743E"/>
    <w:rsid w:val="00957E56"/>
    <w:rsid w:val="00961D6A"/>
    <w:rsid w:val="009623A6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12AF"/>
    <w:rsid w:val="009734A6"/>
    <w:rsid w:val="009744E5"/>
    <w:rsid w:val="009749A8"/>
    <w:rsid w:val="00976970"/>
    <w:rsid w:val="00976D4F"/>
    <w:rsid w:val="009779A0"/>
    <w:rsid w:val="0098034C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259F"/>
    <w:rsid w:val="009C3141"/>
    <w:rsid w:val="009C32E6"/>
    <w:rsid w:val="009C3448"/>
    <w:rsid w:val="009C38EB"/>
    <w:rsid w:val="009C423A"/>
    <w:rsid w:val="009C4EC3"/>
    <w:rsid w:val="009C515F"/>
    <w:rsid w:val="009C5737"/>
    <w:rsid w:val="009C6D7D"/>
    <w:rsid w:val="009C7248"/>
    <w:rsid w:val="009D0724"/>
    <w:rsid w:val="009D17F6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31C4"/>
    <w:rsid w:val="009F42A7"/>
    <w:rsid w:val="009F495F"/>
    <w:rsid w:val="009F5D3C"/>
    <w:rsid w:val="009F5DC6"/>
    <w:rsid w:val="009F6C7D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6700"/>
    <w:rsid w:val="00A37803"/>
    <w:rsid w:val="00A37976"/>
    <w:rsid w:val="00A37D6C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51F"/>
    <w:rsid w:val="00A62C43"/>
    <w:rsid w:val="00A653F3"/>
    <w:rsid w:val="00A66CEE"/>
    <w:rsid w:val="00A671BF"/>
    <w:rsid w:val="00A675B4"/>
    <w:rsid w:val="00A67E15"/>
    <w:rsid w:val="00A7073E"/>
    <w:rsid w:val="00A709FD"/>
    <w:rsid w:val="00A70C5E"/>
    <w:rsid w:val="00A70CCC"/>
    <w:rsid w:val="00A7225A"/>
    <w:rsid w:val="00A72D1F"/>
    <w:rsid w:val="00A73E12"/>
    <w:rsid w:val="00A746BD"/>
    <w:rsid w:val="00A74C50"/>
    <w:rsid w:val="00A779CA"/>
    <w:rsid w:val="00A813C4"/>
    <w:rsid w:val="00A82521"/>
    <w:rsid w:val="00A82ABE"/>
    <w:rsid w:val="00A84D06"/>
    <w:rsid w:val="00A85B68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A6ADA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26FD"/>
    <w:rsid w:val="00AC3056"/>
    <w:rsid w:val="00AC39A7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6CE"/>
    <w:rsid w:val="00B02B08"/>
    <w:rsid w:val="00B0348F"/>
    <w:rsid w:val="00B0391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041"/>
    <w:rsid w:val="00B15D1F"/>
    <w:rsid w:val="00B16A62"/>
    <w:rsid w:val="00B16BA1"/>
    <w:rsid w:val="00B16E81"/>
    <w:rsid w:val="00B17D73"/>
    <w:rsid w:val="00B20C71"/>
    <w:rsid w:val="00B20D0D"/>
    <w:rsid w:val="00B20FC6"/>
    <w:rsid w:val="00B21927"/>
    <w:rsid w:val="00B21948"/>
    <w:rsid w:val="00B23A49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CA9"/>
    <w:rsid w:val="00B4265E"/>
    <w:rsid w:val="00B42775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54B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379F"/>
    <w:rsid w:val="00B84E07"/>
    <w:rsid w:val="00B86834"/>
    <w:rsid w:val="00B86897"/>
    <w:rsid w:val="00B86A53"/>
    <w:rsid w:val="00B91541"/>
    <w:rsid w:val="00B92219"/>
    <w:rsid w:val="00B9399D"/>
    <w:rsid w:val="00B94DAE"/>
    <w:rsid w:val="00B978C6"/>
    <w:rsid w:val="00B97A92"/>
    <w:rsid w:val="00BA0D07"/>
    <w:rsid w:val="00BA11F0"/>
    <w:rsid w:val="00BA13A3"/>
    <w:rsid w:val="00BA1C0F"/>
    <w:rsid w:val="00BA2364"/>
    <w:rsid w:val="00BA2827"/>
    <w:rsid w:val="00BA2B5C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612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311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01F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403"/>
    <w:rsid w:val="00BD64B2"/>
    <w:rsid w:val="00BD6669"/>
    <w:rsid w:val="00BD685D"/>
    <w:rsid w:val="00BD6ADD"/>
    <w:rsid w:val="00BD7059"/>
    <w:rsid w:val="00BD725C"/>
    <w:rsid w:val="00BD7E2C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7F"/>
    <w:rsid w:val="00BF2079"/>
    <w:rsid w:val="00BF30DA"/>
    <w:rsid w:val="00BF3234"/>
    <w:rsid w:val="00BF408A"/>
    <w:rsid w:val="00BF45E6"/>
    <w:rsid w:val="00BF48D5"/>
    <w:rsid w:val="00BF55AE"/>
    <w:rsid w:val="00BF637F"/>
    <w:rsid w:val="00BF7735"/>
    <w:rsid w:val="00BF7DEE"/>
    <w:rsid w:val="00C0141F"/>
    <w:rsid w:val="00C02844"/>
    <w:rsid w:val="00C05A4D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5DBC"/>
    <w:rsid w:val="00C1622F"/>
    <w:rsid w:val="00C1671F"/>
    <w:rsid w:val="00C168C6"/>
    <w:rsid w:val="00C2030F"/>
    <w:rsid w:val="00C21572"/>
    <w:rsid w:val="00C215CE"/>
    <w:rsid w:val="00C22D7A"/>
    <w:rsid w:val="00C251B9"/>
    <w:rsid w:val="00C25236"/>
    <w:rsid w:val="00C254D4"/>
    <w:rsid w:val="00C264AE"/>
    <w:rsid w:val="00C2677F"/>
    <w:rsid w:val="00C271CB"/>
    <w:rsid w:val="00C27207"/>
    <w:rsid w:val="00C274A5"/>
    <w:rsid w:val="00C27869"/>
    <w:rsid w:val="00C27CAF"/>
    <w:rsid w:val="00C31E7E"/>
    <w:rsid w:val="00C329D6"/>
    <w:rsid w:val="00C32BEC"/>
    <w:rsid w:val="00C32D1F"/>
    <w:rsid w:val="00C32E00"/>
    <w:rsid w:val="00C33761"/>
    <w:rsid w:val="00C35FF3"/>
    <w:rsid w:val="00C40D77"/>
    <w:rsid w:val="00C4362F"/>
    <w:rsid w:val="00C43835"/>
    <w:rsid w:val="00C44055"/>
    <w:rsid w:val="00C44AEE"/>
    <w:rsid w:val="00C44EF8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A599C"/>
    <w:rsid w:val="00CB0372"/>
    <w:rsid w:val="00CB0697"/>
    <w:rsid w:val="00CB3AC5"/>
    <w:rsid w:val="00CB72DD"/>
    <w:rsid w:val="00CB7C76"/>
    <w:rsid w:val="00CC0B72"/>
    <w:rsid w:val="00CC16D1"/>
    <w:rsid w:val="00CC1987"/>
    <w:rsid w:val="00CC1AE8"/>
    <w:rsid w:val="00CC1C17"/>
    <w:rsid w:val="00CC218C"/>
    <w:rsid w:val="00CC3A65"/>
    <w:rsid w:val="00CC3A8B"/>
    <w:rsid w:val="00CC5EEF"/>
    <w:rsid w:val="00CC5FEC"/>
    <w:rsid w:val="00CC6F27"/>
    <w:rsid w:val="00CC771B"/>
    <w:rsid w:val="00CD0C86"/>
    <w:rsid w:val="00CD10D7"/>
    <w:rsid w:val="00CD2E92"/>
    <w:rsid w:val="00CD2FDC"/>
    <w:rsid w:val="00CD33AF"/>
    <w:rsid w:val="00CD49A0"/>
    <w:rsid w:val="00CD4CC6"/>
    <w:rsid w:val="00CD5E27"/>
    <w:rsid w:val="00CD7D5F"/>
    <w:rsid w:val="00CD7F35"/>
    <w:rsid w:val="00CE032A"/>
    <w:rsid w:val="00CE0BC2"/>
    <w:rsid w:val="00CE1478"/>
    <w:rsid w:val="00CE1EB6"/>
    <w:rsid w:val="00CE27FF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406D"/>
    <w:rsid w:val="00CF5C38"/>
    <w:rsid w:val="00CF693D"/>
    <w:rsid w:val="00CF6E75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6C95"/>
    <w:rsid w:val="00D17873"/>
    <w:rsid w:val="00D207F1"/>
    <w:rsid w:val="00D207FE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5047"/>
    <w:rsid w:val="00D3638C"/>
    <w:rsid w:val="00D36848"/>
    <w:rsid w:val="00D36A9A"/>
    <w:rsid w:val="00D37234"/>
    <w:rsid w:val="00D374D4"/>
    <w:rsid w:val="00D37A98"/>
    <w:rsid w:val="00D40C39"/>
    <w:rsid w:val="00D41698"/>
    <w:rsid w:val="00D424EB"/>
    <w:rsid w:val="00D42F3E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27C"/>
    <w:rsid w:val="00D7594C"/>
    <w:rsid w:val="00D75BC3"/>
    <w:rsid w:val="00D77EB8"/>
    <w:rsid w:val="00D80458"/>
    <w:rsid w:val="00D81065"/>
    <w:rsid w:val="00D814D8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2BC"/>
    <w:rsid w:val="00D967E5"/>
    <w:rsid w:val="00D96F37"/>
    <w:rsid w:val="00D97974"/>
    <w:rsid w:val="00D97D4C"/>
    <w:rsid w:val="00DA1A02"/>
    <w:rsid w:val="00DA1A05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5F80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5C24"/>
    <w:rsid w:val="00DB6238"/>
    <w:rsid w:val="00DB62F7"/>
    <w:rsid w:val="00DB7540"/>
    <w:rsid w:val="00DC0767"/>
    <w:rsid w:val="00DC0F67"/>
    <w:rsid w:val="00DC1171"/>
    <w:rsid w:val="00DC41DC"/>
    <w:rsid w:val="00DC4F7A"/>
    <w:rsid w:val="00DC6888"/>
    <w:rsid w:val="00DC6EC7"/>
    <w:rsid w:val="00DC7553"/>
    <w:rsid w:val="00DC7ACC"/>
    <w:rsid w:val="00DD0097"/>
    <w:rsid w:val="00DD1560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DA6"/>
    <w:rsid w:val="00DE298E"/>
    <w:rsid w:val="00DE2BD4"/>
    <w:rsid w:val="00DE32CE"/>
    <w:rsid w:val="00DE35EB"/>
    <w:rsid w:val="00DE3C38"/>
    <w:rsid w:val="00DE5215"/>
    <w:rsid w:val="00DE7A9D"/>
    <w:rsid w:val="00DF098F"/>
    <w:rsid w:val="00DF1BDD"/>
    <w:rsid w:val="00DF438D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27F"/>
    <w:rsid w:val="00E07950"/>
    <w:rsid w:val="00E07DF6"/>
    <w:rsid w:val="00E11774"/>
    <w:rsid w:val="00E11922"/>
    <w:rsid w:val="00E132EC"/>
    <w:rsid w:val="00E154FC"/>
    <w:rsid w:val="00E15682"/>
    <w:rsid w:val="00E16EB3"/>
    <w:rsid w:val="00E1720C"/>
    <w:rsid w:val="00E17AD2"/>
    <w:rsid w:val="00E17EE4"/>
    <w:rsid w:val="00E208EA"/>
    <w:rsid w:val="00E20963"/>
    <w:rsid w:val="00E20EBB"/>
    <w:rsid w:val="00E21EED"/>
    <w:rsid w:val="00E2289B"/>
    <w:rsid w:val="00E2295F"/>
    <w:rsid w:val="00E22995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6C8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3BB4"/>
    <w:rsid w:val="00E75593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2FF2"/>
    <w:rsid w:val="00E837AD"/>
    <w:rsid w:val="00E8387F"/>
    <w:rsid w:val="00E83C25"/>
    <w:rsid w:val="00E84011"/>
    <w:rsid w:val="00E850E8"/>
    <w:rsid w:val="00E8535D"/>
    <w:rsid w:val="00E85AD0"/>
    <w:rsid w:val="00E85B9A"/>
    <w:rsid w:val="00E8721F"/>
    <w:rsid w:val="00E90C20"/>
    <w:rsid w:val="00E91FA2"/>
    <w:rsid w:val="00E92E2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AEB"/>
    <w:rsid w:val="00EF6BD5"/>
    <w:rsid w:val="00EF7093"/>
    <w:rsid w:val="00EF71D2"/>
    <w:rsid w:val="00EF7939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07C61"/>
    <w:rsid w:val="00F12428"/>
    <w:rsid w:val="00F12A50"/>
    <w:rsid w:val="00F13AFD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35B3"/>
    <w:rsid w:val="00F34403"/>
    <w:rsid w:val="00F34A67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B9A"/>
    <w:rsid w:val="00F63E9E"/>
    <w:rsid w:val="00F648FC"/>
    <w:rsid w:val="00F64DEA"/>
    <w:rsid w:val="00F657F4"/>
    <w:rsid w:val="00F70503"/>
    <w:rsid w:val="00F717D8"/>
    <w:rsid w:val="00F71E90"/>
    <w:rsid w:val="00F7204D"/>
    <w:rsid w:val="00F7207A"/>
    <w:rsid w:val="00F7238F"/>
    <w:rsid w:val="00F72F38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64E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56"/>
    <w:rsid w:val="00FE4980"/>
    <w:rsid w:val="00FE5C4A"/>
    <w:rsid w:val="00FE5CF1"/>
    <w:rsid w:val="00FE6A78"/>
    <w:rsid w:val="00FE7E43"/>
    <w:rsid w:val="00FF0567"/>
    <w:rsid w:val="00FF1C1F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57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30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78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7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4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14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3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FD4A1-F25E-489B-8E51-AEDB17E8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7235</TotalTime>
  <Pages>1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Xingqin Lin</cp:lastModifiedBy>
  <cp:revision>1701</cp:revision>
  <cp:lastPrinted>2015-07-20T19:34:00Z</cp:lastPrinted>
  <dcterms:created xsi:type="dcterms:W3CDTF">2015-09-03T17:40:00Z</dcterms:created>
  <dcterms:modified xsi:type="dcterms:W3CDTF">2016-11-04T18:25:00Z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