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2A9A948F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3453BF">
        <w:rPr>
          <w:rFonts w:ascii="Arial" w:hAnsi="Arial" w:cs="Arial"/>
          <w:b/>
          <w:sz w:val="24"/>
          <w:szCs w:val="24"/>
        </w:rPr>
        <w:t>6</w:t>
      </w:r>
      <w:r w:rsidR="005E083C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13A90">
        <w:rPr>
          <w:rFonts w:ascii="Arial" w:hAnsi="Arial" w:cs="Arial"/>
          <w:b/>
          <w:sz w:val="24"/>
          <w:szCs w:val="24"/>
        </w:rPr>
        <w:t>R1-</w:t>
      </w:r>
      <w:r w:rsidR="00613A90" w:rsidRPr="00613A90">
        <w:rPr>
          <w:rFonts w:ascii="Arial" w:hAnsi="Arial" w:cs="Arial"/>
          <w:b/>
          <w:sz w:val="24"/>
          <w:szCs w:val="24"/>
        </w:rPr>
        <w:t>1610116</w:t>
      </w:r>
    </w:p>
    <w:p w14:paraId="43B7F879" w14:textId="25F2E6E5" w:rsidR="00D1303E" w:rsidRPr="00FD021C" w:rsidRDefault="004D0113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14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3B436267" w:rsidR="00D1303E" w:rsidRPr="00FD021C" w:rsidRDefault="004D0113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Portugal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567C2DC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022AF">
        <w:rPr>
          <w:rFonts w:ascii="Arial" w:hAnsi="Arial"/>
          <w:sz w:val="24"/>
        </w:rPr>
        <w:t>8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881B12">
        <w:rPr>
          <w:rFonts w:ascii="Arial" w:hAnsi="Arial"/>
          <w:sz w:val="24"/>
        </w:rPr>
        <w:t>1</w:t>
      </w:r>
      <w:r w:rsidR="003711C5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30FC8431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81B12">
        <w:rPr>
          <w:rFonts w:ascii="Arial" w:hAnsi="Arial"/>
          <w:sz w:val="22"/>
        </w:rPr>
        <w:t>UL w</w:t>
      </w:r>
      <w:r w:rsidR="006F566F">
        <w:rPr>
          <w:rFonts w:ascii="Arial" w:hAnsi="Arial"/>
          <w:sz w:val="22"/>
        </w:rPr>
        <w:t xml:space="preserve">aveform </w:t>
      </w:r>
      <w:r w:rsidR="00881B12">
        <w:rPr>
          <w:rFonts w:ascii="Arial" w:hAnsi="Arial"/>
          <w:sz w:val="22"/>
        </w:rPr>
        <w:t>considerations for millimeter-wave</w:t>
      </w:r>
    </w:p>
    <w:p w14:paraId="43B7F87F" w14:textId="6E03C1E1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524914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3B7F882" w14:textId="5CE50809" w:rsidR="004503F9" w:rsidRDefault="00705919" w:rsidP="002B3FB5">
      <w:pPr>
        <w:jc w:val="both"/>
        <w:rPr>
          <w:szCs w:val="22"/>
        </w:rPr>
      </w:pPr>
      <w:r w:rsidRPr="00300CDD">
        <w:rPr>
          <w:szCs w:val="22"/>
        </w:rPr>
        <w:t>In RAN#</w:t>
      </w:r>
      <w:r>
        <w:rPr>
          <w:szCs w:val="22"/>
        </w:rPr>
        <w:t>71</w:t>
      </w:r>
      <w:r w:rsidRPr="00300CDD">
        <w:rPr>
          <w:szCs w:val="22"/>
        </w:rPr>
        <w:t xml:space="preserve">, </w:t>
      </w:r>
      <w:r>
        <w:rPr>
          <w:szCs w:val="22"/>
        </w:rPr>
        <w:t xml:space="preserve">the technology study item for 5G new RAT (NR) has been approved [1]. </w:t>
      </w:r>
      <w:r w:rsidR="00F94AF1">
        <w:rPr>
          <w:szCs w:val="22"/>
        </w:rPr>
        <w:t>The physical layer waveform for use in 5G h</w:t>
      </w:r>
      <w:r w:rsidR="008E5B8B">
        <w:rPr>
          <w:szCs w:val="22"/>
        </w:rPr>
        <w:t>as been agreed to be OFDM-ba</w:t>
      </w:r>
      <w:r w:rsidR="00FE064C">
        <w:rPr>
          <w:szCs w:val="22"/>
        </w:rPr>
        <w:t xml:space="preserve">sed; this include both OFDM and </w:t>
      </w:r>
      <w:r w:rsidR="003831C9">
        <w:rPr>
          <w:szCs w:val="22"/>
        </w:rPr>
        <w:t>SC-</w:t>
      </w:r>
      <w:r w:rsidR="008E5B8B">
        <w:rPr>
          <w:szCs w:val="22"/>
        </w:rPr>
        <w:t xml:space="preserve">FDM. </w:t>
      </w:r>
      <w:r w:rsidR="00247ADE">
        <w:rPr>
          <w:szCs w:val="22"/>
        </w:rPr>
        <w:t>At the last RAN1 meeting, in [2</w:t>
      </w:r>
      <w:r w:rsidR="007E0128">
        <w:rPr>
          <w:szCs w:val="22"/>
        </w:rPr>
        <w:t xml:space="preserve">] we presented </w:t>
      </w:r>
      <w:r w:rsidR="00DD39A5">
        <w:rPr>
          <w:szCs w:val="22"/>
        </w:rPr>
        <w:t>considerations on c</w:t>
      </w:r>
      <w:r w:rsidR="003831C9">
        <w:rPr>
          <w:szCs w:val="22"/>
        </w:rPr>
        <w:t>omparing OFDM vs SC-</w:t>
      </w:r>
      <w:r w:rsidR="009B04DE">
        <w:rPr>
          <w:szCs w:val="22"/>
        </w:rPr>
        <w:t>FDM</w:t>
      </w:r>
      <w:r w:rsidR="00A622FC">
        <w:rPr>
          <w:szCs w:val="22"/>
        </w:rPr>
        <w:t>, including the PAPR comparison</w:t>
      </w:r>
      <w:r w:rsidR="009B04DE">
        <w:rPr>
          <w:szCs w:val="22"/>
        </w:rPr>
        <w:t>. Here we present EVM and ACLR results comparing OFDM with SC-FDM with a practical millimeter-wave PA design.</w:t>
      </w:r>
      <w:r w:rsidR="008C1AC7">
        <w:rPr>
          <w:szCs w:val="22"/>
        </w:rPr>
        <w:t xml:space="preserve"> Based on this, we propose adopting both OFDM and SC-FDM as candidate waveforms for uplink for millimeter-wave bands</w:t>
      </w:r>
      <w:r w:rsidR="00CD06C3">
        <w:rPr>
          <w:szCs w:val="22"/>
        </w:rPr>
        <w:t>.</w:t>
      </w:r>
    </w:p>
    <w:p w14:paraId="0D641404" w14:textId="22E1FC49" w:rsidR="00E57623" w:rsidRDefault="00C66697" w:rsidP="00C9638E">
      <w:pPr>
        <w:pStyle w:val="Heading1"/>
      </w:pPr>
      <w:r>
        <w:t>OFDM vs SC-FDM</w:t>
      </w:r>
    </w:p>
    <w:p w14:paraId="7A01F8E2" w14:textId="715B5926" w:rsidR="00305299" w:rsidRDefault="004E4E71" w:rsidP="00E65514">
      <w:pPr>
        <w:jc w:val="both"/>
      </w:pPr>
      <w:r>
        <w:t>SC-FDM has a PAPR advantage over OFDM, which tran</w:t>
      </w:r>
      <w:r w:rsidR="008C6C3C">
        <w:t xml:space="preserve">slates to improved link-budget or cell-edge coverage. </w:t>
      </w:r>
      <w:r w:rsidR="00305299">
        <w:t>T</w:t>
      </w:r>
      <w:r w:rsidR="00E10E72">
        <w:t xml:space="preserve">his advantage is offset </w:t>
      </w:r>
      <w:r w:rsidR="00126505">
        <w:t>by poo</w:t>
      </w:r>
      <w:r w:rsidR="00CA0D96">
        <w:t>rer equalizer performance. T</w:t>
      </w:r>
      <w:r w:rsidR="00D45ACF">
        <w:t>hus OFDM is preferable for users for which the transmit power requirement results in PA operation far away from the compression reg</w:t>
      </w:r>
      <w:r w:rsidR="008E1827">
        <w:t>ion. On the other hand, SC-FDM is preferred if PA is near compression region, a</w:t>
      </w:r>
      <w:r w:rsidR="00A21821">
        <w:t>s would happen at the cell edge where high-power transmission is required to close the link.</w:t>
      </w:r>
      <w:r w:rsidR="00D45ACF">
        <w:t xml:space="preserve"> </w:t>
      </w:r>
      <w:r w:rsidR="0086650F">
        <w:t xml:space="preserve">In millimeter-wave bands, </w:t>
      </w:r>
      <w:r w:rsidR="0026400D">
        <w:t xml:space="preserve">several PAs are required due to </w:t>
      </w:r>
      <w:r w:rsidR="00D01AC6">
        <w:t>the need for analog beamforming with large number of antennas to overcome the high propagation l</w:t>
      </w:r>
      <w:r w:rsidR="0026400D">
        <w:t>osses</w:t>
      </w:r>
      <w:r w:rsidR="00D01AC6">
        <w:t xml:space="preserve">. </w:t>
      </w:r>
      <w:r w:rsidR="0026400D">
        <w:t xml:space="preserve">Thus waveforms with lower PAPR </w:t>
      </w:r>
      <w:r w:rsidR="006A398D">
        <w:t>that improve</w:t>
      </w:r>
      <w:r w:rsidR="0026400D">
        <w:t xml:space="preserve"> PA efficiency may be more desirable. </w:t>
      </w:r>
    </w:p>
    <w:p w14:paraId="3B7699F8" w14:textId="34FE4192" w:rsidR="00012684" w:rsidRDefault="00BE415C" w:rsidP="00E65514">
      <w:pPr>
        <w:jc w:val="both"/>
      </w:pPr>
      <w:r>
        <w:t xml:space="preserve">The PAPR advantage of SC-FDM implies being able to </w:t>
      </w:r>
      <w:r w:rsidR="003F2FDF">
        <w:t>output more power from the PA for the same level of degradations due to PA nonlineari</w:t>
      </w:r>
      <w:r w:rsidR="00830968">
        <w:t>t</w:t>
      </w:r>
      <w:r w:rsidR="003F2FDF">
        <w:t xml:space="preserve">y. </w:t>
      </w:r>
      <w:r w:rsidR="00305299">
        <w:t xml:space="preserve">The extra output power corresponds to the link-budget gain. </w:t>
      </w:r>
      <w:r w:rsidR="00247ADE">
        <w:t>In [2</w:t>
      </w:r>
      <w:r w:rsidR="001F7214">
        <w:t xml:space="preserve">], </w:t>
      </w:r>
      <w:r w:rsidR="00AB3A77">
        <w:t xml:space="preserve">the PAPR advantage was quantified to be </w:t>
      </w:r>
      <w:r w:rsidR="00384DFD">
        <w:t xml:space="preserve">2.6dB for QPSK and 1.7dB for 64QAM with a single 100MHz component carrier. </w:t>
      </w:r>
      <w:r w:rsidR="0025172A">
        <w:t>To see how this translates to link budget</w:t>
      </w:r>
      <w:r w:rsidR="005A17A3">
        <w:t xml:space="preserve"> advantage</w:t>
      </w:r>
      <w:r w:rsidR="0025172A">
        <w:t xml:space="preserve">, </w:t>
      </w:r>
      <w:r w:rsidR="00E279B1">
        <w:t xml:space="preserve">we compared </w:t>
      </w:r>
      <w:r w:rsidR="00012684">
        <w:t xml:space="preserve">lab measurements of </w:t>
      </w:r>
      <w:r w:rsidR="00E279B1">
        <w:t>ACLR and EVM resulting from passing these waveforms through an actual millimeter-wa</w:t>
      </w:r>
      <w:r w:rsidR="00A35E1C">
        <w:t>ve PA design</w:t>
      </w:r>
      <w:r w:rsidR="00012684">
        <w:t>. Setup assumptions for these measurements are shown in Table 1.</w:t>
      </w:r>
      <w:r w:rsidR="009F3499">
        <w:t xml:space="preserve"> Note that WOLA was not used for EVM measurements due to lab setup limitations, however, as WOLA is designed primary to limit out-of-band emissions, its impact on EVM </w:t>
      </w:r>
      <w:r w:rsidR="00985D23">
        <w:t>can be expected to be minimal.</w:t>
      </w:r>
    </w:p>
    <w:p w14:paraId="4E48815A" w14:textId="14F9BC44" w:rsidR="00012684" w:rsidRDefault="00012684" w:rsidP="00012684">
      <w:pPr>
        <w:jc w:val="center"/>
      </w:pPr>
      <w:r>
        <w:t>Table 1: Setup assumptions for ACLR and EVM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840"/>
      </w:tblGrid>
      <w:tr w:rsidR="008242CF" w14:paraId="45AF95F5" w14:textId="77777777" w:rsidTr="008242CF">
        <w:tc>
          <w:tcPr>
            <w:tcW w:w="3055" w:type="dxa"/>
          </w:tcPr>
          <w:p w14:paraId="60DAD7D6" w14:textId="3F59B6EE" w:rsidR="008242CF" w:rsidRDefault="008242CF" w:rsidP="00012684">
            <w:pPr>
              <w:jc w:val="center"/>
            </w:pPr>
            <w:r>
              <w:t>Parameter</w:t>
            </w:r>
          </w:p>
        </w:tc>
        <w:tc>
          <w:tcPr>
            <w:tcW w:w="6840" w:type="dxa"/>
          </w:tcPr>
          <w:p w14:paraId="469705D5" w14:textId="6FCB9EC7" w:rsidR="008242CF" w:rsidRDefault="008242CF" w:rsidP="00012684">
            <w:pPr>
              <w:jc w:val="center"/>
            </w:pPr>
            <w:r>
              <w:t>Value</w:t>
            </w:r>
          </w:p>
        </w:tc>
      </w:tr>
      <w:tr w:rsidR="008242CF" w14:paraId="1E881B20" w14:textId="77777777" w:rsidTr="008242CF">
        <w:tc>
          <w:tcPr>
            <w:tcW w:w="3055" w:type="dxa"/>
          </w:tcPr>
          <w:p w14:paraId="7C18A27B" w14:textId="5E557FA9" w:rsidR="008242CF" w:rsidRDefault="008242CF" w:rsidP="00012684">
            <w:pPr>
              <w:jc w:val="left"/>
            </w:pPr>
            <w:r>
              <w:t>System bandwidth</w:t>
            </w:r>
          </w:p>
        </w:tc>
        <w:tc>
          <w:tcPr>
            <w:tcW w:w="6840" w:type="dxa"/>
          </w:tcPr>
          <w:p w14:paraId="581E37A7" w14:textId="15E4642F" w:rsidR="008242CF" w:rsidRDefault="008242CF" w:rsidP="00012684">
            <w:pPr>
              <w:jc w:val="left"/>
            </w:pPr>
            <w:r>
              <w:t>100MHz component carrier</w:t>
            </w:r>
          </w:p>
        </w:tc>
      </w:tr>
      <w:tr w:rsidR="008242CF" w14:paraId="57B135CB" w14:textId="77777777" w:rsidTr="008242CF">
        <w:tc>
          <w:tcPr>
            <w:tcW w:w="3055" w:type="dxa"/>
          </w:tcPr>
          <w:p w14:paraId="66855B49" w14:textId="75E41EE9" w:rsidR="008242CF" w:rsidRDefault="008242CF" w:rsidP="00012684">
            <w:pPr>
              <w:jc w:val="left"/>
            </w:pPr>
            <w:r>
              <w:t>Number of component carriers</w:t>
            </w:r>
          </w:p>
        </w:tc>
        <w:tc>
          <w:tcPr>
            <w:tcW w:w="6840" w:type="dxa"/>
          </w:tcPr>
          <w:p w14:paraId="250BF65C" w14:textId="4B82C78E" w:rsidR="008242CF" w:rsidRDefault="008242CF" w:rsidP="00012684">
            <w:pPr>
              <w:jc w:val="left"/>
            </w:pPr>
            <w:r>
              <w:t>1</w:t>
            </w:r>
          </w:p>
        </w:tc>
      </w:tr>
      <w:tr w:rsidR="008242CF" w14:paraId="37C07E01" w14:textId="77777777" w:rsidTr="008242CF">
        <w:tc>
          <w:tcPr>
            <w:tcW w:w="3055" w:type="dxa"/>
          </w:tcPr>
          <w:p w14:paraId="446998DE" w14:textId="732E769D" w:rsidR="008242CF" w:rsidRDefault="008242CF" w:rsidP="00012684">
            <w:pPr>
              <w:jc w:val="left"/>
            </w:pPr>
            <w:r>
              <w:t>Carrier frequency</w:t>
            </w:r>
          </w:p>
        </w:tc>
        <w:tc>
          <w:tcPr>
            <w:tcW w:w="6840" w:type="dxa"/>
          </w:tcPr>
          <w:p w14:paraId="221A5A9C" w14:textId="151BCD25" w:rsidR="008242CF" w:rsidRDefault="008242CF" w:rsidP="00012684">
            <w:pPr>
              <w:jc w:val="left"/>
            </w:pPr>
            <w:r>
              <w:t>29 GHz</w:t>
            </w:r>
          </w:p>
        </w:tc>
      </w:tr>
      <w:tr w:rsidR="008242CF" w14:paraId="6C68B3C5" w14:textId="77777777" w:rsidTr="008242CF">
        <w:tc>
          <w:tcPr>
            <w:tcW w:w="3055" w:type="dxa"/>
          </w:tcPr>
          <w:p w14:paraId="6594EC07" w14:textId="07C58F05" w:rsidR="008242CF" w:rsidRDefault="008242CF" w:rsidP="00012684">
            <w:r>
              <w:t>Subcarrier spacing</w:t>
            </w:r>
          </w:p>
        </w:tc>
        <w:tc>
          <w:tcPr>
            <w:tcW w:w="6840" w:type="dxa"/>
          </w:tcPr>
          <w:p w14:paraId="1D2FA528" w14:textId="6699B36B" w:rsidR="008242CF" w:rsidRDefault="008242CF" w:rsidP="00012684">
            <w:r>
              <w:t>75 KHz</w:t>
            </w:r>
          </w:p>
        </w:tc>
      </w:tr>
      <w:tr w:rsidR="008242CF" w14:paraId="631712B0" w14:textId="77777777" w:rsidTr="008242CF">
        <w:tc>
          <w:tcPr>
            <w:tcW w:w="3055" w:type="dxa"/>
          </w:tcPr>
          <w:p w14:paraId="6EAECF31" w14:textId="02A353B7" w:rsidR="008242CF" w:rsidRDefault="008242CF" w:rsidP="00012684">
            <w:pPr>
              <w:jc w:val="left"/>
            </w:pPr>
            <w:r>
              <w:t>Guard band overhead</w:t>
            </w:r>
          </w:p>
        </w:tc>
        <w:tc>
          <w:tcPr>
            <w:tcW w:w="6840" w:type="dxa"/>
          </w:tcPr>
          <w:p w14:paraId="434F7B0B" w14:textId="4ECF4BC0" w:rsidR="008242CF" w:rsidRDefault="008242CF" w:rsidP="00012684">
            <w:pPr>
              <w:jc w:val="left"/>
            </w:pPr>
            <w:r>
              <w:t>10% (5MHz at each band edge)</w:t>
            </w:r>
          </w:p>
        </w:tc>
      </w:tr>
      <w:tr w:rsidR="008242CF" w14:paraId="0B961043" w14:textId="77777777" w:rsidTr="008242CF">
        <w:tc>
          <w:tcPr>
            <w:tcW w:w="3055" w:type="dxa"/>
          </w:tcPr>
          <w:p w14:paraId="0734D337" w14:textId="5DE90CF1" w:rsidR="008242CF" w:rsidRDefault="008242CF" w:rsidP="00012684">
            <w:pPr>
              <w:jc w:val="left"/>
            </w:pPr>
            <w:r>
              <w:lastRenderedPageBreak/>
              <w:t>Cyclic prefix overhead</w:t>
            </w:r>
          </w:p>
        </w:tc>
        <w:tc>
          <w:tcPr>
            <w:tcW w:w="6840" w:type="dxa"/>
          </w:tcPr>
          <w:p w14:paraId="1097A054" w14:textId="50A2581C" w:rsidR="008242CF" w:rsidRDefault="008242CF" w:rsidP="00012684">
            <w:pPr>
              <w:jc w:val="left"/>
            </w:pPr>
            <w:r>
              <w:t>7%</w:t>
            </w:r>
          </w:p>
        </w:tc>
      </w:tr>
      <w:tr w:rsidR="008242CF" w14:paraId="62CBCBE3" w14:textId="77777777" w:rsidTr="008242CF">
        <w:tc>
          <w:tcPr>
            <w:tcW w:w="3055" w:type="dxa"/>
          </w:tcPr>
          <w:p w14:paraId="16FA832E" w14:textId="7B813833" w:rsidR="008242CF" w:rsidRDefault="008242CF" w:rsidP="00012684">
            <w:pPr>
              <w:jc w:val="left"/>
            </w:pPr>
            <w:r>
              <w:t>Weighted overlap and add (WOLA</w:t>
            </w:r>
            <w:r w:rsidR="000C6106">
              <w:t>)</w:t>
            </w:r>
            <w:r>
              <w:t xml:space="preserve"> overhead</w:t>
            </w:r>
          </w:p>
        </w:tc>
        <w:tc>
          <w:tcPr>
            <w:tcW w:w="6840" w:type="dxa"/>
          </w:tcPr>
          <w:p w14:paraId="23872EF7" w14:textId="3A2ED80D" w:rsidR="008242CF" w:rsidRDefault="008242CF" w:rsidP="00012684">
            <w:pPr>
              <w:jc w:val="left"/>
            </w:pPr>
            <w:r>
              <w:t>2% for ACLR measurements, 0% for EVM measurements</w:t>
            </w:r>
          </w:p>
        </w:tc>
      </w:tr>
      <w:tr w:rsidR="008242CF" w14:paraId="428716B5" w14:textId="77777777" w:rsidTr="008242CF">
        <w:tc>
          <w:tcPr>
            <w:tcW w:w="3055" w:type="dxa"/>
          </w:tcPr>
          <w:p w14:paraId="31BB0B13" w14:textId="537EF784" w:rsidR="008242CF" w:rsidRDefault="008242CF" w:rsidP="00012684">
            <w:r>
              <w:t>Modulation</w:t>
            </w:r>
          </w:p>
        </w:tc>
        <w:tc>
          <w:tcPr>
            <w:tcW w:w="6840" w:type="dxa"/>
          </w:tcPr>
          <w:p w14:paraId="6FA4B8EF" w14:textId="48EA7405" w:rsidR="008242CF" w:rsidRDefault="008242CF" w:rsidP="00012684">
            <w:r>
              <w:t>QPSK and 64QAM</w:t>
            </w:r>
          </w:p>
        </w:tc>
      </w:tr>
      <w:tr w:rsidR="008242CF" w14:paraId="7547E0AE" w14:textId="77777777" w:rsidTr="008242CF">
        <w:tc>
          <w:tcPr>
            <w:tcW w:w="3055" w:type="dxa"/>
          </w:tcPr>
          <w:p w14:paraId="00A489D2" w14:textId="618379A1" w:rsidR="008242CF" w:rsidRDefault="008242CF" w:rsidP="00012684">
            <w:r>
              <w:t>Waveform</w:t>
            </w:r>
          </w:p>
        </w:tc>
        <w:tc>
          <w:tcPr>
            <w:tcW w:w="6840" w:type="dxa"/>
          </w:tcPr>
          <w:p w14:paraId="612F81C4" w14:textId="77777777" w:rsidR="008242CF" w:rsidRDefault="008242CF" w:rsidP="00012684">
            <w:r>
              <w:t>OFDM: random bits modulated</w:t>
            </w:r>
          </w:p>
          <w:p w14:paraId="4347F5EF" w14:textId="1317A908" w:rsidR="008242CF" w:rsidRDefault="008242CF" w:rsidP="00012684">
            <w:r>
              <w:t>SC-FDM: LTE uplink waveform with 5x time-compression, yielding subcarrier spacing of 5x15=75 KHz</w:t>
            </w:r>
          </w:p>
        </w:tc>
      </w:tr>
      <w:tr w:rsidR="00AC7510" w14:paraId="76B900D4" w14:textId="77777777" w:rsidTr="008242CF">
        <w:tc>
          <w:tcPr>
            <w:tcW w:w="3055" w:type="dxa"/>
          </w:tcPr>
          <w:p w14:paraId="42D0B0BF" w14:textId="3261BEA0" w:rsidR="00AC7510" w:rsidRDefault="00AC7510" w:rsidP="00012684">
            <w:r>
              <w:t>Waveform bandwidth used</w:t>
            </w:r>
          </w:p>
        </w:tc>
        <w:tc>
          <w:tcPr>
            <w:tcW w:w="6840" w:type="dxa"/>
          </w:tcPr>
          <w:p w14:paraId="5B195AB0" w14:textId="62C3FC32" w:rsidR="00AC7510" w:rsidRDefault="00AC7510" w:rsidP="00012684">
            <w:r>
              <w:t xml:space="preserve">90 MHz (all </w:t>
            </w:r>
            <w:r w:rsidR="00974866">
              <w:t xml:space="preserve">1200 </w:t>
            </w:r>
            <w:r>
              <w:t>REs</w:t>
            </w:r>
            <w:r w:rsidR="00F35E42">
              <w:t xml:space="preserve"> used</w:t>
            </w:r>
            <w:r>
              <w:t>)</w:t>
            </w:r>
          </w:p>
        </w:tc>
      </w:tr>
      <w:tr w:rsidR="008242CF" w14:paraId="3227FB1A" w14:textId="77777777" w:rsidTr="008242CF">
        <w:tc>
          <w:tcPr>
            <w:tcW w:w="3055" w:type="dxa"/>
          </w:tcPr>
          <w:p w14:paraId="5974E0DD" w14:textId="42D8D9E7" w:rsidR="008242CF" w:rsidRDefault="008242CF" w:rsidP="00012684">
            <w:r>
              <w:t xml:space="preserve">ACLR measurement </w:t>
            </w:r>
          </w:p>
        </w:tc>
        <w:tc>
          <w:tcPr>
            <w:tcW w:w="6840" w:type="dxa"/>
          </w:tcPr>
          <w:p w14:paraId="73E36BFA" w14:textId="725506AE" w:rsidR="008242CF" w:rsidRDefault="008242CF" w:rsidP="00012684">
            <w:r>
              <w:t>Average of power in 90 MHz usable frequency of the two adjecant (left and right) component carriers, relative to in-band power (dB)</w:t>
            </w:r>
          </w:p>
        </w:tc>
      </w:tr>
      <w:tr w:rsidR="008242CF" w14:paraId="236E18B5" w14:textId="77777777" w:rsidTr="008242CF">
        <w:tc>
          <w:tcPr>
            <w:tcW w:w="3055" w:type="dxa"/>
          </w:tcPr>
          <w:p w14:paraId="2C67CFD9" w14:textId="51B6A54E" w:rsidR="008242CF" w:rsidRDefault="008242CF" w:rsidP="00012684">
            <w:r>
              <w:t>EVM measurement</w:t>
            </w:r>
          </w:p>
        </w:tc>
        <w:tc>
          <w:tcPr>
            <w:tcW w:w="6840" w:type="dxa"/>
          </w:tcPr>
          <w:p w14:paraId="259D7A85" w14:textId="16C07C64" w:rsidR="008242CF" w:rsidRDefault="008242CF" w:rsidP="00012684">
            <w:r>
              <w:t>Rohde &amp; Schwartz measurement equipment measures power of difference between received and demodulated waveform, relative to received power (dB).</w:t>
            </w:r>
          </w:p>
        </w:tc>
      </w:tr>
    </w:tbl>
    <w:p w14:paraId="36772431" w14:textId="455AEAD6" w:rsidR="002533ED" w:rsidRPr="00E65514" w:rsidRDefault="002533ED" w:rsidP="00E65514">
      <w:pPr>
        <w:jc w:val="both"/>
      </w:pPr>
    </w:p>
    <w:p w14:paraId="47C91E89" w14:textId="086996D2" w:rsidR="00D1549D" w:rsidRDefault="00B45EBF" w:rsidP="00014E88">
      <w:pPr>
        <w:pStyle w:val="Heading2"/>
      </w:pPr>
      <w:r>
        <w:t>ACLR for</w:t>
      </w:r>
      <w:r w:rsidR="003F00EE">
        <w:t xml:space="preserve"> </w:t>
      </w:r>
      <w:r w:rsidR="00934FF8">
        <w:t>OFDM and SC-FDM</w:t>
      </w:r>
    </w:p>
    <w:p w14:paraId="5E35E7D9" w14:textId="05708A76" w:rsidR="007F61BD" w:rsidRDefault="005A17A3" w:rsidP="007F61BD">
      <w:pPr>
        <w:jc w:val="center"/>
      </w:pPr>
      <w:r>
        <w:rPr>
          <w:noProof/>
        </w:rPr>
        <w:drawing>
          <wp:inline distT="0" distB="0" distL="0" distR="0" wp14:anchorId="497C8C23" wp14:editId="0C2E48BF">
            <wp:extent cx="6332220" cy="4079875"/>
            <wp:effectExtent l="0" t="0" r="11430" b="158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886130E" w14:textId="52E64480" w:rsidR="009506B9" w:rsidRDefault="007F61BD" w:rsidP="006355D8">
      <w:pPr>
        <w:jc w:val="center"/>
      </w:pPr>
      <w:r>
        <w:lastRenderedPageBreak/>
        <w:t xml:space="preserve">Figure </w:t>
      </w:r>
      <w:r w:rsidR="00BA3B80">
        <w:t xml:space="preserve">1. </w:t>
      </w:r>
      <w:r w:rsidR="00516F50">
        <w:t xml:space="preserve"> ACLR</w:t>
      </w:r>
      <w:r w:rsidR="006022E6">
        <w:t xml:space="preserve"> for OFDM and SC-FDM waveforms</w:t>
      </w:r>
      <w:r w:rsidR="00516F50">
        <w:t xml:space="preserve"> </w:t>
      </w:r>
    </w:p>
    <w:p w14:paraId="37DA4370" w14:textId="1A77B22F" w:rsidR="000219CB" w:rsidRDefault="00F532AC" w:rsidP="00515A28">
      <w:r>
        <w:t xml:space="preserve">Figure 1 shows </w:t>
      </w:r>
      <w:r w:rsidR="001572A6">
        <w:t xml:space="preserve">that for QPSK modulation, across the range of PA output power levels, SC-FDM waveform allows around 2dB higher output power for the same ACLR level. </w:t>
      </w:r>
      <w:r w:rsidR="00D860D4">
        <w:t xml:space="preserve">For 64QAM, this drops to around 1dB higher output power level. Note that the ACLR for OFDM is insensitive to whether QPSK or 64QAM modulation is used. This is </w:t>
      </w:r>
      <w:r w:rsidR="00A250E0">
        <w:t>understandable</w:t>
      </w:r>
      <w:r w:rsidR="00D860D4">
        <w:t>, given the OFDM PAPR is also ins</w:t>
      </w:r>
      <w:r w:rsidR="0060326B">
        <w:t>ensitive to this, as shown in [2</w:t>
      </w:r>
      <w:r w:rsidR="00D860D4">
        <w:t>].</w:t>
      </w:r>
    </w:p>
    <w:p w14:paraId="22E79B61" w14:textId="5EE5B8FE" w:rsidR="00515A28" w:rsidRDefault="00515A28" w:rsidP="00515A28">
      <w:pPr>
        <w:rPr>
          <w:lang w:val="en-GB"/>
        </w:rPr>
      </w:pPr>
    </w:p>
    <w:p w14:paraId="56351019" w14:textId="37BA9F8F" w:rsidR="001773D0" w:rsidRDefault="00B45EBF" w:rsidP="006355D8">
      <w:pPr>
        <w:pStyle w:val="Heading2"/>
        <w:ind w:left="578" w:hanging="578"/>
      </w:pPr>
      <w:r>
        <w:t>EVM for OFDM and SC-FDM</w:t>
      </w:r>
    </w:p>
    <w:p w14:paraId="6BF3125B" w14:textId="4C2DF017" w:rsidR="00F340D2" w:rsidRDefault="0021164B" w:rsidP="00F340D2">
      <w:pPr>
        <w:jc w:val="center"/>
      </w:pPr>
      <w:r>
        <w:rPr>
          <w:noProof/>
        </w:rPr>
        <w:drawing>
          <wp:inline distT="0" distB="0" distL="0" distR="0" wp14:anchorId="19608EEB" wp14:editId="448E819C">
            <wp:extent cx="5734051" cy="3619501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F9D5070" w14:textId="60FBDC85" w:rsidR="00F340D2" w:rsidRPr="00F01F8B" w:rsidRDefault="007F61BD" w:rsidP="00F01F8B">
      <w:pPr>
        <w:jc w:val="center"/>
        <w:rPr>
          <w:lang w:val="en-GB"/>
        </w:rPr>
      </w:pPr>
      <w:r>
        <w:t xml:space="preserve">Figure </w:t>
      </w:r>
      <w:r w:rsidR="00DF0C5A">
        <w:t xml:space="preserve">2. </w:t>
      </w:r>
      <w:r w:rsidR="001F7397">
        <w:t xml:space="preserve">EVM for </w:t>
      </w:r>
      <w:r w:rsidR="00F340D2">
        <w:t>OFDM and SC-FDM</w:t>
      </w:r>
      <w:r w:rsidR="001F7397">
        <w:t xml:space="preserve"> waveforms</w:t>
      </w:r>
    </w:p>
    <w:p w14:paraId="12570FE6" w14:textId="473B30CB" w:rsidR="009620EE" w:rsidRDefault="00F340D2" w:rsidP="00DF0C5A">
      <w:r>
        <w:t>Figure 2</w:t>
      </w:r>
      <w:r w:rsidR="00883A9E">
        <w:t xml:space="preserve"> shows </w:t>
      </w:r>
      <w:r w:rsidR="0021164B">
        <w:t xml:space="preserve">that </w:t>
      </w:r>
      <w:r w:rsidR="001D79CD">
        <w:t xml:space="preserve">relative to OFDM, </w:t>
      </w:r>
      <w:r w:rsidR="009620EE">
        <w:t xml:space="preserve">for the same level of EVM, </w:t>
      </w:r>
      <w:r w:rsidR="0021164B">
        <w:t xml:space="preserve">SC-FDM allows more than 6dB higher </w:t>
      </w:r>
      <w:r w:rsidR="00EE0A76">
        <w:t xml:space="preserve">PA </w:t>
      </w:r>
      <w:r w:rsidR="0021164B">
        <w:t>output power for QPSK and 4dB higher output power for 64QAM</w:t>
      </w:r>
      <w:r w:rsidR="00210C5D">
        <w:t>.</w:t>
      </w:r>
      <w:r w:rsidR="00A51FE7">
        <w:t xml:space="preserve"> Note that the EVM levels for QPSK are lower than the SNRs typically required to decode </w:t>
      </w:r>
      <w:r w:rsidR="00A252CD">
        <w:t>low code-</w:t>
      </w:r>
      <w:r w:rsidR="00C36EFA">
        <w:t xml:space="preserve">rate </w:t>
      </w:r>
      <w:r w:rsidR="001133B6">
        <w:t xml:space="preserve">QPSK-modulated payloads. Nevertheless, the result </w:t>
      </w:r>
      <w:r w:rsidR="000E1010">
        <w:t xml:space="preserve">suggests that with </w:t>
      </w:r>
      <w:r w:rsidR="00E667EB">
        <w:t xml:space="preserve">alternative </w:t>
      </w:r>
      <w:r w:rsidR="000E1010">
        <w:t xml:space="preserve">PA designs that </w:t>
      </w:r>
      <w:r w:rsidR="0044616D">
        <w:t xml:space="preserve">sacrifice </w:t>
      </w:r>
      <w:r w:rsidR="00277FDD">
        <w:t>more linearity</w:t>
      </w:r>
      <w:r w:rsidR="0044616D">
        <w:t xml:space="preserve"> to increase PA efficiency</w:t>
      </w:r>
      <w:r w:rsidR="00277FDD">
        <w:t>, whereby both ACLR and EVM get worse, the</w:t>
      </w:r>
      <w:r w:rsidR="001367D2">
        <w:t xml:space="preserve"> link-budget advantage of SC-FDM over OFDM could arise from considerations of EVM as well as ACLR.</w:t>
      </w:r>
    </w:p>
    <w:p w14:paraId="7FECDDA5" w14:textId="0AB77B91" w:rsidR="002112C4" w:rsidRDefault="00F57CAB" w:rsidP="002112C4">
      <w:pPr>
        <w:pStyle w:val="Heading2"/>
        <w:ind w:left="578" w:hanging="578"/>
      </w:pPr>
      <w:r>
        <w:t>Discussion</w:t>
      </w:r>
    </w:p>
    <w:p w14:paraId="5BA7DC83" w14:textId="32BA4492" w:rsidR="00F340D2" w:rsidRPr="006C53E3" w:rsidRDefault="00D307D4" w:rsidP="00B4762B">
      <w:r>
        <w:t xml:space="preserve">Higher path-loss in millimeter-wave propagation environment make it challenging to maintain the link budget. </w:t>
      </w:r>
      <w:r w:rsidR="00BB0434">
        <w:t>Analog beamforming, the key technique to combat this challenge, req</w:t>
      </w:r>
      <w:r w:rsidR="00B93ADE">
        <w:t xml:space="preserve">uires multiple PAs on chip, making PA efficiency an important consideration for improved UE battery life. </w:t>
      </w:r>
      <w:r w:rsidR="005D79FE">
        <w:t xml:space="preserve">It is well-known </w:t>
      </w:r>
      <w:r w:rsidR="00A27C9B">
        <w:t xml:space="preserve">[3,4] </w:t>
      </w:r>
      <w:r w:rsidR="005D79FE">
        <w:t>that achieving good PA efficiency gets harder as th</w:t>
      </w:r>
      <w:r w:rsidR="00A27C9B">
        <w:t>e carrier frequency increases</w:t>
      </w:r>
      <w:r w:rsidR="00564F18">
        <w:t>.</w:t>
      </w:r>
      <w:r w:rsidR="005D79FE">
        <w:t xml:space="preserve"> </w:t>
      </w:r>
      <w:r w:rsidR="00523DFC">
        <w:t>Th</w:t>
      </w:r>
      <w:bookmarkStart w:id="2" w:name="_GoBack"/>
      <w:bookmarkEnd w:id="2"/>
      <w:r w:rsidR="00523DFC">
        <w:t xml:space="preserve">e </w:t>
      </w:r>
      <w:r w:rsidR="001D0C4A">
        <w:t xml:space="preserve">data presented show that the </w:t>
      </w:r>
      <w:r w:rsidR="00523DFC">
        <w:t xml:space="preserve">PAPR advantage of SC-FDM over OFDM translates to 2dB link budget improvement </w:t>
      </w:r>
      <w:r w:rsidR="000B08A5">
        <w:t>wit</w:t>
      </w:r>
      <w:r w:rsidR="00865A94">
        <w:t xml:space="preserve">h a practical 29 GHz PA design for QPSK. </w:t>
      </w:r>
      <w:r w:rsidR="0006028A">
        <w:t xml:space="preserve">The down-side of SC-FDM, namely, poorer equalization performance relative to OFDM, is </w:t>
      </w:r>
      <w:r w:rsidR="006C3869">
        <w:t xml:space="preserve">dominant only in high-throughput scenarios (higher order modulation, MIMO, multiple component carriers). </w:t>
      </w:r>
      <w:r w:rsidR="007B25A0">
        <w:t>As shown in [2</w:t>
      </w:r>
      <w:r w:rsidR="00B561BF">
        <w:t xml:space="preserve">] based on past studies for LTE, the equalization loss is only around 0.2dB for QPSK rate 1/3 encoding. </w:t>
      </w:r>
      <w:r w:rsidR="006C53E3">
        <w:t>This loss originates in the difference in performance achievable on each subcarrier, i.e., the loss is lower in channels with less frequency selectivity. I</w:t>
      </w:r>
      <w:r w:rsidR="00761C00">
        <w:t>n millimeter-wave communications</w:t>
      </w:r>
      <w:r w:rsidR="00B561BF">
        <w:t xml:space="preserve">, the use of analog beamforming </w:t>
      </w:r>
      <w:r w:rsidR="00F82D0A">
        <w:t xml:space="preserve">further </w:t>
      </w:r>
      <w:r w:rsidR="00B561BF">
        <w:t xml:space="preserve">reduces the effective </w:t>
      </w:r>
      <w:r w:rsidR="00061F56">
        <w:t xml:space="preserve">channel </w:t>
      </w:r>
      <w:r w:rsidR="00F82D0A">
        <w:t xml:space="preserve">delay-spread, thus making the equalization loss </w:t>
      </w:r>
      <w:r w:rsidR="009055F9">
        <w:t xml:space="preserve">negligible in cell-edge </w:t>
      </w:r>
      <w:r w:rsidR="009055F9">
        <w:lastRenderedPageBreak/>
        <w:t xml:space="preserve">scenarios. </w:t>
      </w:r>
      <w:r w:rsidR="00D43854">
        <w:t xml:space="preserve">Hence, the link budget </w:t>
      </w:r>
      <w:r w:rsidR="00CB3096">
        <w:t>advantage makes it c</w:t>
      </w:r>
      <w:r w:rsidR="00360058">
        <w:t xml:space="preserve">ompelling to include </w:t>
      </w:r>
      <w:r w:rsidR="00CB3096">
        <w:t xml:space="preserve">SC-FDM </w:t>
      </w:r>
      <w:r w:rsidR="00360058">
        <w:t xml:space="preserve">waveform </w:t>
      </w:r>
      <w:r w:rsidR="00CB3096">
        <w:t>on uplink for 5G NR for millimeter-wave.</w:t>
      </w:r>
    </w:p>
    <w:p w14:paraId="3D3332A7" w14:textId="77777777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649313D3" w:rsidR="00C23EF9" w:rsidRPr="00C23EF9" w:rsidRDefault="003725E3" w:rsidP="00C23EF9">
      <w:pPr>
        <w:rPr>
          <w:lang w:val="en-GB" w:eastAsia="zh-CN"/>
        </w:rPr>
      </w:pPr>
      <w:r>
        <w:rPr>
          <w:lang w:val="en-GB" w:eastAsia="zh-CN"/>
        </w:rPr>
        <w:t>We have presented ACLR and E</w:t>
      </w:r>
      <w:r w:rsidR="00CC1E05">
        <w:rPr>
          <w:lang w:val="en-GB" w:eastAsia="zh-CN"/>
        </w:rPr>
        <w:t>VM comparison of OFDM vs SC-FDM using lab measurements with a practical 29GHz PA design</w:t>
      </w:r>
      <w:r w:rsidR="00752EBA">
        <w:rPr>
          <w:lang w:val="en-GB" w:eastAsia="zh-CN"/>
        </w:rPr>
        <w:t>.</w:t>
      </w:r>
      <w:r w:rsidR="00B33BBE">
        <w:rPr>
          <w:lang w:val="en-GB" w:eastAsia="zh-CN"/>
        </w:rPr>
        <w:t xml:space="preserve"> For QPSK modulation, SC-FDM has around 2dB link budget advantage over OFDM for a range of PA output powers; i.e., allows 2dB higher output power at the same ACLR level. </w:t>
      </w:r>
    </w:p>
    <w:p w14:paraId="21072BED" w14:textId="589D4239" w:rsidR="00C134F7" w:rsidRPr="00603008" w:rsidRDefault="004503F9" w:rsidP="00D14728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0B11F4">
        <w:rPr>
          <w:b/>
          <w:lang w:eastAsia="ko-KR"/>
        </w:rPr>
        <w:t xml:space="preserve">Both OFDM and SC-FDM waveforms should be supported on NR uplink </w:t>
      </w:r>
      <w:r w:rsidR="00990960">
        <w:rPr>
          <w:b/>
          <w:lang w:eastAsia="ko-KR"/>
        </w:rPr>
        <w:t>for millimeter wave bands, so as to capture both the link budget advantages of SC-FDM at cell-edge and the link-efficiency advantages of OFDM at higher data rates.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B7F897" w14:textId="77777777" w:rsidR="00F7219A" w:rsidRDefault="001A5308" w:rsidP="00F7219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3"/>
    </w:p>
    <w:p w14:paraId="5DEDCBCC" w14:textId="72FBF7C0" w:rsidR="00D7543D" w:rsidRDefault="00D7543D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R1-166353, </w:t>
      </w:r>
      <w:r w:rsidR="000A6164" w:rsidRPr="000A6164">
        <w:rPr>
          <w:szCs w:val="22"/>
        </w:rPr>
        <w:t>Waveform proposal for &gt;6GHz</w:t>
      </w:r>
      <w:r w:rsidR="000A6164">
        <w:rPr>
          <w:szCs w:val="22"/>
        </w:rPr>
        <w:t>, RAN1#86, Qualcomm Inc.</w:t>
      </w:r>
    </w:p>
    <w:p w14:paraId="29C7C33D" w14:textId="7A11D220" w:rsidR="00564F18" w:rsidRPr="00564F18" w:rsidRDefault="00564F18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R4-166530, “</w:t>
      </w:r>
      <w:r w:rsidRPr="00892BC4">
        <w:t>TP for NR Rel-14 TR 38.803: PA considerations for mm-wave technologies</w:t>
      </w:r>
      <w:r>
        <w:t>”, Ericsson</w:t>
      </w:r>
    </w:p>
    <w:p w14:paraId="18B717A1" w14:textId="46DAB448" w:rsidR="00564F18" w:rsidRPr="00564F18" w:rsidRDefault="00564F18" w:rsidP="00564F18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jc w:val="both"/>
        <w:textAlignment w:val="auto"/>
      </w:pPr>
      <w:r w:rsidRPr="00713BF9">
        <w:t>"20.6 A 28GHz efficient linear power amplifier for 5G phased arrays in 28nm bulk CMOS"</w:t>
      </w:r>
      <w:r>
        <w:t>,</w:t>
      </w:r>
      <w:r w:rsidRPr="00713BF9">
        <w:t xml:space="preserve"> S. Shakib, H. C. Park, J. Dunworth, V. Aparin and K. Entesari</w:t>
      </w:r>
      <w:r>
        <w:t xml:space="preserve">, </w:t>
      </w:r>
      <w:r w:rsidRPr="00713BF9">
        <w:t>2016 IEEE International Solid-State Circuits Conference (ISSCC), San Francisco, CA, 2016, pp. 352-353.</w:t>
      </w:r>
    </w:p>
    <w:sectPr w:rsidR="00564F18" w:rsidRPr="00564F18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85BB1" w14:textId="77777777" w:rsidR="00D66C77" w:rsidRDefault="00D66C77">
      <w:r>
        <w:separator/>
      </w:r>
    </w:p>
  </w:endnote>
  <w:endnote w:type="continuationSeparator" w:id="0">
    <w:p w14:paraId="0F04E6FB" w14:textId="77777777" w:rsidR="00D66C77" w:rsidRDefault="00D66C77">
      <w:r>
        <w:continuationSeparator/>
      </w:r>
    </w:p>
  </w:endnote>
  <w:endnote w:type="continuationNotice" w:id="1">
    <w:p w14:paraId="787AB97A" w14:textId="77777777" w:rsidR="00D66C77" w:rsidRDefault="00D66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7C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7C9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2C182" w14:textId="77777777" w:rsidR="00D66C77" w:rsidRDefault="00D66C77">
      <w:r>
        <w:separator/>
      </w:r>
    </w:p>
  </w:footnote>
  <w:footnote w:type="continuationSeparator" w:id="0">
    <w:p w14:paraId="5EE0FBB0" w14:textId="77777777" w:rsidR="00D66C77" w:rsidRDefault="00D66C77">
      <w:r>
        <w:continuationSeparator/>
      </w:r>
    </w:p>
  </w:footnote>
  <w:footnote w:type="continuationNotice" w:id="1">
    <w:p w14:paraId="2CF330FE" w14:textId="77777777" w:rsidR="00D66C77" w:rsidRDefault="00D66C7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19"/>
    <w:lvlOverride w:ilvl="0">
      <w:startOverride w:val="1"/>
    </w:lvlOverride>
  </w:num>
  <w:num w:numId="10">
    <w:abstractNumId w:val="13"/>
  </w:num>
  <w:num w:numId="11">
    <w:abstractNumId w:val="16"/>
  </w:num>
  <w:num w:numId="12">
    <w:abstractNumId w:val="4"/>
  </w:num>
  <w:num w:numId="13">
    <w:abstractNumId w:val="15"/>
  </w:num>
  <w:num w:numId="14">
    <w:abstractNumId w:val="18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11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D65"/>
    <w:rsid w:val="00147D91"/>
    <w:rsid w:val="001508E1"/>
    <w:rsid w:val="0015099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2A6"/>
    <w:rsid w:val="0016019C"/>
    <w:rsid w:val="001601C7"/>
    <w:rsid w:val="001602C2"/>
    <w:rsid w:val="001603B9"/>
    <w:rsid w:val="00160674"/>
    <w:rsid w:val="00160786"/>
    <w:rsid w:val="0016172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058"/>
    <w:rsid w:val="003604DB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F97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61"/>
    <w:rsid w:val="004E5F2E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81"/>
    <w:rsid w:val="00621CAD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727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C00"/>
    <w:rsid w:val="0076200C"/>
    <w:rsid w:val="00762924"/>
    <w:rsid w:val="0076295C"/>
    <w:rsid w:val="00762FA7"/>
    <w:rsid w:val="00763055"/>
    <w:rsid w:val="00763432"/>
    <w:rsid w:val="00763448"/>
    <w:rsid w:val="00763507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A4A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C4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7A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202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EE"/>
    <w:rsid w:val="009621FF"/>
    <w:rsid w:val="0096392B"/>
    <w:rsid w:val="0096397B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866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D59"/>
    <w:rsid w:val="009951AB"/>
    <w:rsid w:val="0099531F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212"/>
    <w:rsid w:val="009A031F"/>
    <w:rsid w:val="009A0C1F"/>
    <w:rsid w:val="009A1053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FE7"/>
    <w:rsid w:val="00A521E0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CB7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87D"/>
    <w:rsid w:val="00C45C66"/>
    <w:rsid w:val="00C46433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44D5"/>
    <w:rsid w:val="00D24BD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429F"/>
    <w:rsid w:val="00D445E5"/>
    <w:rsid w:val="00D44A5C"/>
    <w:rsid w:val="00D45A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10437"/>
    <w:rsid w:val="00F10465"/>
    <w:rsid w:val="00F10864"/>
    <w:rsid w:val="00F109A7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A81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ony\Desktop\PAdata\alldat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ony\Desktop\PAdata\alldat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ACLR:</a:t>
            </a:r>
            <a:r>
              <a:rPr lang="en-US" baseline="0"/>
              <a:t> 29GHz, 1CC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4"/>
          <c:order val="0"/>
          <c:tx>
            <c:v>ofdm 64qam wola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diamond"/>
            <c:size val="5"/>
            <c:spPr>
              <a:solidFill>
                <a:schemeClr val="accent1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extracts!$V$10:$V$22</c:f>
              <c:numCache>
                <c:formatCode>General</c:formatCode>
                <c:ptCount val="13"/>
                <c:pt idx="0">
                  <c:v>-2.024</c:v>
                </c:pt>
                <c:pt idx="1">
                  <c:v>-1.0649999999999999</c:v>
                </c:pt>
                <c:pt idx="2">
                  <c:v>-8.7999999999999995E-2</c:v>
                </c:pt>
                <c:pt idx="3">
                  <c:v>0.88800000000000001</c:v>
                </c:pt>
                <c:pt idx="4">
                  <c:v>1.873</c:v>
                </c:pt>
                <c:pt idx="5">
                  <c:v>2.8660000000000001</c:v>
                </c:pt>
                <c:pt idx="6">
                  <c:v>3.83</c:v>
                </c:pt>
                <c:pt idx="7">
                  <c:v>4.8070000000000004</c:v>
                </c:pt>
                <c:pt idx="8">
                  <c:v>5.7720000000000002</c:v>
                </c:pt>
                <c:pt idx="9">
                  <c:v>6.6959999999999997</c:v>
                </c:pt>
                <c:pt idx="10">
                  <c:v>7.827</c:v>
                </c:pt>
                <c:pt idx="11">
                  <c:v>8.6110000000000007</c:v>
                </c:pt>
                <c:pt idx="12">
                  <c:v>9.66</c:v>
                </c:pt>
              </c:numCache>
            </c:numRef>
          </c:xVal>
          <c:yVal>
            <c:numRef>
              <c:f>extracts!$AE$10:$AE$22</c:f>
              <c:numCache>
                <c:formatCode>General</c:formatCode>
                <c:ptCount val="13"/>
                <c:pt idx="0">
                  <c:v>-40.322163353536951</c:v>
                </c:pt>
                <c:pt idx="1">
                  <c:v>-39.86599973695597</c:v>
                </c:pt>
                <c:pt idx="2">
                  <c:v>-39.28911466929447</c:v>
                </c:pt>
                <c:pt idx="3">
                  <c:v>-38.550715450365999</c:v>
                </c:pt>
                <c:pt idx="4">
                  <c:v>-37.762791449984775</c:v>
                </c:pt>
                <c:pt idx="5">
                  <c:v>-36.725354909972566</c:v>
                </c:pt>
                <c:pt idx="6">
                  <c:v>-35.568006085439499</c:v>
                </c:pt>
                <c:pt idx="7">
                  <c:v>-34.175498589666788</c:v>
                </c:pt>
                <c:pt idx="8">
                  <c:v>-32.575103349500246</c:v>
                </c:pt>
                <c:pt idx="9">
                  <c:v>-30.841878072672145</c:v>
                </c:pt>
                <c:pt idx="10">
                  <c:v>-28.624323701076264</c:v>
                </c:pt>
                <c:pt idx="11">
                  <c:v>-27.075355236032305</c:v>
                </c:pt>
                <c:pt idx="12">
                  <c:v>-25.057579857002828</c:v>
                </c:pt>
              </c:numCache>
            </c:numRef>
          </c:yVal>
          <c:smooth val="0"/>
        </c:ser>
        <c:ser>
          <c:idx val="5"/>
          <c:order val="1"/>
          <c:tx>
            <c:v>scfdm 64qam wola</c:v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diamond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extracts!$V$33:$V$45</c:f>
              <c:numCache>
                <c:formatCode>General</c:formatCode>
                <c:ptCount val="13"/>
                <c:pt idx="0">
                  <c:v>-2.0670000000000002</c:v>
                </c:pt>
                <c:pt idx="1">
                  <c:v>-1.119</c:v>
                </c:pt>
                <c:pt idx="2">
                  <c:v>-0.151</c:v>
                </c:pt>
                <c:pt idx="3">
                  <c:v>1.075</c:v>
                </c:pt>
                <c:pt idx="4">
                  <c:v>2.0960000000000001</c:v>
                </c:pt>
                <c:pt idx="5">
                  <c:v>2.8180000000000001</c:v>
                </c:pt>
                <c:pt idx="6">
                  <c:v>3.8</c:v>
                </c:pt>
                <c:pt idx="7">
                  <c:v>4.7699999999999996</c:v>
                </c:pt>
                <c:pt idx="8">
                  <c:v>6.0460000000000003</c:v>
                </c:pt>
                <c:pt idx="9">
                  <c:v>7.0430000000000001</c:v>
                </c:pt>
                <c:pt idx="10">
                  <c:v>7.9779999999999998</c:v>
                </c:pt>
                <c:pt idx="11">
                  <c:v>8.8170000000000002</c:v>
                </c:pt>
                <c:pt idx="12">
                  <c:v>10.112</c:v>
                </c:pt>
              </c:numCache>
            </c:numRef>
          </c:xVal>
          <c:yVal>
            <c:numRef>
              <c:f>extracts!$AE$33:$AE$45</c:f>
              <c:numCache>
                <c:formatCode>General</c:formatCode>
                <c:ptCount val="13"/>
                <c:pt idx="0">
                  <c:v>-41.249367132929379</c:v>
                </c:pt>
                <c:pt idx="1">
                  <c:v>-40.815900483363123</c:v>
                </c:pt>
                <c:pt idx="2">
                  <c:v>-40.254165538277647</c:v>
                </c:pt>
                <c:pt idx="3">
                  <c:v>-39.367480624374515</c:v>
                </c:pt>
                <c:pt idx="4">
                  <c:v>-38.562105866416061</c:v>
                </c:pt>
                <c:pt idx="5">
                  <c:v>-37.978281517943692</c:v>
                </c:pt>
                <c:pt idx="6">
                  <c:v>-37.080210541823746</c:v>
                </c:pt>
                <c:pt idx="7">
                  <c:v>-36.094350322577718</c:v>
                </c:pt>
                <c:pt idx="8">
                  <c:v>-34.345628698840173</c:v>
                </c:pt>
                <c:pt idx="9">
                  <c:v>-32.721495135790811</c:v>
                </c:pt>
                <c:pt idx="10">
                  <c:v>-30.963916071314014</c:v>
                </c:pt>
                <c:pt idx="11">
                  <c:v>-29.276338101497437</c:v>
                </c:pt>
                <c:pt idx="12">
                  <c:v>-26.499735327588574</c:v>
                </c:pt>
              </c:numCache>
            </c:numRef>
          </c:yVal>
          <c:smooth val="0"/>
        </c:ser>
        <c:ser>
          <c:idx val="6"/>
          <c:order val="2"/>
          <c:tx>
            <c:v>ofdm qpsk wola</c:v>
          </c:tx>
          <c:spPr>
            <a:ln w="19050" cap="rnd">
              <a:solidFill>
                <a:schemeClr val="accent3"/>
              </a:solidFill>
              <a:prstDash val="dash"/>
              <a:round/>
            </a:ln>
            <a:effectLst/>
          </c:spPr>
          <c:marker>
            <c:symbol val="diamond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extracts!$AI$10:$AI$26</c:f>
              <c:numCache>
                <c:formatCode>General</c:formatCode>
                <c:ptCount val="17"/>
                <c:pt idx="0">
                  <c:v>-2.0179999999999998</c:v>
                </c:pt>
                <c:pt idx="1">
                  <c:v>-1.0640000000000001</c:v>
                </c:pt>
                <c:pt idx="2">
                  <c:v>-7.2999999999999995E-2</c:v>
                </c:pt>
                <c:pt idx="3">
                  <c:v>0.89900000000000002</c:v>
                </c:pt>
                <c:pt idx="4">
                  <c:v>1.9019999999999999</c:v>
                </c:pt>
                <c:pt idx="5">
                  <c:v>2.8679999999999999</c:v>
                </c:pt>
                <c:pt idx="6">
                  <c:v>3.8540000000000001</c:v>
                </c:pt>
                <c:pt idx="7">
                  <c:v>4.8230000000000004</c:v>
                </c:pt>
                <c:pt idx="8">
                  <c:v>5.7960000000000003</c:v>
                </c:pt>
                <c:pt idx="9">
                  <c:v>6.7309999999999999</c:v>
                </c:pt>
                <c:pt idx="10">
                  <c:v>7.7549999999999999</c:v>
                </c:pt>
                <c:pt idx="11">
                  <c:v>8.641</c:v>
                </c:pt>
                <c:pt idx="12">
                  <c:v>9.6739999999999995</c:v>
                </c:pt>
                <c:pt idx="13">
                  <c:v>10.692</c:v>
                </c:pt>
                <c:pt idx="14">
                  <c:v>11.72</c:v>
                </c:pt>
                <c:pt idx="15">
                  <c:v>12.786</c:v>
                </c:pt>
                <c:pt idx="16">
                  <c:v>13.834</c:v>
                </c:pt>
              </c:numCache>
            </c:numRef>
          </c:xVal>
          <c:yVal>
            <c:numRef>
              <c:f>extracts!$AR$10:$AR$26</c:f>
              <c:numCache>
                <c:formatCode>General</c:formatCode>
                <c:ptCount val="17"/>
                <c:pt idx="0">
                  <c:v>-40.339050071110123</c:v>
                </c:pt>
                <c:pt idx="1">
                  <c:v>-39.884194651066665</c:v>
                </c:pt>
                <c:pt idx="2">
                  <c:v>-39.302018205347217</c:v>
                </c:pt>
                <c:pt idx="3">
                  <c:v>-38.572298893223525</c:v>
                </c:pt>
                <c:pt idx="4">
                  <c:v>-37.753924572539503</c:v>
                </c:pt>
                <c:pt idx="5">
                  <c:v>-36.750842389957008</c:v>
                </c:pt>
                <c:pt idx="6">
                  <c:v>-35.563132489003536</c:v>
                </c:pt>
                <c:pt idx="7">
                  <c:v>-34.169998157932191</c:v>
                </c:pt>
                <c:pt idx="8">
                  <c:v>-32.565279318654959</c:v>
                </c:pt>
                <c:pt idx="9">
                  <c:v>-30.809618601272195</c:v>
                </c:pt>
                <c:pt idx="10">
                  <c:v>-28.780839497307976</c:v>
                </c:pt>
                <c:pt idx="11">
                  <c:v>-27.032162575945911</c:v>
                </c:pt>
                <c:pt idx="12">
                  <c:v>-25.045162575945916</c:v>
                </c:pt>
                <c:pt idx="13">
                  <c:v>-23.122715712140717</c:v>
                </c:pt>
                <c:pt idx="14">
                  <c:v>-21.238475120316412</c:v>
                </c:pt>
                <c:pt idx="15">
                  <c:v>-19.355927340410975</c:v>
                </c:pt>
                <c:pt idx="16">
                  <c:v>-17.588169673391285</c:v>
                </c:pt>
              </c:numCache>
            </c:numRef>
          </c:yVal>
          <c:smooth val="0"/>
        </c:ser>
        <c:ser>
          <c:idx val="7"/>
          <c:order val="3"/>
          <c:tx>
            <c:v>scfdm qpsk wola</c:v>
          </c:tx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extracts!$AI$33:$AI$49</c:f>
              <c:numCache>
                <c:formatCode>General</c:formatCode>
                <c:ptCount val="17"/>
                <c:pt idx="0">
                  <c:v>-1.9910000000000001</c:v>
                </c:pt>
                <c:pt idx="1">
                  <c:v>-1.0249999999999999</c:v>
                </c:pt>
                <c:pt idx="2">
                  <c:v>-2.5999999999999999E-2</c:v>
                </c:pt>
                <c:pt idx="3">
                  <c:v>0.94299999999999995</c:v>
                </c:pt>
                <c:pt idx="4">
                  <c:v>2.19</c:v>
                </c:pt>
                <c:pt idx="5">
                  <c:v>2.91</c:v>
                </c:pt>
                <c:pt idx="6">
                  <c:v>3.9209999999999998</c:v>
                </c:pt>
                <c:pt idx="7">
                  <c:v>4.9240000000000004</c:v>
                </c:pt>
                <c:pt idx="8">
                  <c:v>5.9290000000000003</c:v>
                </c:pt>
                <c:pt idx="9">
                  <c:v>7.1989999999999998</c:v>
                </c:pt>
                <c:pt idx="10">
                  <c:v>8.0830000000000002</c:v>
                </c:pt>
                <c:pt idx="11">
                  <c:v>9.0839999999999996</c:v>
                </c:pt>
                <c:pt idx="12">
                  <c:v>10.256</c:v>
                </c:pt>
                <c:pt idx="13">
                  <c:v>11.611000000000001</c:v>
                </c:pt>
                <c:pt idx="14">
                  <c:v>12.569000000000001</c:v>
                </c:pt>
                <c:pt idx="15">
                  <c:v>13.654999999999999</c:v>
                </c:pt>
                <c:pt idx="16">
                  <c:v>14.689</c:v>
                </c:pt>
              </c:numCache>
            </c:numRef>
          </c:xVal>
          <c:yVal>
            <c:numRef>
              <c:f>extracts!$AR$33:$AR$49</c:f>
              <c:numCache>
                <c:formatCode>General</c:formatCode>
                <c:ptCount val="17"/>
                <c:pt idx="0">
                  <c:v>-41.794178894126887</c:v>
                </c:pt>
                <c:pt idx="1">
                  <c:v>-41.422013486682175</c:v>
                </c:pt>
                <c:pt idx="2">
                  <c:v>-40.864400261832188</c:v>
                </c:pt>
                <c:pt idx="3">
                  <c:v>-40.148422651014968</c:v>
                </c:pt>
                <c:pt idx="4">
                  <c:v>-39.196340596573691</c:v>
                </c:pt>
                <c:pt idx="5">
                  <c:v>-38.595995855348157</c:v>
                </c:pt>
                <c:pt idx="6">
                  <c:v>-37.718933067028701</c:v>
                </c:pt>
                <c:pt idx="7">
                  <c:v>-36.7732277160545</c:v>
                </c:pt>
                <c:pt idx="8">
                  <c:v>-35.688495135790809</c:v>
                </c:pt>
                <c:pt idx="9">
                  <c:v>-33.75594427767907</c:v>
                </c:pt>
                <c:pt idx="10">
                  <c:v>-32.258419150982618</c:v>
                </c:pt>
                <c:pt idx="11">
                  <c:v>-30.382866911941111</c:v>
                </c:pt>
                <c:pt idx="12">
                  <c:v>-28.059842389957005</c:v>
                </c:pt>
                <c:pt idx="13">
                  <c:v>-25.247119365022126</c:v>
                </c:pt>
                <c:pt idx="14">
                  <c:v>-23.267874625448151</c:v>
                </c:pt>
                <c:pt idx="15">
                  <c:v>-20.967998963836791</c:v>
                </c:pt>
                <c:pt idx="16">
                  <c:v>-18.677489609593056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462040"/>
        <c:axId val="150462824"/>
      </c:scatterChart>
      <c:valAx>
        <c:axId val="1504620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Pout</a:t>
                </a:r>
                <a:r>
                  <a:rPr lang="en-US" baseline="0"/>
                  <a:t> dBm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4784163790549802"/>
              <c:y val="6.7514487550606475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462824"/>
        <c:crosses val="autoZero"/>
        <c:crossBetween val="midCat"/>
      </c:valAx>
      <c:valAx>
        <c:axId val="150462824"/>
        <c:scaling>
          <c:orientation val="minMax"/>
          <c:max val="-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ACLR</a:t>
                </a:r>
                <a:r>
                  <a:rPr lang="en-US" baseline="0"/>
                  <a:t>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4620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5076983487300302E-2"/>
          <c:y val="0.84046802347087957"/>
          <c:w val="0.93492301651269971"/>
          <c:h val="0.1494261227956585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EVM:</a:t>
            </a:r>
            <a:r>
              <a:rPr lang="en-US" baseline="0"/>
              <a:t> 29GHz, 1CC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ofdm 64qam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extracts!$D$10:$D$24</c:f>
              <c:numCache>
                <c:formatCode>General</c:formatCode>
                <c:ptCount val="15"/>
                <c:pt idx="0">
                  <c:v>-1.7589999999999999</c:v>
                </c:pt>
                <c:pt idx="1">
                  <c:v>-1.0820000000000001</c:v>
                </c:pt>
                <c:pt idx="2">
                  <c:v>-3.5999999999999997E-2</c:v>
                </c:pt>
                <c:pt idx="3">
                  <c:v>1.135</c:v>
                </c:pt>
                <c:pt idx="4">
                  <c:v>2.1509999999999998</c:v>
                </c:pt>
                <c:pt idx="5">
                  <c:v>3.16</c:v>
                </c:pt>
                <c:pt idx="6">
                  <c:v>3.859</c:v>
                </c:pt>
                <c:pt idx="7">
                  <c:v>4.343</c:v>
                </c:pt>
                <c:pt idx="8">
                  <c:v>4.7939999999999996</c:v>
                </c:pt>
                <c:pt idx="9">
                  <c:v>5.5270000000000001</c:v>
                </c:pt>
                <c:pt idx="10">
                  <c:v>6.032</c:v>
                </c:pt>
                <c:pt idx="11">
                  <c:v>6.5190000000000001</c:v>
                </c:pt>
                <c:pt idx="12">
                  <c:v>6.9870000000000001</c:v>
                </c:pt>
                <c:pt idx="13">
                  <c:v>7.49</c:v>
                </c:pt>
                <c:pt idx="14">
                  <c:v>7.9749999999999996</c:v>
                </c:pt>
              </c:numCache>
            </c:numRef>
          </c:xVal>
          <c:yVal>
            <c:numRef>
              <c:f>extracts!$F$10:$F$24</c:f>
              <c:numCache>
                <c:formatCode>General</c:formatCode>
                <c:ptCount val="15"/>
                <c:pt idx="0">
                  <c:v>-33.966000000000001</c:v>
                </c:pt>
                <c:pt idx="1">
                  <c:v>-33.393999999999998</c:v>
                </c:pt>
                <c:pt idx="2">
                  <c:v>-32.738999999999997</c:v>
                </c:pt>
                <c:pt idx="3">
                  <c:v>-32.338999999999999</c:v>
                </c:pt>
                <c:pt idx="4">
                  <c:v>-31.684999999999999</c:v>
                </c:pt>
                <c:pt idx="5">
                  <c:v>-30.943000000000001</c:v>
                </c:pt>
                <c:pt idx="6">
                  <c:v>-30.31</c:v>
                </c:pt>
                <c:pt idx="7">
                  <c:v>-29.623000000000001</c:v>
                </c:pt>
                <c:pt idx="8">
                  <c:v>-29.023</c:v>
                </c:pt>
                <c:pt idx="9">
                  <c:v>-27.567</c:v>
                </c:pt>
                <c:pt idx="10">
                  <c:v>-26.643000000000001</c:v>
                </c:pt>
                <c:pt idx="11">
                  <c:v>-25.68</c:v>
                </c:pt>
                <c:pt idx="12">
                  <c:v>-24.559000000000001</c:v>
                </c:pt>
                <c:pt idx="13">
                  <c:v>-23.469000000000001</c:v>
                </c:pt>
                <c:pt idx="14">
                  <c:v>-22.344000000000001</c:v>
                </c:pt>
              </c:numCache>
            </c:numRef>
          </c:yVal>
          <c:smooth val="0"/>
        </c:ser>
        <c:ser>
          <c:idx val="1"/>
          <c:order val="1"/>
          <c:tx>
            <c:v>scfdm 64qam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extracts!$D$33:$D$44</c:f>
              <c:numCache>
                <c:formatCode>General</c:formatCode>
                <c:ptCount val="12"/>
                <c:pt idx="0">
                  <c:v>3.2069999999999999</c:v>
                </c:pt>
                <c:pt idx="1">
                  <c:v>3.9889999999999999</c:v>
                </c:pt>
                <c:pt idx="2">
                  <c:v>4.9530000000000003</c:v>
                </c:pt>
                <c:pt idx="3">
                  <c:v>5.9279999999999999</c:v>
                </c:pt>
                <c:pt idx="4">
                  <c:v>7.0250000000000004</c:v>
                </c:pt>
                <c:pt idx="5">
                  <c:v>7.9880000000000004</c:v>
                </c:pt>
                <c:pt idx="6">
                  <c:v>8.8819999999999997</c:v>
                </c:pt>
                <c:pt idx="7">
                  <c:v>9.5299999999999994</c:v>
                </c:pt>
                <c:pt idx="8">
                  <c:v>10.474</c:v>
                </c:pt>
                <c:pt idx="9">
                  <c:v>11.512</c:v>
                </c:pt>
                <c:pt idx="10">
                  <c:v>12.305999999999999</c:v>
                </c:pt>
                <c:pt idx="11">
                  <c:v>13.295999999999999</c:v>
                </c:pt>
              </c:numCache>
            </c:numRef>
          </c:xVal>
          <c:yVal>
            <c:numRef>
              <c:f>extracts!$F$33:$F$44</c:f>
              <c:numCache>
                <c:formatCode>General</c:formatCode>
                <c:ptCount val="12"/>
                <c:pt idx="0">
                  <c:v>-36.759</c:v>
                </c:pt>
                <c:pt idx="1">
                  <c:v>-35.896999999999998</c:v>
                </c:pt>
                <c:pt idx="2">
                  <c:v>-36.018999999999998</c:v>
                </c:pt>
                <c:pt idx="3">
                  <c:v>-35.268000000000001</c:v>
                </c:pt>
                <c:pt idx="4">
                  <c:v>-33.567</c:v>
                </c:pt>
                <c:pt idx="5">
                  <c:v>-31.13</c:v>
                </c:pt>
                <c:pt idx="6">
                  <c:v>-28.78</c:v>
                </c:pt>
                <c:pt idx="7">
                  <c:v>-27.844000000000001</c:v>
                </c:pt>
                <c:pt idx="8">
                  <c:v>-25.74</c:v>
                </c:pt>
                <c:pt idx="9">
                  <c:v>-24.274000000000001</c:v>
                </c:pt>
                <c:pt idx="10">
                  <c:v>-23.265000000000001</c:v>
                </c:pt>
                <c:pt idx="11">
                  <c:v>-22.303000000000001</c:v>
                </c:pt>
              </c:numCache>
            </c:numRef>
          </c:yVal>
          <c:smooth val="0"/>
        </c:ser>
        <c:ser>
          <c:idx val="2"/>
          <c:order val="2"/>
          <c:tx>
            <c:v>ofdm qpsk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extracts!$M$10:$M$28</c:f>
              <c:numCache>
                <c:formatCode>General</c:formatCode>
                <c:ptCount val="19"/>
                <c:pt idx="0">
                  <c:v>-2.008</c:v>
                </c:pt>
                <c:pt idx="1">
                  <c:v>-1.0029999999999999</c:v>
                </c:pt>
                <c:pt idx="2">
                  <c:v>0.20200000000000001</c:v>
                </c:pt>
                <c:pt idx="3">
                  <c:v>1.2</c:v>
                </c:pt>
                <c:pt idx="4">
                  <c:v>2.2320000000000002</c:v>
                </c:pt>
                <c:pt idx="5">
                  <c:v>2.915</c:v>
                </c:pt>
                <c:pt idx="6">
                  <c:v>3.9140000000000001</c:v>
                </c:pt>
                <c:pt idx="7">
                  <c:v>5.0810000000000004</c:v>
                </c:pt>
                <c:pt idx="8">
                  <c:v>6.048</c:v>
                </c:pt>
                <c:pt idx="9">
                  <c:v>7.01</c:v>
                </c:pt>
                <c:pt idx="10">
                  <c:v>7.7530000000000001</c:v>
                </c:pt>
                <c:pt idx="11">
                  <c:v>8.2040000000000006</c:v>
                </c:pt>
                <c:pt idx="12">
                  <c:v>8.6839999999999993</c:v>
                </c:pt>
                <c:pt idx="13">
                  <c:v>9.3759999999999994</c:v>
                </c:pt>
                <c:pt idx="14">
                  <c:v>9.8539999999999992</c:v>
                </c:pt>
                <c:pt idx="15">
                  <c:v>10.347</c:v>
                </c:pt>
                <c:pt idx="16">
                  <c:v>10.817</c:v>
                </c:pt>
                <c:pt idx="17">
                  <c:v>11.372999999999999</c:v>
                </c:pt>
                <c:pt idx="18">
                  <c:v>11.755000000000001</c:v>
                </c:pt>
              </c:numCache>
            </c:numRef>
          </c:xVal>
          <c:yVal>
            <c:numRef>
              <c:f>extracts!$O$10:$O$28</c:f>
              <c:numCache>
                <c:formatCode>General</c:formatCode>
                <c:ptCount val="19"/>
                <c:pt idx="0">
                  <c:v>-34.101999999999997</c:v>
                </c:pt>
                <c:pt idx="1">
                  <c:v>-33.247</c:v>
                </c:pt>
                <c:pt idx="2">
                  <c:v>-32.805999999999997</c:v>
                </c:pt>
                <c:pt idx="3">
                  <c:v>-32.26</c:v>
                </c:pt>
                <c:pt idx="4">
                  <c:v>-31.54</c:v>
                </c:pt>
                <c:pt idx="5">
                  <c:v>-30.957000000000001</c:v>
                </c:pt>
                <c:pt idx="6">
                  <c:v>-29.966999999999999</c:v>
                </c:pt>
                <c:pt idx="7">
                  <c:v>-27.771999999999998</c:v>
                </c:pt>
                <c:pt idx="8">
                  <c:v>-26.606999999999999</c:v>
                </c:pt>
                <c:pt idx="9">
                  <c:v>-24.254000000000001</c:v>
                </c:pt>
                <c:pt idx="10">
                  <c:v>-22.459</c:v>
                </c:pt>
                <c:pt idx="11">
                  <c:v>-21.81</c:v>
                </c:pt>
                <c:pt idx="12">
                  <c:v>-20.542000000000002</c:v>
                </c:pt>
                <c:pt idx="13">
                  <c:v>-18.934000000000001</c:v>
                </c:pt>
                <c:pt idx="14">
                  <c:v>-18.132000000000001</c:v>
                </c:pt>
                <c:pt idx="15">
                  <c:v>-17.077999999999999</c:v>
                </c:pt>
                <c:pt idx="16">
                  <c:v>-16.079000000000001</c:v>
                </c:pt>
                <c:pt idx="17">
                  <c:v>-15.077</c:v>
                </c:pt>
                <c:pt idx="18">
                  <c:v>-14.41</c:v>
                </c:pt>
              </c:numCache>
            </c:numRef>
          </c:yVal>
          <c:smooth val="0"/>
        </c:ser>
        <c:ser>
          <c:idx val="3"/>
          <c:order val="3"/>
          <c:tx>
            <c:v>scfdm qpsk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extracts!$M$33:$M$44</c:f>
              <c:numCache>
                <c:formatCode>General</c:formatCode>
                <c:ptCount val="12"/>
                <c:pt idx="0">
                  <c:v>3.1560000000000001</c:v>
                </c:pt>
                <c:pt idx="1">
                  <c:v>4.0940000000000003</c:v>
                </c:pt>
                <c:pt idx="2">
                  <c:v>5.0759999999999996</c:v>
                </c:pt>
                <c:pt idx="3">
                  <c:v>6.0810000000000004</c:v>
                </c:pt>
                <c:pt idx="4">
                  <c:v>7.0570000000000004</c:v>
                </c:pt>
                <c:pt idx="5">
                  <c:v>8.0540000000000003</c:v>
                </c:pt>
                <c:pt idx="6">
                  <c:v>9.15</c:v>
                </c:pt>
                <c:pt idx="7">
                  <c:v>9.8559999999999999</c:v>
                </c:pt>
                <c:pt idx="8">
                  <c:v>10.893000000000001</c:v>
                </c:pt>
                <c:pt idx="9">
                  <c:v>11.887</c:v>
                </c:pt>
                <c:pt idx="10">
                  <c:v>12.845000000000001</c:v>
                </c:pt>
                <c:pt idx="11">
                  <c:v>13.852</c:v>
                </c:pt>
              </c:numCache>
            </c:numRef>
          </c:xVal>
          <c:yVal>
            <c:numRef>
              <c:f>extracts!$O$33:$O$44</c:f>
              <c:numCache>
                <c:formatCode>General</c:formatCode>
                <c:ptCount val="12"/>
                <c:pt idx="0">
                  <c:v>-36.978000000000002</c:v>
                </c:pt>
                <c:pt idx="1">
                  <c:v>-37.057000000000002</c:v>
                </c:pt>
                <c:pt idx="2">
                  <c:v>-38.283000000000001</c:v>
                </c:pt>
                <c:pt idx="3">
                  <c:v>-36.835000000000001</c:v>
                </c:pt>
                <c:pt idx="4">
                  <c:v>-36.296999999999997</c:v>
                </c:pt>
                <c:pt idx="5">
                  <c:v>-35.533000000000001</c:v>
                </c:pt>
                <c:pt idx="6">
                  <c:v>-33.71</c:v>
                </c:pt>
                <c:pt idx="7">
                  <c:v>-32.366</c:v>
                </c:pt>
                <c:pt idx="8">
                  <c:v>-30.164999999999999</c:v>
                </c:pt>
                <c:pt idx="9">
                  <c:v>-28.084</c:v>
                </c:pt>
                <c:pt idx="10">
                  <c:v>-26.173999999999999</c:v>
                </c:pt>
                <c:pt idx="11">
                  <c:v>-24.408999999999999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461648"/>
        <c:axId val="150463216"/>
      </c:scatterChart>
      <c:valAx>
        <c:axId val="1504616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Pout</a:t>
                </a:r>
                <a:r>
                  <a:rPr lang="en-US" baseline="0"/>
                  <a:t> dBm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714413945742722"/>
              <c:y val="8.6721346395539051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463216"/>
        <c:crosses val="autoZero"/>
        <c:crossBetween val="midCat"/>
      </c:valAx>
      <c:valAx>
        <c:axId val="150463216"/>
        <c:scaling>
          <c:orientation val="minMax"/>
          <c:max val="-10"/>
          <c:min val="-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EVM</a:t>
                </a:r>
                <a:r>
                  <a:rPr lang="en-US" baseline="0"/>
                  <a:t>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04616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2FHT6SDPEKRM-4-34787</_dlc_DocId>
    <_dlc_DocIdUrl xmlns="2f0fb0e4-6f95-4f64-8efb-58e3d90405ce">
      <Url>https://projects.qualcomm.com/sites/SkyBer/_layouts/15/DocIdRedir.aspx?ID=2FHT6SDPEKRM-4-34787</Url>
      <Description>2FHT6SDPEKRM-4-34787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5791BD-8C57-4DB8-8301-DC008776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2A00E8-020E-4157-93AD-B46A4A12A400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60BC727F-2E01-48EC-8EA6-FCB61A87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sony</cp:lastModifiedBy>
  <cp:revision>174</cp:revision>
  <cp:lastPrinted>2014-11-07T05:38:00Z</cp:lastPrinted>
  <dcterms:created xsi:type="dcterms:W3CDTF">2016-08-10T06:33:00Z</dcterms:created>
  <dcterms:modified xsi:type="dcterms:W3CDTF">2016-09-30T21:20:00Z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37592bd0-e861-46bb-957e-95a042ef7ae3</vt:lpwstr>
  </property>
</Properties>
</file>