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#86 bis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Pr="00BE54FA">
        <w:rPr>
          <w:rFonts w:eastAsia="Times New Roman" w:cs="Arial"/>
          <w:bCs/>
          <w:noProof/>
          <w:sz w:val="20"/>
          <w:szCs w:val="18"/>
          <w:lang w:val="en-US" w:eastAsia="zh-CN"/>
        </w:rPr>
        <w:t>R1</w:t>
      </w:r>
      <w:r w:rsidRPr="009F56DA">
        <w:rPr>
          <w:rFonts w:eastAsia="Times New Roman" w:cs="Arial"/>
          <w:bCs/>
          <w:noProof/>
          <w:sz w:val="20"/>
          <w:szCs w:val="18"/>
          <w:lang w:val="en-US" w:eastAsia="zh-CN"/>
        </w:rPr>
        <w:t>-</w:t>
      </w:r>
      <w:r w:rsidR="009F56DA" w:rsidRPr="009F56DA">
        <w:rPr>
          <w:rFonts w:eastAsia="Times New Roman" w:cs="Arial"/>
          <w:bCs/>
          <w:noProof/>
          <w:sz w:val="20"/>
          <w:szCs w:val="18"/>
          <w:lang w:val="en-US" w:eastAsia="zh-CN"/>
        </w:rPr>
        <w:t>1609781</w:t>
      </w:r>
    </w:p>
    <w:p w:rsidR="006A1A84" w:rsidRDefault="006A1A84" w:rsidP="006A1A84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10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Oct 2016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DISH Network, Thales</w:t>
      </w:r>
      <w:r w:rsidR="001A5D61">
        <w:rPr>
          <w:sz w:val="20"/>
          <w:lang w:val="en-US"/>
        </w:rPr>
        <w:t>, Fraunhofer IIS, SES</w:t>
      </w:r>
      <w:r w:rsidR="00C969BD">
        <w:rPr>
          <w:sz w:val="20"/>
          <w:lang w:val="en-US"/>
        </w:rPr>
        <w:t>, Ligado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Satellite Aspects- Forward Compatibility Consideration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F56DA">
        <w:rPr>
          <w:sz w:val="20"/>
          <w:lang w:val="en-US"/>
        </w:rPr>
        <w:t>8.1.8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4C5F6D" w:rsidRDefault="007C3C38" w:rsidP="000852A4">
      <w:pPr>
        <w:jc w:val="both"/>
        <w:rPr>
          <w:sz w:val="24"/>
          <w:szCs w:val="24"/>
        </w:rPr>
      </w:pPr>
      <w:r w:rsidRPr="0002546D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present</w:t>
      </w:r>
      <w:r w:rsidR="004C5F6D">
        <w:rPr>
          <w:sz w:val="24"/>
          <w:szCs w:val="24"/>
        </w:rPr>
        <w:t>s</w:t>
      </w:r>
      <w:r>
        <w:rPr>
          <w:sz w:val="24"/>
          <w:szCs w:val="24"/>
        </w:rPr>
        <w:t xml:space="preserve"> a brief overview of the satellite system architecture and the information required for the </w:t>
      </w:r>
      <w:r w:rsidRPr="00DF51CE">
        <w:rPr>
          <w:sz w:val="24"/>
          <w:szCs w:val="24"/>
        </w:rPr>
        <w:t>modeling</w:t>
      </w:r>
      <w:r>
        <w:rPr>
          <w:sz w:val="24"/>
          <w:szCs w:val="24"/>
        </w:rPr>
        <w:t xml:space="preserve"> of new radio technology with satellite radio access network.  </w:t>
      </w:r>
      <w:r w:rsidR="004C5F6D">
        <w:rPr>
          <w:sz w:val="24"/>
          <w:szCs w:val="24"/>
        </w:rPr>
        <w:t xml:space="preserve">The contribution also aims to address the issue of forward compatibility that needs to be considered during the Phase 1 design of the New Radio. </w:t>
      </w:r>
    </w:p>
    <w:p w:rsidR="0010616A" w:rsidRDefault="0010616A" w:rsidP="000852A4">
      <w:pPr>
        <w:jc w:val="both"/>
        <w:rPr>
          <w:sz w:val="24"/>
          <w:szCs w:val="24"/>
        </w:rPr>
      </w:pPr>
    </w:p>
    <w:p w:rsidR="003B47A7" w:rsidRDefault="003B47A7" w:rsidP="004C5F6D">
      <w:pPr>
        <w:rPr>
          <w:sz w:val="24"/>
          <w:szCs w:val="24"/>
        </w:rPr>
      </w:pPr>
    </w:p>
    <w:p w:rsidR="003B47A7" w:rsidRPr="006A1A84" w:rsidRDefault="003B47A7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2B4623" w:rsidRDefault="002B4623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A 3GPP standardized Radio Access Technology (RAT), adequately designed to take into account the specific of satellite use cases and constraints, will enable satellite access to be supported in</w:t>
      </w:r>
      <w:r w:rsidR="008344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NextGen UEs and RAN. This will reduce the cost of satellite UEs and Satellite RAN infrastructure and allow terrestrial devices to be used for satellite access as well. Other benefits </w:t>
      </w:r>
      <w:r w:rsidR="00E447DE">
        <w:rPr>
          <w:sz w:val="24"/>
          <w:szCs w:val="24"/>
        </w:rPr>
        <w:t>include enabling</w:t>
      </w:r>
      <w:r>
        <w:rPr>
          <w:sz w:val="24"/>
          <w:szCs w:val="24"/>
        </w:rPr>
        <w:t xml:space="preserve"> </w:t>
      </w:r>
      <w:r w:rsidR="00763492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native broadcast/multicast capability at minimal additional cost.  These considerations become increasingly important for </w:t>
      </w:r>
      <w:r w:rsidR="00E447DE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connected cars, widely distributed sensor networks, and </w:t>
      </w:r>
      <w:r w:rsidR="00E447DE">
        <w:rPr>
          <w:sz w:val="24"/>
          <w:szCs w:val="24"/>
        </w:rPr>
        <w:t xml:space="preserve">for the </w:t>
      </w:r>
      <w:r>
        <w:rPr>
          <w:sz w:val="24"/>
          <w:szCs w:val="24"/>
        </w:rPr>
        <w:t xml:space="preserve">disaster prone areas. </w:t>
      </w:r>
    </w:p>
    <w:p w:rsidR="006A1A84" w:rsidRDefault="006A1A84" w:rsidP="003B47A7">
      <w:pPr>
        <w:jc w:val="both"/>
        <w:rPr>
          <w:sz w:val="24"/>
          <w:szCs w:val="24"/>
        </w:rPr>
      </w:pPr>
    </w:p>
    <w:p w:rsidR="003B47A7" w:rsidRDefault="003B47A7" w:rsidP="006A1A84">
      <w:pPr>
        <w:pStyle w:val="Heading2"/>
      </w:pPr>
      <w:r>
        <w:t>The Use cases</w:t>
      </w:r>
    </w:p>
    <w:p w:rsidR="003B47A7" w:rsidRPr="007C3C38" w:rsidRDefault="003B47A7" w:rsidP="003B4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noted in the TR22.891, there are several use cases that </w:t>
      </w:r>
      <w:r w:rsidRPr="007C3C38">
        <w:rPr>
          <w:sz w:val="24"/>
          <w:szCs w:val="24"/>
        </w:rPr>
        <w:t xml:space="preserve">can only be served by satellite access </w:t>
      </w:r>
      <w:r>
        <w:rPr>
          <w:sz w:val="24"/>
          <w:szCs w:val="24"/>
        </w:rPr>
        <w:t xml:space="preserve">or where </w:t>
      </w:r>
      <w:r w:rsidRPr="007C3C38">
        <w:rPr>
          <w:sz w:val="24"/>
          <w:szCs w:val="24"/>
        </w:rPr>
        <w:t>satellite provides a more efficient solution</w:t>
      </w:r>
      <w:r>
        <w:rPr>
          <w:sz w:val="24"/>
          <w:szCs w:val="24"/>
        </w:rPr>
        <w:t>. Some of the examples include</w:t>
      </w:r>
      <w:r w:rsidR="0010616A">
        <w:rPr>
          <w:sz w:val="24"/>
          <w:szCs w:val="24"/>
        </w:rPr>
        <w:t>:</w:t>
      </w:r>
    </w:p>
    <w:p w:rsidR="00651485" w:rsidRDefault="00CE0752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Widely distributed networks, such as closed user group or enterprise facilities</w:t>
      </w:r>
    </w:p>
    <w:p w:rsidR="009F110A" w:rsidRDefault="009F110A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Trunking and head-end feed</w:t>
      </w:r>
    </w:p>
    <w:p w:rsidR="003B47A7" w:rsidRPr="002F1144" w:rsidRDefault="003B47A7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F1144">
        <w:rPr>
          <w:sz w:val="24"/>
          <w:szCs w:val="24"/>
        </w:rPr>
        <w:t xml:space="preserve">Disaster relief </w:t>
      </w:r>
      <w:r w:rsidR="00651485">
        <w:rPr>
          <w:sz w:val="24"/>
          <w:szCs w:val="24"/>
        </w:rPr>
        <w:t xml:space="preserve">and other </w:t>
      </w:r>
      <w:r w:rsidR="00DD7407">
        <w:rPr>
          <w:sz w:val="24"/>
          <w:szCs w:val="24"/>
        </w:rPr>
        <w:t>situations</w:t>
      </w:r>
      <w:r w:rsidR="00651485">
        <w:rPr>
          <w:sz w:val="24"/>
          <w:szCs w:val="24"/>
        </w:rPr>
        <w:t xml:space="preserve"> where the terrestrial </w:t>
      </w:r>
      <w:r w:rsidR="00DD7407">
        <w:rPr>
          <w:sz w:val="24"/>
          <w:szCs w:val="24"/>
        </w:rPr>
        <w:t>network</w:t>
      </w:r>
      <w:r w:rsidR="00651485">
        <w:rPr>
          <w:sz w:val="24"/>
          <w:szCs w:val="24"/>
        </w:rPr>
        <w:t xml:space="preserve"> is unavailable in full or part</w:t>
      </w:r>
    </w:p>
    <w:p w:rsidR="003B47A7" w:rsidRPr="002F1144" w:rsidRDefault="00CE0752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Added redundancy and reliability to support network communications</w:t>
      </w:r>
    </w:p>
    <w:p w:rsidR="003B47A7" w:rsidRPr="002F1144" w:rsidRDefault="003B47A7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F1144">
        <w:rPr>
          <w:sz w:val="24"/>
          <w:szCs w:val="24"/>
        </w:rPr>
        <w:t xml:space="preserve">Connectivity in rural areas </w:t>
      </w:r>
      <w:r w:rsidR="00CE0752">
        <w:rPr>
          <w:sz w:val="24"/>
          <w:szCs w:val="24"/>
        </w:rPr>
        <w:t xml:space="preserve">where the terrestrial </w:t>
      </w:r>
      <w:r w:rsidR="00DD7407">
        <w:rPr>
          <w:sz w:val="24"/>
          <w:szCs w:val="24"/>
        </w:rPr>
        <w:t>infrastructure</w:t>
      </w:r>
      <w:r w:rsidR="00CE0752">
        <w:rPr>
          <w:sz w:val="24"/>
          <w:szCs w:val="24"/>
        </w:rPr>
        <w:t xml:space="preserve"> may be limited or not available </w:t>
      </w:r>
      <w:r w:rsidRPr="002F1144">
        <w:rPr>
          <w:sz w:val="24"/>
          <w:szCs w:val="24"/>
        </w:rPr>
        <w:t xml:space="preserve"> </w:t>
      </w:r>
    </w:p>
    <w:p w:rsidR="00CE0752" w:rsidRDefault="003B47A7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F1144">
        <w:rPr>
          <w:sz w:val="24"/>
          <w:szCs w:val="24"/>
        </w:rPr>
        <w:t xml:space="preserve">Connectivity for </w:t>
      </w:r>
      <w:r w:rsidR="00CE0752">
        <w:rPr>
          <w:sz w:val="24"/>
          <w:szCs w:val="24"/>
        </w:rPr>
        <w:t>the internet of things, including intelligent highways, utilities, etc</w:t>
      </w:r>
    </w:p>
    <w:p w:rsidR="00CE0752" w:rsidRDefault="00CE0752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Connectivity for mobile platforms, including ships, trucks and airplanes</w:t>
      </w:r>
    </w:p>
    <w:p w:rsidR="003B47A7" w:rsidRDefault="00CE0752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Backhaul capacity </w:t>
      </w:r>
      <w:r w:rsidR="009F110A">
        <w:rPr>
          <w:sz w:val="24"/>
          <w:szCs w:val="24"/>
        </w:rPr>
        <w:t xml:space="preserve">and tower feed </w:t>
      </w:r>
      <w:r>
        <w:rPr>
          <w:sz w:val="24"/>
          <w:szCs w:val="24"/>
        </w:rPr>
        <w:t xml:space="preserve">for terrestrial </w:t>
      </w:r>
      <w:r w:rsidR="00DD7407">
        <w:rPr>
          <w:sz w:val="24"/>
          <w:szCs w:val="24"/>
        </w:rPr>
        <w:t>infrastructure</w:t>
      </w:r>
    </w:p>
    <w:p w:rsidR="009F110A" w:rsidRDefault="009F110A" w:rsidP="003B47A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Hybrid multi-play</w:t>
      </w:r>
    </w:p>
    <w:p w:rsidR="001D7850" w:rsidRDefault="001D7850" w:rsidP="001D7850">
      <w:pPr>
        <w:rPr>
          <w:sz w:val="24"/>
          <w:szCs w:val="24"/>
        </w:rPr>
      </w:pPr>
    </w:p>
    <w:p w:rsidR="004C5F6D" w:rsidRDefault="004C5F6D" w:rsidP="006A1A84">
      <w:pPr>
        <w:pStyle w:val="Heading2"/>
      </w:pPr>
      <w:r>
        <w:t>Satellite Architecture</w:t>
      </w:r>
    </w:p>
    <w:p w:rsidR="00132E99" w:rsidRDefault="004C5F6D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There are some important differences between the satellite and terrestrial architecture that will have impact on the physical layer design. In general, Satellites are classified based on </w:t>
      </w:r>
      <w:r w:rsidR="00DD7407">
        <w:rPr>
          <w:sz w:val="24"/>
          <w:szCs w:val="24"/>
        </w:rPr>
        <w:t>service provided,</w:t>
      </w:r>
      <w:r>
        <w:rPr>
          <w:sz w:val="24"/>
          <w:szCs w:val="24"/>
        </w:rPr>
        <w:t xml:space="preserve"> orbits, spot beams and </w:t>
      </w:r>
      <w:r w:rsidR="00924280">
        <w:rPr>
          <w:sz w:val="24"/>
          <w:szCs w:val="24"/>
        </w:rPr>
        <w:t>etc</w:t>
      </w:r>
      <w:r>
        <w:rPr>
          <w:sz w:val="24"/>
          <w:szCs w:val="24"/>
        </w:rPr>
        <w:t xml:space="preserve">. </w:t>
      </w:r>
    </w:p>
    <w:p w:rsidR="00132E99" w:rsidRDefault="00132E99" w:rsidP="00132E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Figure 1 depicts the architecture of </w:t>
      </w:r>
      <w:r w:rsidR="003F6482">
        <w:rPr>
          <w:sz w:val="24"/>
          <w:szCs w:val="24"/>
        </w:rPr>
        <w:t xml:space="preserve">new radio access technology via satellite, denoted as </w:t>
      </w:r>
      <w:r>
        <w:rPr>
          <w:sz w:val="24"/>
          <w:szCs w:val="24"/>
        </w:rPr>
        <w:t>NextGen satellite network</w:t>
      </w:r>
      <w:r w:rsidR="003F6482">
        <w:rPr>
          <w:sz w:val="24"/>
          <w:szCs w:val="24"/>
        </w:rPr>
        <w:t>,</w:t>
      </w:r>
      <w:r>
        <w:rPr>
          <w:sz w:val="24"/>
          <w:szCs w:val="24"/>
        </w:rPr>
        <w:t xml:space="preserve"> in which NextGen</w:t>
      </w:r>
      <w:r w:rsidRPr="000531DF">
        <w:rPr>
          <w:sz w:val="24"/>
          <w:szCs w:val="24"/>
        </w:rPr>
        <w:t xml:space="preserve"> UE is connected to the network </w:t>
      </w:r>
      <w:r>
        <w:rPr>
          <w:sz w:val="24"/>
          <w:szCs w:val="24"/>
        </w:rPr>
        <w:t>through</w:t>
      </w:r>
      <w:r w:rsidRPr="000531DF">
        <w:rPr>
          <w:sz w:val="24"/>
          <w:szCs w:val="24"/>
        </w:rPr>
        <w:t xml:space="preserve"> satellite</w:t>
      </w:r>
      <w:r>
        <w:rPr>
          <w:sz w:val="24"/>
          <w:szCs w:val="24"/>
        </w:rPr>
        <w:t>. An access link con</w:t>
      </w:r>
      <w:r w:rsidR="0053790E">
        <w:rPr>
          <w:sz w:val="24"/>
          <w:szCs w:val="24"/>
        </w:rPr>
        <w:t>nects the UE to the satellite;</w:t>
      </w:r>
      <w:r>
        <w:rPr>
          <w:sz w:val="24"/>
          <w:szCs w:val="24"/>
        </w:rPr>
        <w:t xml:space="preserve"> </w:t>
      </w:r>
      <w:r w:rsidR="003F6482">
        <w:rPr>
          <w:sz w:val="24"/>
          <w:szCs w:val="24"/>
        </w:rPr>
        <w:t xml:space="preserve">the satellite </w:t>
      </w:r>
      <w:r w:rsidR="0053790E">
        <w:rPr>
          <w:sz w:val="24"/>
          <w:szCs w:val="24"/>
        </w:rPr>
        <w:t xml:space="preserve">is connected </w:t>
      </w:r>
      <w:r w:rsidR="003F6482">
        <w:rPr>
          <w:sz w:val="24"/>
          <w:szCs w:val="24"/>
        </w:rPr>
        <w:t>to the gateway using the</w:t>
      </w:r>
      <w:r>
        <w:rPr>
          <w:sz w:val="24"/>
          <w:szCs w:val="24"/>
        </w:rPr>
        <w:t xml:space="preserve"> feeder link. The gateway can be connected to the NextGen RAN either via wired or wireless link. </w:t>
      </w:r>
    </w:p>
    <w:p w:rsidR="00B2320A" w:rsidRDefault="00132E99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the downlink, the radio signal from RAN is transmitted via gateway to the satellite, where the signal is down converted and sent for UE reception. On the uplink, </w:t>
      </w:r>
      <w:r w:rsidR="00DF436E">
        <w:rPr>
          <w:sz w:val="24"/>
          <w:szCs w:val="24"/>
        </w:rPr>
        <w:t>a similar path is traversed but in opposite direction</w:t>
      </w:r>
      <w:r>
        <w:rPr>
          <w:sz w:val="24"/>
          <w:szCs w:val="24"/>
        </w:rPr>
        <w:t>.</w:t>
      </w:r>
      <w:r w:rsidR="00C4425D">
        <w:rPr>
          <w:sz w:val="24"/>
          <w:szCs w:val="24"/>
        </w:rPr>
        <w:t xml:space="preserve"> </w:t>
      </w:r>
    </w:p>
    <w:p w:rsidR="000E7F24" w:rsidRDefault="000E7F24" w:rsidP="00D90826">
      <w:pPr>
        <w:jc w:val="center"/>
        <w:rPr>
          <w:sz w:val="24"/>
          <w:szCs w:val="24"/>
        </w:rPr>
      </w:pPr>
      <w:bookmarkStart w:id="4" w:name="_GoBack"/>
      <w:r>
        <w:rPr>
          <w:noProof/>
          <w:sz w:val="24"/>
          <w:szCs w:val="24"/>
        </w:rPr>
        <w:drawing>
          <wp:inline distT="0" distB="0" distL="0" distR="0" wp14:anchorId="4DA48660" wp14:editId="3BC3FCEC">
            <wp:extent cx="6437194" cy="1558047"/>
            <wp:effectExtent l="0" t="0" r="1905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063" cy="157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4"/>
    </w:p>
    <w:p w:rsidR="00C4425D" w:rsidRDefault="00D90826" w:rsidP="00D90826">
      <w:pPr>
        <w:jc w:val="center"/>
        <w:rPr>
          <w:sz w:val="24"/>
          <w:szCs w:val="24"/>
        </w:rPr>
      </w:pPr>
      <w:r>
        <w:rPr>
          <w:sz w:val="24"/>
          <w:szCs w:val="24"/>
        </w:rPr>
        <w:t>Figure 1 – Next generation (NextGen) network with satellite access</w:t>
      </w:r>
    </w:p>
    <w:p w:rsidR="001E1EC4" w:rsidRDefault="001E1EC4" w:rsidP="00D90826">
      <w:pPr>
        <w:jc w:val="center"/>
        <w:rPr>
          <w:sz w:val="24"/>
          <w:szCs w:val="24"/>
        </w:rPr>
      </w:pPr>
    </w:p>
    <w:p w:rsidR="00DF436E" w:rsidRDefault="00DF436E" w:rsidP="006A1A84">
      <w:pPr>
        <w:pStyle w:val="Heading2"/>
      </w:pPr>
      <w:r>
        <w:t>Satellite Specific Aspec</w:t>
      </w:r>
      <w:r w:rsidR="00B740D5">
        <w:t>t</w:t>
      </w:r>
      <w:r>
        <w:t>s</w:t>
      </w:r>
    </w:p>
    <w:p w:rsidR="008B75C8" w:rsidRDefault="00DF436E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>Compared to the terrestrial</w:t>
      </w:r>
      <w:r w:rsidR="00B00552">
        <w:rPr>
          <w:sz w:val="24"/>
          <w:szCs w:val="24"/>
        </w:rPr>
        <w:t xml:space="preserve"> link</w:t>
      </w:r>
      <w:r>
        <w:rPr>
          <w:sz w:val="24"/>
          <w:szCs w:val="24"/>
        </w:rPr>
        <w:t xml:space="preserve">, the </w:t>
      </w:r>
      <w:r w:rsidR="00B00552">
        <w:rPr>
          <w:sz w:val="24"/>
          <w:szCs w:val="24"/>
        </w:rPr>
        <w:t xml:space="preserve">satellite </w:t>
      </w:r>
      <w:r>
        <w:rPr>
          <w:sz w:val="24"/>
          <w:szCs w:val="24"/>
        </w:rPr>
        <w:t xml:space="preserve">propagation and channel models are relatively easy and straightforward. For most part, </w:t>
      </w:r>
      <w:r w:rsidR="008B75C8">
        <w:rPr>
          <w:sz w:val="24"/>
          <w:szCs w:val="24"/>
        </w:rPr>
        <w:t>Free Space Path Loss (FSPL)</w:t>
      </w:r>
      <w:r>
        <w:rPr>
          <w:sz w:val="24"/>
          <w:szCs w:val="24"/>
        </w:rPr>
        <w:t xml:space="preserve"> is used for propagation calculation in addition to consideration of climate factors that are frequency dependent such as rain, fog etc. </w:t>
      </w:r>
    </w:p>
    <w:p w:rsidR="00D90826" w:rsidRDefault="0086464C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>The NR design should be flexible and take into account the impact of the larger round trip delay over satellite of 10</w:t>
      </w:r>
      <w:r w:rsidRPr="0053790E">
        <w:rPr>
          <w:sz w:val="24"/>
          <w:szCs w:val="24"/>
        </w:rPr>
        <w:t>0 msec</w:t>
      </w:r>
      <w:r>
        <w:rPr>
          <w:sz w:val="24"/>
          <w:szCs w:val="24"/>
        </w:rPr>
        <w:t xml:space="preserve">- </w:t>
      </w:r>
      <w:r w:rsidR="00395995">
        <w:rPr>
          <w:sz w:val="24"/>
          <w:szCs w:val="24"/>
        </w:rPr>
        <w:t>600</w:t>
      </w:r>
      <w:r>
        <w:rPr>
          <w:sz w:val="24"/>
          <w:szCs w:val="24"/>
        </w:rPr>
        <w:t xml:space="preserve"> msec (depending on the satellite orbit), between the UE and the RAN. In addition, today</w:t>
      </w:r>
      <w:r w:rsidR="00B00552">
        <w:rPr>
          <w:sz w:val="24"/>
          <w:szCs w:val="24"/>
        </w:rPr>
        <w:t>’s</w:t>
      </w:r>
      <w:r>
        <w:rPr>
          <w:sz w:val="24"/>
          <w:szCs w:val="24"/>
        </w:rPr>
        <w:t xml:space="preserve"> satellite operators have </w:t>
      </w:r>
      <w:r w:rsidR="00B00552">
        <w:rPr>
          <w:sz w:val="24"/>
          <w:szCs w:val="24"/>
        </w:rPr>
        <w:t xml:space="preserve">also </w:t>
      </w:r>
      <w:r>
        <w:rPr>
          <w:sz w:val="24"/>
          <w:szCs w:val="24"/>
        </w:rPr>
        <w:t>designed solutions to reduce the impact of latency</w:t>
      </w:r>
      <w:r w:rsidR="00C26631">
        <w:rPr>
          <w:sz w:val="24"/>
          <w:szCs w:val="24"/>
        </w:rPr>
        <w:t xml:space="preserve"> that can be considered in NR design</w:t>
      </w:r>
      <w:r>
        <w:rPr>
          <w:sz w:val="24"/>
          <w:szCs w:val="24"/>
        </w:rPr>
        <w:t>. T</w:t>
      </w:r>
      <w:r w:rsidRPr="0002546D">
        <w:rPr>
          <w:sz w:val="24"/>
          <w:szCs w:val="24"/>
        </w:rPr>
        <w:t xml:space="preserve">here are a number of specific factors that impact the </w:t>
      </w:r>
      <w:r>
        <w:rPr>
          <w:sz w:val="24"/>
          <w:szCs w:val="24"/>
        </w:rPr>
        <w:t>design of the NextGen satellite compatible RAT compared to a terrestrial RAT</w:t>
      </w:r>
      <w:r w:rsidR="00B00552">
        <w:rPr>
          <w:sz w:val="24"/>
          <w:szCs w:val="24"/>
        </w:rPr>
        <w:t>, such as</w:t>
      </w:r>
      <w:r>
        <w:rPr>
          <w:sz w:val="24"/>
          <w:szCs w:val="24"/>
        </w:rPr>
        <w:t>:</w:t>
      </w:r>
    </w:p>
    <w:p w:rsidR="003B47A7" w:rsidRPr="00B740D5" w:rsidRDefault="003B47A7" w:rsidP="0086464C">
      <w:pPr>
        <w:pStyle w:val="ListParagraph"/>
        <w:rPr>
          <w:sz w:val="24"/>
          <w:szCs w:val="24"/>
        </w:rPr>
      </w:pPr>
    </w:p>
    <w:p w:rsidR="0086464C" w:rsidRDefault="00C26631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Compensation of h</w:t>
      </w:r>
      <w:r w:rsidR="00530DCF" w:rsidRPr="00B740D5">
        <w:rPr>
          <w:sz w:val="24"/>
          <w:szCs w:val="24"/>
        </w:rPr>
        <w:t>igh Doppler</w:t>
      </w:r>
    </w:p>
    <w:p w:rsidR="00530DCF" w:rsidRPr="00B740D5" w:rsidRDefault="00530DCF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Compensation of variation in path delay with time depending on the satellite orbit</w:t>
      </w:r>
    </w:p>
    <w:p w:rsidR="0086464C" w:rsidRPr="00B740D5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740D5">
        <w:rPr>
          <w:sz w:val="24"/>
          <w:szCs w:val="24"/>
        </w:rPr>
        <w:t xml:space="preserve">Flexible </w:t>
      </w:r>
      <w:r>
        <w:rPr>
          <w:sz w:val="24"/>
          <w:szCs w:val="24"/>
        </w:rPr>
        <w:t>ARQ/</w:t>
      </w:r>
      <w:r w:rsidRPr="00B740D5">
        <w:rPr>
          <w:sz w:val="24"/>
          <w:szCs w:val="24"/>
        </w:rPr>
        <w:t>HARQ Design</w:t>
      </w:r>
      <w:r>
        <w:rPr>
          <w:sz w:val="24"/>
          <w:szCs w:val="24"/>
        </w:rPr>
        <w:t xml:space="preserve"> which takes into account the larger delay for feedback</w:t>
      </w:r>
    </w:p>
    <w:p w:rsidR="0086464C" w:rsidRPr="00B740D5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B740D5">
        <w:rPr>
          <w:sz w:val="24"/>
          <w:szCs w:val="24"/>
        </w:rPr>
        <w:t xml:space="preserve">ink adaptation </w:t>
      </w:r>
      <w:r>
        <w:rPr>
          <w:sz w:val="24"/>
          <w:szCs w:val="24"/>
        </w:rPr>
        <w:t xml:space="preserve">(Power and/or modulations coding control loops) </w:t>
      </w:r>
      <w:r w:rsidRPr="00B740D5">
        <w:rPr>
          <w:sz w:val="24"/>
          <w:szCs w:val="24"/>
        </w:rPr>
        <w:t>due to slow feedback</w:t>
      </w:r>
    </w:p>
    <w:p w:rsidR="0086464C" w:rsidRPr="00B740D5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740D5">
        <w:rPr>
          <w:sz w:val="24"/>
          <w:szCs w:val="24"/>
        </w:rPr>
        <w:t>RACH Proce</w:t>
      </w:r>
      <w:r>
        <w:rPr>
          <w:sz w:val="24"/>
          <w:szCs w:val="24"/>
        </w:rPr>
        <w:t>dures able to cope with delay variation</w:t>
      </w:r>
    </w:p>
    <w:p w:rsidR="0086464C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reduction of</w:t>
      </w:r>
      <w:r w:rsidRPr="003C5481">
        <w:rPr>
          <w:sz w:val="24"/>
          <w:szCs w:val="24"/>
        </w:rPr>
        <w:t xml:space="preserve"> the delay for UL </w:t>
      </w:r>
      <w:r>
        <w:rPr>
          <w:sz w:val="24"/>
          <w:szCs w:val="24"/>
        </w:rPr>
        <w:t xml:space="preserve">access </w:t>
      </w:r>
      <w:r w:rsidRPr="003C5481">
        <w:rPr>
          <w:sz w:val="24"/>
          <w:szCs w:val="24"/>
        </w:rPr>
        <w:t>grants</w:t>
      </w:r>
    </w:p>
    <w:p w:rsidR="0086464C" w:rsidRPr="00616C18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Satellite propagation channel characterized by a </w:t>
      </w:r>
      <w:r w:rsidRPr="00616C18">
        <w:rPr>
          <w:sz w:val="24"/>
          <w:szCs w:val="24"/>
        </w:rPr>
        <w:t>Rice and/or one-component Specular propagation channel (rather than Rayleigh), combined with log-normal attenuation</w:t>
      </w:r>
    </w:p>
    <w:p w:rsidR="0086464C" w:rsidRPr="00616C18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Benefit of MIMO is limited for the satellite </w:t>
      </w:r>
      <w:r w:rsidRPr="00616C18">
        <w:rPr>
          <w:sz w:val="24"/>
          <w:szCs w:val="24"/>
        </w:rPr>
        <w:t>channel</w:t>
      </w:r>
      <w:r>
        <w:rPr>
          <w:sz w:val="24"/>
          <w:szCs w:val="24"/>
        </w:rPr>
        <w:t>, polarization MIMO</w:t>
      </w:r>
      <w:r w:rsidRPr="00616C18">
        <w:rPr>
          <w:sz w:val="24"/>
          <w:szCs w:val="24"/>
        </w:rPr>
        <w:t xml:space="preserve"> </w:t>
      </w:r>
      <w:r>
        <w:rPr>
          <w:sz w:val="24"/>
          <w:szCs w:val="24"/>
        </w:rPr>
        <w:t>and Line-of-Sight MIMO should be considered</w:t>
      </w:r>
    </w:p>
    <w:p w:rsidR="0086464C" w:rsidRDefault="0086464C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616C18">
        <w:rPr>
          <w:sz w:val="24"/>
          <w:szCs w:val="24"/>
        </w:rPr>
        <w:t>Lower received signal to noise level due to high path loss over satellite</w:t>
      </w:r>
    </w:p>
    <w:p w:rsidR="00C26631" w:rsidRPr="00616C18" w:rsidRDefault="00C26631" w:rsidP="00EE4EB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Compensation of Phase noise in case of using frequency conversion to higher frequencies of the Uu signal on the satellite link</w:t>
      </w:r>
    </w:p>
    <w:p w:rsidR="0086464C" w:rsidRDefault="0086464C" w:rsidP="0086464C">
      <w:pPr>
        <w:jc w:val="both"/>
        <w:rPr>
          <w:sz w:val="24"/>
          <w:szCs w:val="24"/>
        </w:rPr>
      </w:pPr>
    </w:p>
    <w:p w:rsidR="0086464C" w:rsidRDefault="0086464C" w:rsidP="0086464C">
      <w:pPr>
        <w:jc w:val="both"/>
        <w:rPr>
          <w:sz w:val="24"/>
          <w:szCs w:val="24"/>
        </w:rPr>
      </w:pPr>
      <w:r>
        <w:rPr>
          <w:sz w:val="24"/>
          <w:szCs w:val="24"/>
        </w:rPr>
        <w:t>These considerations will require some specific configurations of the procedures and possibly enhanced flexibility in the 3GPP Next Gen RAT design to accommodate these specific constraints.</w:t>
      </w:r>
    </w:p>
    <w:p w:rsidR="0086464C" w:rsidRDefault="0086464C" w:rsidP="0086464C">
      <w:pPr>
        <w:jc w:val="both"/>
        <w:rPr>
          <w:sz w:val="24"/>
          <w:szCs w:val="24"/>
        </w:rPr>
      </w:pPr>
    </w:p>
    <w:p w:rsidR="00F95EFB" w:rsidRPr="006A1A84" w:rsidRDefault="00F95EFB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Summary</w:t>
      </w:r>
    </w:p>
    <w:p w:rsidR="000852A4" w:rsidRDefault="00F95EFB" w:rsidP="000852A4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0852A4">
        <w:rPr>
          <w:sz w:val="24"/>
          <w:szCs w:val="24"/>
        </w:rPr>
        <w:t>his</w:t>
      </w:r>
      <w:r w:rsidR="000852A4" w:rsidRPr="000852A4">
        <w:rPr>
          <w:sz w:val="24"/>
          <w:szCs w:val="24"/>
        </w:rPr>
        <w:t xml:space="preserve"> contribution</w:t>
      </w:r>
      <w:r w:rsidR="000852A4">
        <w:rPr>
          <w:sz w:val="24"/>
          <w:szCs w:val="24"/>
        </w:rPr>
        <w:t xml:space="preserve"> enumerate</w:t>
      </w:r>
      <w:r>
        <w:rPr>
          <w:sz w:val="24"/>
          <w:szCs w:val="24"/>
        </w:rPr>
        <w:t>s</w:t>
      </w:r>
      <w:r w:rsidR="000852A4" w:rsidRPr="000852A4">
        <w:rPr>
          <w:sz w:val="24"/>
          <w:szCs w:val="24"/>
        </w:rPr>
        <w:t xml:space="preserve"> </w:t>
      </w:r>
      <w:r w:rsidR="003B47A7">
        <w:rPr>
          <w:sz w:val="24"/>
          <w:szCs w:val="24"/>
        </w:rPr>
        <w:t>briefly several</w:t>
      </w:r>
      <w:r w:rsidR="000852A4" w:rsidRPr="000852A4">
        <w:rPr>
          <w:sz w:val="24"/>
          <w:szCs w:val="24"/>
        </w:rPr>
        <w:t xml:space="preserve"> satellite aspects and </w:t>
      </w:r>
      <w:r>
        <w:rPr>
          <w:sz w:val="24"/>
          <w:szCs w:val="24"/>
        </w:rPr>
        <w:t>consideration</w:t>
      </w:r>
      <w:r w:rsidR="000852A4" w:rsidRPr="000852A4">
        <w:rPr>
          <w:sz w:val="24"/>
          <w:szCs w:val="24"/>
        </w:rPr>
        <w:t xml:space="preserve"> that </w:t>
      </w:r>
      <w:r w:rsidR="003B47A7">
        <w:rPr>
          <w:sz w:val="24"/>
          <w:szCs w:val="24"/>
        </w:rPr>
        <w:t xml:space="preserve">will </w:t>
      </w:r>
      <w:r w:rsidR="000852A4" w:rsidRPr="000852A4">
        <w:rPr>
          <w:sz w:val="24"/>
          <w:szCs w:val="24"/>
        </w:rPr>
        <w:t xml:space="preserve">assist in </w:t>
      </w:r>
      <w:r w:rsidR="003B47A7">
        <w:rPr>
          <w:sz w:val="24"/>
          <w:szCs w:val="24"/>
        </w:rPr>
        <w:t xml:space="preserve">the design and </w:t>
      </w:r>
      <w:r w:rsidR="000852A4" w:rsidRPr="000852A4">
        <w:rPr>
          <w:sz w:val="24"/>
          <w:szCs w:val="24"/>
        </w:rPr>
        <w:t xml:space="preserve">modeling of </w:t>
      </w:r>
      <w:r w:rsidR="003B47A7">
        <w:rPr>
          <w:sz w:val="24"/>
          <w:szCs w:val="24"/>
        </w:rPr>
        <w:t xml:space="preserve">the </w:t>
      </w:r>
      <w:r w:rsidR="000852A4" w:rsidRPr="000852A4">
        <w:rPr>
          <w:sz w:val="24"/>
          <w:szCs w:val="24"/>
        </w:rPr>
        <w:t xml:space="preserve">NextGen satellite network. </w:t>
      </w:r>
    </w:p>
    <w:p w:rsidR="007B6675" w:rsidRDefault="007B6675" w:rsidP="007B6675">
      <w:pPr>
        <w:jc w:val="both"/>
        <w:rPr>
          <w:sz w:val="24"/>
          <w:szCs w:val="24"/>
        </w:rPr>
      </w:pPr>
    </w:p>
    <w:p w:rsidR="007B6675" w:rsidRDefault="007B6675" w:rsidP="007B6675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References</w:t>
      </w:r>
    </w:p>
    <w:p w:rsidR="007B6675" w:rsidRPr="00F55602" w:rsidRDefault="007B6675" w:rsidP="007B6675"/>
    <w:p w:rsidR="000C7447" w:rsidRPr="0002546D" w:rsidRDefault="000C7447" w:rsidP="00EE4EB4">
      <w:pPr>
        <w:jc w:val="both"/>
        <w:rPr>
          <w:sz w:val="24"/>
        </w:rPr>
      </w:pPr>
      <w:r w:rsidRPr="0002546D">
        <w:rPr>
          <w:sz w:val="24"/>
        </w:rPr>
        <w:t>[1] 3GPP TR 22.891, “Feasibility Study on New Services and Markets Technology Enablers; Stage 1, Release 14”</w:t>
      </w:r>
    </w:p>
    <w:p w:rsidR="000C7447" w:rsidRPr="0002546D" w:rsidRDefault="000C7447" w:rsidP="00EE4EB4">
      <w:pPr>
        <w:jc w:val="both"/>
        <w:rPr>
          <w:sz w:val="24"/>
          <w:lang w:eastAsia="zh-CN"/>
        </w:rPr>
      </w:pPr>
      <w:r w:rsidRPr="0002546D">
        <w:rPr>
          <w:sz w:val="24"/>
          <w:lang w:eastAsia="zh-CN"/>
        </w:rPr>
        <w:t>[2] 3GPP TR 38.931, “Study on Scenarios and Requirements for Next Generation Access Technologies, Release 14”</w:t>
      </w:r>
    </w:p>
    <w:p w:rsidR="00E22F3B" w:rsidRDefault="00D9398F" w:rsidP="000852A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[3] 3GPP TR 23.799, “Study on Architecture for Next Generation System, Release 14”</w:t>
      </w:r>
    </w:p>
    <w:p w:rsidR="00D9398F" w:rsidRPr="0087550C" w:rsidRDefault="00D9398F" w:rsidP="00D9398F">
      <w:pPr>
        <w:jc w:val="both"/>
        <w:rPr>
          <w:sz w:val="24"/>
          <w:szCs w:val="24"/>
          <w:lang w:val="en-GB"/>
        </w:rPr>
      </w:pPr>
    </w:p>
    <w:sectPr w:rsidR="00D9398F" w:rsidRPr="008755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330CB"/>
    <w:rsid w:val="000648F1"/>
    <w:rsid w:val="000746F1"/>
    <w:rsid w:val="000852A4"/>
    <w:rsid w:val="000C7447"/>
    <w:rsid w:val="000E7F24"/>
    <w:rsid w:val="0010616A"/>
    <w:rsid w:val="00110759"/>
    <w:rsid w:val="00132E99"/>
    <w:rsid w:val="00187C6F"/>
    <w:rsid w:val="001A5D61"/>
    <w:rsid w:val="001D7850"/>
    <w:rsid w:val="001E1EC4"/>
    <w:rsid w:val="00231EB5"/>
    <w:rsid w:val="002B0B4B"/>
    <w:rsid w:val="002B4623"/>
    <w:rsid w:val="002E1513"/>
    <w:rsid w:val="00395995"/>
    <w:rsid w:val="003B47A7"/>
    <w:rsid w:val="003D7128"/>
    <w:rsid w:val="003F6482"/>
    <w:rsid w:val="0041109B"/>
    <w:rsid w:val="00413E0F"/>
    <w:rsid w:val="004C5F6D"/>
    <w:rsid w:val="00530DCF"/>
    <w:rsid w:val="0053790E"/>
    <w:rsid w:val="00584949"/>
    <w:rsid w:val="00651485"/>
    <w:rsid w:val="00664BA3"/>
    <w:rsid w:val="006A1A84"/>
    <w:rsid w:val="00714CCC"/>
    <w:rsid w:val="00763492"/>
    <w:rsid w:val="007762C7"/>
    <w:rsid w:val="007B02FF"/>
    <w:rsid w:val="007B6675"/>
    <w:rsid w:val="007C3C38"/>
    <w:rsid w:val="008230F0"/>
    <w:rsid w:val="008344EF"/>
    <w:rsid w:val="008620EC"/>
    <w:rsid w:val="0086464C"/>
    <w:rsid w:val="0087550C"/>
    <w:rsid w:val="00877AF9"/>
    <w:rsid w:val="008B75C8"/>
    <w:rsid w:val="008F7FBF"/>
    <w:rsid w:val="00924280"/>
    <w:rsid w:val="009F110A"/>
    <w:rsid w:val="009F56DA"/>
    <w:rsid w:val="00AD7E4C"/>
    <w:rsid w:val="00B00552"/>
    <w:rsid w:val="00B044EA"/>
    <w:rsid w:val="00B2320A"/>
    <w:rsid w:val="00B740D5"/>
    <w:rsid w:val="00BB7706"/>
    <w:rsid w:val="00BF7226"/>
    <w:rsid w:val="00C26631"/>
    <w:rsid w:val="00C4425D"/>
    <w:rsid w:val="00C969BD"/>
    <w:rsid w:val="00CE0752"/>
    <w:rsid w:val="00D00BA5"/>
    <w:rsid w:val="00D46C0D"/>
    <w:rsid w:val="00D90826"/>
    <w:rsid w:val="00D9398F"/>
    <w:rsid w:val="00DD7407"/>
    <w:rsid w:val="00DF436E"/>
    <w:rsid w:val="00E22F3B"/>
    <w:rsid w:val="00E447DE"/>
    <w:rsid w:val="00EC0444"/>
    <w:rsid w:val="00EE4EB4"/>
    <w:rsid w:val="00F06DF9"/>
    <w:rsid w:val="00F81C3F"/>
    <w:rsid w:val="00F9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9928397-07A7-4C07-8A7F-D112A5D4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Alasti, Mehdi</cp:lastModifiedBy>
  <cp:revision>4</cp:revision>
  <dcterms:created xsi:type="dcterms:W3CDTF">2016-09-29T18:40:00Z</dcterms:created>
  <dcterms:modified xsi:type="dcterms:W3CDTF">2016-09-30T18:48:00Z</dcterms:modified>
</cp:coreProperties>
</file>