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2E05FE9" w14:textId="27303C0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1B0075">
        <w:rPr>
          <w:rFonts w:cs="Arial" w:hint="eastAsia"/>
          <w:bCs/>
          <w:sz w:val="20"/>
          <w:lang w:eastAsia="ja-JP"/>
        </w:rPr>
        <w:t>6</w:t>
      </w:r>
      <w:r w:rsidR="00AE28C9">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B36325">
        <w:rPr>
          <w:rFonts w:cs="Arial" w:hint="eastAsia"/>
          <w:bCs/>
          <w:sz w:val="20"/>
          <w:lang w:eastAsia="ja-JP"/>
        </w:rPr>
        <w:t xml:space="preserve">          </w:t>
      </w:r>
      <w:r>
        <w:rPr>
          <w:rFonts w:cs="Arial" w:hint="eastAsia"/>
          <w:bCs/>
          <w:sz w:val="20"/>
          <w:lang w:eastAsia="ja-JP"/>
        </w:rPr>
        <w:t xml:space="preserve">    </w:t>
      </w:r>
      <w:r w:rsidR="00B36325" w:rsidRPr="00B36325">
        <w:rPr>
          <w:rFonts w:cs="Arial"/>
          <w:bCs/>
          <w:sz w:val="20"/>
          <w:lang w:eastAsia="ja-JP"/>
        </w:rPr>
        <w:t>R1-1609700</w:t>
      </w:r>
    </w:p>
    <w:p w14:paraId="14CC3E1F" w14:textId="1EAAE1AD" w:rsidR="00941D27" w:rsidRPr="0093682F" w:rsidRDefault="00AE28C9" w:rsidP="00941D27">
      <w:pPr>
        <w:pStyle w:val="TdocHeader2"/>
        <w:jc w:val="left"/>
        <w:rPr>
          <w:rFonts w:eastAsiaTheme="minorEastAsia"/>
          <w:lang w:val="en-US"/>
        </w:rPr>
      </w:pPr>
      <w:r>
        <w:rPr>
          <w:rFonts w:eastAsia="ＭＳ 明朝" w:cs="Arial" w:hint="eastAsia"/>
          <w:bCs/>
          <w:sz w:val="20"/>
          <w:lang w:val="en-US" w:eastAsia="ja-JP"/>
        </w:rPr>
        <w:t>Lisbon</w:t>
      </w:r>
      <w:r w:rsidR="00100F32" w:rsidRPr="00100F32">
        <w:rPr>
          <w:rFonts w:eastAsia="ＭＳ 明朝" w:cs="Arial"/>
          <w:bCs/>
          <w:sz w:val="20"/>
          <w:lang w:val="en-US" w:eastAsia="ja-JP"/>
        </w:rPr>
        <w:t xml:space="preserve">, </w:t>
      </w:r>
      <w:r>
        <w:rPr>
          <w:rFonts w:eastAsia="ＭＳ 明朝" w:cs="Arial" w:hint="eastAsia"/>
          <w:bCs/>
          <w:sz w:val="20"/>
          <w:lang w:val="en-US" w:eastAsia="ja-JP"/>
        </w:rPr>
        <w:t>Portugal</w:t>
      </w:r>
      <w:r w:rsidR="00100F32" w:rsidRPr="00100F32">
        <w:rPr>
          <w:rFonts w:eastAsia="ＭＳ 明朝" w:cs="Arial"/>
          <w:bCs/>
          <w:sz w:val="20"/>
          <w:lang w:val="en-US" w:eastAsia="ja-JP"/>
        </w:rPr>
        <w:t xml:space="preserve"> </w:t>
      </w:r>
      <w:r>
        <w:rPr>
          <w:rFonts w:eastAsia="ＭＳ 明朝" w:cs="Arial" w:hint="eastAsia"/>
          <w:bCs/>
          <w:sz w:val="20"/>
          <w:lang w:val="en-US" w:eastAsia="ja-JP"/>
        </w:rPr>
        <w:t>10th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14</w:t>
      </w:r>
      <w:r w:rsidR="00100F32" w:rsidRPr="00100F32">
        <w:rPr>
          <w:rFonts w:eastAsia="ＭＳ 明朝" w:cs="Arial"/>
          <w:bCs/>
          <w:sz w:val="20"/>
          <w:lang w:val="en-US" w:eastAsia="ja-JP"/>
        </w:rPr>
        <w:t xml:space="preserve">6th </w:t>
      </w:r>
      <w:r>
        <w:rPr>
          <w:rFonts w:eastAsia="ＭＳ 明朝" w:cs="Arial" w:hint="eastAsia"/>
          <w:bCs/>
          <w:sz w:val="20"/>
          <w:lang w:val="en-US" w:eastAsia="ja-JP"/>
        </w:rPr>
        <w:t>October</w:t>
      </w:r>
      <w:r w:rsidR="00100F32" w:rsidRPr="00100F32">
        <w:rPr>
          <w:rFonts w:eastAsia="ＭＳ 明朝" w:cs="Arial"/>
          <w:bCs/>
          <w:sz w:val="20"/>
          <w:lang w:val="en-US" w:eastAsia="ja-JP"/>
        </w:rPr>
        <w:t xml:space="preserve">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2E8FE90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44BF1">
        <w:rPr>
          <w:rFonts w:eastAsia="ＭＳ 明朝" w:hint="eastAsia"/>
          <w:b w:val="0"/>
          <w:sz w:val="20"/>
          <w:lang w:eastAsia="ja-JP"/>
        </w:rPr>
        <w:t xml:space="preserve">Remaining </w:t>
      </w:r>
      <w:r w:rsidR="00717E8E">
        <w:rPr>
          <w:rFonts w:eastAsia="ＭＳ 明朝" w:hint="eastAsia"/>
          <w:b w:val="0"/>
          <w:sz w:val="20"/>
          <w:lang w:eastAsia="ja-JP"/>
        </w:rPr>
        <w:t>frame structure discussion</w:t>
      </w:r>
    </w:p>
    <w:p w14:paraId="5CD465CE" w14:textId="618C109F"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AE28C9">
        <w:rPr>
          <w:rFonts w:ascii="Arial" w:hAnsi="Arial" w:hint="eastAsia"/>
          <w:lang w:eastAsia="ja-JP"/>
        </w:rPr>
        <w:t>2.</w:t>
      </w:r>
      <w:r w:rsidR="00503DCF">
        <w:rPr>
          <w:rFonts w:ascii="Arial" w:hAnsi="Arial" w:hint="eastAsia"/>
          <w:lang w:eastAsia="ja-JP"/>
        </w:rPr>
        <w:t>2</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5E2CC516" w14:textId="52F89D0F" w:rsidR="00A22D0C"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AD2A18">
        <w:rPr>
          <w:rFonts w:hint="eastAsia"/>
          <w:lang w:eastAsia="ja-JP"/>
        </w:rPr>
        <w:t xml:space="preserve"> </w:t>
      </w:r>
      <w:r w:rsidR="00A62D4D">
        <w:rPr>
          <w:rFonts w:hint="eastAsia"/>
          <w:lang w:eastAsia="ja-JP"/>
        </w:rPr>
        <w:t>the remaining frame structure discussion.</w:t>
      </w:r>
    </w:p>
    <w:p w14:paraId="3577D2DA" w14:textId="77777777" w:rsidR="00AD2A18" w:rsidRPr="00CB0F2D" w:rsidRDefault="00AD2A18" w:rsidP="00AD2A18">
      <w:pPr>
        <w:tabs>
          <w:tab w:val="left" w:pos="4008"/>
        </w:tabs>
        <w:rPr>
          <w:lang w:eastAsia="ja-JP"/>
        </w:rPr>
      </w:pPr>
    </w:p>
    <w:bookmarkEnd w:id="1"/>
    <w:bookmarkEnd w:id="2"/>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48B4F7C6" w14:textId="22C73A1B" w:rsidR="00E028BD" w:rsidRPr="007B7205" w:rsidRDefault="00CF4653" w:rsidP="00E028BD">
      <w:pPr>
        <w:tabs>
          <w:tab w:val="left" w:pos="0"/>
        </w:tabs>
        <w:spacing w:beforeLines="50" w:before="120" w:after="0"/>
        <w:rPr>
          <w:b/>
          <w:u w:val="single"/>
          <w:lang w:eastAsia="ja-JP"/>
        </w:rPr>
      </w:pPr>
      <w:r>
        <w:rPr>
          <w:rFonts w:hint="eastAsia"/>
          <w:b/>
          <w:u w:val="single"/>
          <w:lang w:eastAsia="ja-JP"/>
        </w:rPr>
        <w:t>Usage of slot and corresponding length</w:t>
      </w:r>
    </w:p>
    <w:p w14:paraId="1DDE9AAE" w14:textId="1DE2048C" w:rsidR="00832F7A" w:rsidRDefault="00832F7A" w:rsidP="008904BC">
      <w:pPr>
        <w:tabs>
          <w:tab w:val="left" w:pos="0"/>
        </w:tabs>
        <w:spacing w:beforeLines="50" w:before="120" w:after="0"/>
        <w:ind w:left="568"/>
        <w:rPr>
          <w:lang w:eastAsia="ja-JP"/>
        </w:rPr>
      </w:pPr>
      <w:r>
        <w:rPr>
          <w:rFonts w:hint="eastAsia"/>
          <w:lang w:eastAsia="ja-JP"/>
        </w:rPr>
        <w:t xml:space="preserve">Our view on slot usage and corresponding usage is described in the email discussion on </w:t>
      </w:r>
      <w:r w:rsidRPr="00832F7A">
        <w:rPr>
          <w:lang w:eastAsia="ja-JP"/>
        </w:rPr>
        <w:t>[86-19] Email Discussion</w:t>
      </w:r>
      <w:r>
        <w:rPr>
          <w:rFonts w:hint="eastAsia"/>
          <w:lang w:eastAsia="ja-JP"/>
        </w:rPr>
        <w:t>. Following is the copy of the description.</w:t>
      </w:r>
    </w:p>
    <w:p w14:paraId="5835AAB0" w14:textId="77777777" w:rsidR="00832F7A" w:rsidRDefault="00832F7A" w:rsidP="008904BC">
      <w:pPr>
        <w:tabs>
          <w:tab w:val="left" w:pos="0"/>
        </w:tabs>
        <w:spacing w:beforeLines="50" w:before="120" w:after="0"/>
        <w:ind w:left="568"/>
        <w:rPr>
          <w:lang w:eastAsia="ja-JP"/>
        </w:rPr>
      </w:pPr>
    </w:p>
    <w:tbl>
      <w:tblPr>
        <w:tblStyle w:val="TableGridLight1"/>
        <w:tblW w:w="0" w:type="auto"/>
        <w:tblLayout w:type="fixed"/>
        <w:tblLook w:val="04A0" w:firstRow="1" w:lastRow="0" w:firstColumn="1" w:lastColumn="0" w:noHBand="0" w:noVBand="1"/>
      </w:tblPr>
      <w:tblGrid>
        <w:gridCol w:w="817"/>
        <w:gridCol w:w="9039"/>
      </w:tblGrid>
      <w:tr w:rsidR="00D827CD" w:rsidRPr="00D827CD" w14:paraId="7640B927" w14:textId="77777777" w:rsidTr="00D827CD">
        <w:tc>
          <w:tcPr>
            <w:tcW w:w="817" w:type="dxa"/>
          </w:tcPr>
          <w:p w14:paraId="2F61108B" w14:textId="61DFE60A" w:rsidR="00D827CD" w:rsidRPr="00D827CD" w:rsidRDefault="00D827CD" w:rsidP="00634F40">
            <w:pPr>
              <w:rPr>
                <w:rFonts w:ascii="Times New Roman" w:eastAsia="ＭＳ 明朝" w:hAnsi="Times New Roman"/>
                <w:lang w:eastAsia="ja-JP"/>
              </w:rPr>
            </w:pPr>
          </w:p>
        </w:tc>
        <w:tc>
          <w:tcPr>
            <w:tcW w:w="9039" w:type="dxa"/>
          </w:tcPr>
          <w:p w14:paraId="39C483F5" w14:textId="77777777" w:rsidR="00D827CD" w:rsidRPr="00D827CD" w:rsidRDefault="00D827CD" w:rsidP="00634F40">
            <w:pPr>
              <w:snapToGrid w:val="0"/>
              <w:spacing w:after="0"/>
              <w:rPr>
                <w:rFonts w:ascii="Times New Roman" w:eastAsia="ＭＳ 明朝" w:hAnsi="Times New Roman"/>
                <w:lang w:eastAsia="ja-JP"/>
              </w:rPr>
            </w:pPr>
            <w:r w:rsidRPr="00D827CD">
              <w:rPr>
                <w:rFonts w:ascii="Times New Roman" w:eastAsia="ＭＳ 明朝" w:hAnsi="Times New Roman"/>
                <w:lang w:eastAsia="ja-JP"/>
              </w:rPr>
              <w:t xml:space="preserve">Our usage is "within a slot, at maximum one Tx/Rx switching " and "mini-slot as the minimum TTI length". Therefore, how often Tx/Rx switching occurs determines slot length. TTI length determines mini-slot length. </w:t>
            </w:r>
          </w:p>
          <w:p w14:paraId="43071137" w14:textId="77777777" w:rsidR="00D827CD" w:rsidRPr="00D827CD" w:rsidRDefault="00D827CD" w:rsidP="00634F40">
            <w:pPr>
              <w:snapToGrid w:val="0"/>
              <w:spacing w:after="0"/>
              <w:rPr>
                <w:rFonts w:ascii="Times New Roman" w:eastAsia="ＭＳ 明朝" w:hAnsi="Times New Roman"/>
                <w:lang w:eastAsia="ja-JP"/>
              </w:rPr>
            </w:pPr>
          </w:p>
          <w:p w14:paraId="012C4233" w14:textId="101129E0" w:rsidR="00D827CD" w:rsidRPr="00D827CD" w:rsidRDefault="00D827CD" w:rsidP="00634F40">
            <w:pPr>
              <w:snapToGrid w:val="0"/>
              <w:spacing w:after="0"/>
              <w:rPr>
                <w:rFonts w:ascii="Times New Roman" w:eastAsia="ＭＳ 明朝" w:hAnsi="Times New Roman"/>
                <w:lang w:eastAsia="ja-JP"/>
              </w:rPr>
            </w:pPr>
            <w:r w:rsidRPr="00D827CD">
              <w:rPr>
                <w:rFonts w:ascii="Times New Roman" w:eastAsia="ＭＳ 明朝" w:hAnsi="Times New Roman"/>
                <w:lang w:eastAsia="ja-JP"/>
              </w:rPr>
              <w:t xml:space="preserve">For 15 kHz subcarrier spacing, we see the need of similar DL/UL switching behaviour over 1ms with special subframe for the case that the </w:t>
            </w:r>
            <w:r w:rsidR="00C3041F" w:rsidRPr="00D827CD">
              <w:rPr>
                <w:rFonts w:ascii="Times New Roman" w:eastAsia="ＭＳ 明朝" w:hAnsi="Times New Roman"/>
                <w:lang w:eastAsia="ja-JP"/>
              </w:rPr>
              <w:t>neighbour</w:t>
            </w:r>
            <w:r w:rsidRPr="00D827CD">
              <w:rPr>
                <w:rFonts w:ascii="Times New Roman" w:eastAsia="ＭＳ 明朝" w:hAnsi="Times New Roman"/>
                <w:lang w:eastAsia="ja-JP"/>
              </w:rPr>
              <w:t xml:space="preserve"> cells are LTE TDD. In addition, one symbol granularity is large. Therefore, at least 14 symbol slot length should be supported. For 60 kHz or higher, TTI corresponding to 0.125 ms would be sufficient as the minimum granularity. Currently UE's RF transition time of on/off and power change is the order of 20 to 40 usec. Although we should reduce such transition time in NR, these numbers would not be scale well. Therefore, our view is 0.125 ms (125 usec) would be sufficient minimum granularity. Further elaboration is described below.</w:t>
            </w:r>
          </w:p>
          <w:p w14:paraId="19F4627D" w14:textId="77777777" w:rsidR="00D827CD" w:rsidRPr="00D827CD" w:rsidRDefault="00D827CD" w:rsidP="00634F40">
            <w:pPr>
              <w:snapToGrid w:val="0"/>
              <w:spacing w:after="0"/>
              <w:rPr>
                <w:rFonts w:ascii="Times New Roman" w:eastAsia="ＭＳ 明朝" w:hAnsi="Times New Roman"/>
                <w:lang w:eastAsia="ja-JP"/>
              </w:rPr>
            </w:pPr>
            <w:r w:rsidRPr="00D827CD">
              <w:rPr>
                <w:rFonts w:ascii="Times New Roman" w:eastAsia="ＭＳ 明朝" w:hAnsi="Times New Roman"/>
                <w:lang w:eastAsia="ja-JP"/>
              </w:rPr>
              <w:t xml:space="preserve"> </w:t>
            </w:r>
          </w:p>
          <w:p w14:paraId="4F732595" w14:textId="77777777" w:rsidR="00D827CD" w:rsidRPr="00D827CD" w:rsidRDefault="00D827CD" w:rsidP="00634F40">
            <w:pPr>
              <w:snapToGrid w:val="0"/>
              <w:spacing w:after="0"/>
              <w:rPr>
                <w:rFonts w:ascii="Times New Roman" w:eastAsia="ＭＳ 明朝" w:hAnsi="Times New Roman"/>
                <w:lang w:eastAsia="ja-JP"/>
              </w:rPr>
            </w:pPr>
            <w:r w:rsidRPr="00D827CD">
              <w:rPr>
                <w:rFonts w:ascii="Times New Roman" w:eastAsia="ＭＳ 明朝" w:hAnsi="Times New Roman"/>
                <w:lang w:eastAsia="ja-JP"/>
              </w:rPr>
              <w:t>For 15 kHz subcarrier spacing:</w:t>
            </w:r>
          </w:p>
          <w:p w14:paraId="0F75B81C" w14:textId="77777777" w:rsidR="00D827CD" w:rsidRPr="00D827CD" w:rsidRDefault="00D827CD" w:rsidP="00634F40">
            <w:pPr>
              <w:snapToGrid w:val="0"/>
              <w:spacing w:after="0"/>
              <w:ind w:left="288"/>
              <w:rPr>
                <w:rFonts w:ascii="Times New Roman" w:eastAsia="ＭＳ 明朝" w:hAnsi="Times New Roman"/>
                <w:lang w:eastAsia="ja-JP"/>
              </w:rPr>
            </w:pPr>
            <w:r w:rsidRPr="00D827CD">
              <w:rPr>
                <w:rFonts w:ascii="Times New Roman" w:eastAsia="ＭＳ 明朝" w:hAnsi="Times New Roman"/>
                <w:lang w:eastAsia="ja-JP"/>
              </w:rPr>
              <w:t xml:space="preserve">- eMBB:  </w:t>
            </w:r>
          </w:p>
          <w:p w14:paraId="3224C66A" w14:textId="77777777" w:rsidR="00D827CD" w:rsidRPr="00D827CD" w:rsidRDefault="00D827CD" w:rsidP="00634F40">
            <w:pPr>
              <w:snapToGrid w:val="0"/>
              <w:spacing w:after="0"/>
              <w:ind w:left="576"/>
              <w:rPr>
                <w:rFonts w:ascii="Times New Roman" w:eastAsia="ＭＳ 明朝" w:hAnsi="Times New Roman"/>
                <w:lang w:eastAsia="ja-JP"/>
              </w:rPr>
            </w:pPr>
            <w:r w:rsidRPr="00D827CD">
              <w:rPr>
                <w:rFonts w:ascii="Times New Roman" w:eastAsia="ＭＳ 明朝" w:hAnsi="Times New Roman"/>
                <w:lang w:eastAsia="ja-JP"/>
              </w:rPr>
              <w:t>- Slot length is 14 symbols (1ms).  Mini-slot length can be 2, 5, 6 symbols.</w:t>
            </w:r>
          </w:p>
          <w:p w14:paraId="47DCABD8" w14:textId="77777777" w:rsidR="00D827CD" w:rsidRPr="00D827CD" w:rsidRDefault="00D827CD" w:rsidP="00634F40">
            <w:pPr>
              <w:snapToGrid w:val="0"/>
              <w:spacing w:after="0"/>
              <w:ind w:left="576"/>
              <w:rPr>
                <w:rFonts w:ascii="Times New Roman" w:eastAsia="ＭＳ 明朝" w:hAnsi="Times New Roman"/>
                <w:lang w:eastAsia="ja-JP"/>
              </w:rPr>
            </w:pPr>
          </w:p>
          <w:p w14:paraId="77B9676A" w14:textId="77777777" w:rsidR="00D827CD" w:rsidRPr="00D827CD" w:rsidRDefault="00D827CD" w:rsidP="00634F40">
            <w:pPr>
              <w:snapToGrid w:val="0"/>
              <w:spacing w:after="0"/>
              <w:ind w:left="576"/>
              <w:rPr>
                <w:rFonts w:ascii="Times New Roman" w:eastAsia="ＭＳ 明朝" w:hAnsi="Times New Roman"/>
                <w:lang w:eastAsia="ja-JP"/>
              </w:rPr>
            </w:pPr>
            <w:r w:rsidRPr="00D827CD">
              <w:rPr>
                <w:rFonts w:ascii="Times New Roman" w:eastAsia="ＭＳ 明朝" w:hAnsi="Times New Roman"/>
              </w:rPr>
              <w:object w:dxaOrig="8272" w:dyaOrig="1610" w14:anchorId="6F710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81.4pt" o:ole="">
                  <v:imagedata r:id="rId10" o:title=""/>
                </v:shape>
                <o:OLEObject Type="Embed" ProgID="Visio.Drawing.15" ShapeID="_x0000_i1025" DrawAspect="Content" ObjectID="_1536779704" r:id="rId11"/>
              </w:object>
            </w:r>
          </w:p>
          <w:p w14:paraId="1EC14791" w14:textId="77777777" w:rsidR="00D827CD" w:rsidRPr="00D827CD" w:rsidRDefault="00D827CD" w:rsidP="00634F40">
            <w:pPr>
              <w:snapToGrid w:val="0"/>
              <w:spacing w:after="0"/>
              <w:ind w:left="576"/>
              <w:rPr>
                <w:rFonts w:ascii="Times New Roman" w:eastAsia="ＭＳ 明朝" w:hAnsi="Times New Roman"/>
                <w:lang w:eastAsia="ja-JP"/>
              </w:rPr>
            </w:pPr>
            <w:r w:rsidRPr="00D827CD">
              <w:rPr>
                <w:rFonts w:ascii="Times New Roman" w:eastAsia="ＭＳ 明朝" w:hAnsi="Times New Roman"/>
              </w:rPr>
              <w:object w:dxaOrig="8272" w:dyaOrig="1610" w14:anchorId="5E2AEA08">
                <v:shape id="_x0000_i1026" type="#_x0000_t75" style="width:413.85pt;height:80.15pt" o:ole="">
                  <v:imagedata r:id="rId12" o:title=""/>
                </v:shape>
                <o:OLEObject Type="Embed" ProgID="Visio.Drawing.15" ShapeID="_x0000_i1026" DrawAspect="Content" ObjectID="_1536779705" r:id="rId13"/>
              </w:object>
            </w:r>
          </w:p>
          <w:p w14:paraId="77E35B77" w14:textId="77777777" w:rsidR="00D827CD" w:rsidRPr="00D827CD" w:rsidRDefault="00D827CD" w:rsidP="00634F40">
            <w:pPr>
              <w:snapToGrid w:val="0"/>
              <w:spacing w:after="0"/>
              <w:ind w:left="576"/>
              <w:rPr>
                <w:rFonts w:ascii="Times New Roman" w:eastAsia="ＭＳ 明朝" w:hAnsi="Times New Roman"/>
                <w:lang w:eastAsia="ja-JP"/>
              </w:rPr>
            </w:pPr>
            <w:r w:rsidRPr="00D827CD">
              <w:rPr>
                <w:rFonts w:ascii="Times New Roman" w:eastAsia="ＭＳ 明朝" w:hAnsi="Times New Roman"/>
                <w:lang w:eastAsia="ja-JP"/>
              </w:rPr>
              <w:t>- We are also ok to support slot length 7 symbols (0.5ms) in addition. This is for latency reduction purpose if necessary.</w:t>
            </w:r>
          </w:p>
          <w:p w14:paraId="6838E39B" w14:textId="77777777" w:rsidR="00D827CD" w:rsidRPr="00D827CD" w:rsidRDefault="00D827CD" w:rsidP="00634F40">
            <w:pPr>
              <w:snapToGrid w:val="0"/>
              <w:spacing w:after="0"/>
              <w:ind w:left="288"/>
              <w:rPr>
                <w:rFonts w:ascii="Times New Roman" w:eastAsia="ＭＳ 明朝" w:hAnsi="Times New Roman"/>
                <w:lang w:eastAsia="ja-JP"/>
              </w:rPr>
            </w:pPr>
            <w:r w:rsidRPr="00D827CD">
              <w:rPr>
                <w:rFonts w:ascii="Times New Roman" w:eastAsia="ＭＳ 明朝" w:hAnsi="Times New Roman"/>
                <w:lang w:eastAsia="ja-JP"/>
              </w:rPr>
              <w:t>- URLLC:</w:t>
            </w:r>
          </w:p>
          <w:p w14:paraId="6980A96B" w14:textId="77777777" w:rsidR="00D827CD" w:rsidRPr="00D827CD" w:rsidRDefault="00D827CD" w:rsidP="00634F40">
            <w:pPr>
              <w:snapToGrid w:val="0"/>
              <w:spacing w:after="0"/>
              <w:ind w:left="576"/>
              <w:rPr>
                <w:rFonts w:ascii="Times New Roman" w:eastAsia="ＭＳ 明朝" w:hAnsi="Times New Roman"/>
                <w:lang w:eastAsia="ja-JP"/>
              </w:rPr>
            </w:pPr>
            <w:r w:rsidRPr="00D827CD">
              <w:rPr>
                <w:rFonts w:ascii="Times New Roman" w:eastAsia="ＭＳ 明朝" w:hAnsi="Times New Roman"/>
                <w:lang w:eastAsia="ja-JP"/>
              </w:rPr>
              <w:t>- Same as EMBB. Mini-slot with FDD is used to satisfy latency requirement if 15 kHz subcarrier spacing is used. Or to use higher subcarrier spacing described below.</w:t>
            </w:r>
          </w:p>
          <w:p w14:paraId="07F04E3C" w14:textId="77777777" w:rsidR="00D827CD" w:rsidRPr="00D827CD" w:rsidRDefault="00D827CD" w:rsidP="00634F40">
            <w:pPr>
              <w:snapToGrid w:val="0"/>
              <w:spacing w:after="0"/>
              <w:ind w:left="288"/>
              <w:rPr>
                <w:rFonts w:ascii="Times New Roman" w:eastAsia="ＭＳ 明朝" w:hAnsi="Times New Roman"/>
                <w:lang w:eastAsia="ja-JP"/>
              </w:rPr>
            </w:pPr>
            <w:r w:rsidRPr="00D827CD">
              <w:rPr>
                <w:rFonts w:ascii="Times New Roman" w:eastAsia="ＭＳ 明朝" w:hAnsi="Times New Roman"/>
                <w:lang w:eastAsia="ja-JP"/>
              </w:rPr>
              <w:t>- mMTC:</w:t>
            </w:r>
          </w:p>
          <w:p w14:paraId="28F5F78A" w14:textId="77777777" w:rsidR="00D827CD" w:rsidRPr="00D827CD" w:rsidRDefault="00D827CD" w:rsidP="00634F40">
            <w:pPr>
              <w:snapToGrid w:val="0"/>
              <w:spacing w:after="0"/>
              <w:ind w:left="576"/>
              <w:rPr>
                <w:rFonts w:ascii="Times New Roman" w:eastAsia="ＭＳ 明朝" w:hAnsi="Times New Roman"/>
                <w:lang w:eastAsia="ja-JP"/>
              </w:rPr>
            </w:pPr>
            <w:r w:rsidRPr="00D827CD">
              <w:rPr>
                <w:rFonts w:ascii="Times New Roman" w:eastAsia="ＭＳ 明朝" w:hAnsi="Times New Roman"/>
                <w:lang w:eastAsia="ja-JP"/>
              </w:rPr>
              <w:lastRenderedPageBreak/>
              <w:t>- Same as EMBB.</w:t>
            </w:r>
          </w:p>
          <w:p w14:paraId="7F263542" w14:textId="77777777" w:rsidR="00D827CD" w:rsidRPr="00D827CD" w:rsidRDefault="00D827CD" w:rsidP="00634F40">
            <w:pPr>
              <w:snapToGrid w:val="0"/>
              <w:spacing w:after="0"/>
              <w:rPr>
                <w:rFonts w:ascii="Times New Roman" w:eastAsia="ＭＳ 明朝" w:hAnsi="Times New Roman"/>
                <w:lang w:eastAsia="ja-JP"/>
              </w:rPr>
            </w:pPr>
          </w:p>
          <w:p w14:paraId="77D613CB" w14:textId="77777777" w:rsidR="00D827CD" w:rsidRPr="00D827CD" w:rsidRDefault="00D827CD" w:rsidP="00634F40">
            <w:pPr>
              <w:snapToGrid w:val="0"/>
              <w:spacing w:after="0"/>
              <w:rPr>
                <w:rFonts w:ascii="Times New Roman" w:eastAsia="ＭＳ 明朝" w:hAnsi="Times New Roman"/>
                <w:lang w:eastAsia="ja-JP"/>
              </w:rPr>
            </w:pPr>
            <w:r w:rsidRPr="00D827CD">
              <w:rPr>
                <w:rFonts w:ascii="Times New Roman" w:eastAsia="ＭＳ 明朝" w:hAnsi="Times New Roman"/>
                <w:lang w:eastAsia="ja-JP"/>
              </w:rPr>
              <w:t>For 30 kHz subcarrier spacing:</w:t>
            </w:r>
          </w:p>
          <w:p w14:paraId="6AC24576" w14:textId="77777777" w:rsidR="00D827CD" w:rsidRPr="00D827CD" w:rsidRDefault="00D827CD" w:rsidP="00634F40">
            <w:pPr>
              <w:snapToGrid w:val="0"/>
              <w:spacing w:after="0"/>
              <w:ind w:left="288"/>
              <w:rPr>
                <w:rFonts w:ascii="Times New Roman" w:eastAsia="ＭＳ 明朝" w:hAnsi="Times New Roman"/>
                <w:lang w:eastAsia="ja-JP"/>
              </w:rPr>
            </w:pPr>
            <w:r w:rsidRPr="00D827CD">
              <w:rPr>
                <w:rFonts w:ascii="Times New Roman" w:eastAsia="ＭＳ 明朝" w:hAnsi="Times New Roman"/>
                <w:lang w:eastAsia="ja-JP"/>
              </w:rPr>
              <w:t>We are FFS whether this subcarrier spacing is supported or not. If supported, our view is same as 15 kHz subcarrier spacing should be fine. It means slot length is 14 symbols of 0.5ms.</w:t>
            </w:r>
          </w:p>
          <w:p w14:paraId="39EF9D4E" w14:textId="77777777" w:rsidR="00D827CD" w:rsidRPr="00D827CD" w:rsidRDefault="00D827CD" w:rsidP="00634F40">
            <w:pPr>
              <w:snapToGrid w:val="0"/>
              <w:spacing w:after="0"/>
              <w:ind w:left="288"/>
              <w:rPr>
                <w:rFonts w:ascii="Times New Roman" w:eastAsia="ＭＳ 明朝" w:hAnsi="Times New Roman"/>
                <w:lang w:eastAsia="ja-JP"/>
              </w:rPr>
            </w:pPr>
          </w:p>
          <w:p w14:paraId="38728038" w14:textId="77777777" w:rsidR="00D827CD" w:rsidRPr="00D827CD" w:rsidRDefault="00D827CD" w:rsidP="00634F40">
            <w:pPr>
              <w:snapToGrid w:val="0"/>
              <w:spacing w:after="0"/>
              <w:rPr>
                <w:rFonts w:ascii="Times New Roman" w:eastAsia="ＭＳ 明朝" w:hAnsi="Times New Roman"/>
                <w:lang w:eastAsia="ja-JP"/>
              </w:rPr>
            </w:pPr>
            <w:r w:rsidRPr="00D827CD">
              <w:rPr>
                <w:rFonts w:ascii="Times New Roman" w:eastAsia="ＭＳ 明朝" w:hAnsi="Times New Roman"/>
                <w:lang w:eastAsia="ja-JP"/>
              </w:rPr>
              <w:t>For 60 kHz or higher subcarrier spacing:</w:t>
            </w:r>
          </w:p>
          <w:p w14:paraId="1BADB7BE" w14:textId="77777777" w:rsidR="00D827CD" w:rsidRPr="00D827CD" w:rsidRDefault="00D827CD" w:rsidP="00634F40">
            <w:pPr>
              <w:snapToGrid w:val="0"/>
              <w:spacing w:after="0"/>
              <w:ind w:left="288"/>
              <w:rPr>
                <w:rFonts w:ascii="Times New Roman" w:eastAsia="ＭＳ 明朝" w:hAnsi="Times New Roman"/>
                <w:lang w:eastAsia="ja-JP"/>
              </w:rPr>
            </w:pPr>
            <w:r w:rsidRPr="00D827CD">
              <w:rPr>
                <w:rFonts w:ascii="Times New Roman" w:eastAsia="ＭＳ 明朝" w:hAnsi="Times New Roman"/>
                <w:lang w:eastAsia="ja-JP"/>
              </w:rPr>
              <w:t>Slot length for eMBB, URLLC and mMTC corresponds to 0.125ms. It means 14 symbols in 120 kHz. 7 symbols in 60 kHz subcarrier spacing (if supported). 28 symbols in 240 kHz (if supported).  56 symbols in 480 kHz (if supported)</w:t>
            </w:r>
          </w:p>
          <w:p w14:paraId="1B11002F" w14:textId="02D5DA22" w:rsidR="00D827CD" w:rsidRPr="000A15EE" w:rsidRDefault="00D827CD" w:rsidP="000A15EE">
            <w:pPr>
              <w:snapToGrid w:val="0"/>
              <w:spacing w:after="0"/>
              <w:ind w:left="288"/>
              <w:rPr>
                <w:rFonts w:ascii="Times New Roman" w:eastAsia="ＭＳ 明朝" w:hAnsi="Times New Roman"/>
                <w:lang w:eastAsia="ja-JP"/>
              </w:rPr>
            </w:pPr>
            <w:r w:rsidRPr="00D827CD">
              <w:rPr>
                <w:rFonts w:ascii="Times New Roman" w:eastAsia="ＭＳ 明朝" w:hAnsi="Times New Roman"/>
                <w:lang w:eastAsia="ja-JP"/>
              </w:rPr>
              <w:t>No need to use mini-slot in these subcarrier spacing. We are also ok to support mini-slot length corresponding roughly half of one downlink part and half of one uplink part. This allows similar to 15 kHz behaviour.</w:t>
            </w:r>
          </w:p>
        </w:tc>
      </w:tr>
    </w:tbl>
    <w:p w14:paraId="11FB441F" w14:textId="77777777" w:rsidR="00D827CD" w:rsidRDefault="00D827CD" w:rsidP="008904BC">
      <w:pPr>
        <w:tabs>
          <w:tab w:val="left" w:pos="0"/>
        </w:tabs>
        <w:spacing w:beforeLines="50" w:before="120" w:after="0"/>
        <w:ind w:left="568"/>
        <w:rPr>
          <w:lang w:eastAsia="ja-JP"/>
        </w:rPr>
      </w:pPr>
    </w:p>
    <w:p w14:paraId="1886CFAD" w14:textId="1126D296" w:rsidR="00565FF2" w:rsidRPr="00565FF2" w:rsidRDefault="00565FF2" w:rsidP="00B517C6">
      <w:pPr>
        <w:tabs>
          <w:tab w:val="left" w:pos="0"/>
        </w:tabs>
        <w:spacing w:beforeLines="50" w:before="120" w:after="0"/>
        <w:ind w:left="1136"/>
        <w:rPr>
          <w:b/>
          <w:lang w:eastAsia="ja-JP"/>
        </w:rPr>
      </w:pPr>
    </w:p>
    <w:p w14:paraId="5B2B66F0" w14:textId="67B387D2" w:rsidR="006C4B53" w:rsidRPr="007B7205" w:rsidRDefault="000A15EE" w:rsidP="006C4B53">
      <w:pPr>
        <w:tabs>
          <w:tab w:val="left" w:pos="0"/>
        </w:tabs>
        <w:spacing w:beforeLines="50" w:before="120" w:after="0"/>
        <w:rPr>
          <w:b/>
          <w:u w:val="single"/>
          <w:lang w:eastAsia="ja-JP"/>
        </w:rPr>
      </w:pPr>
      <w:r>
        <w:rPr>
          <w:rFonts w:hint="eastAsia"/>
          <w:b/>
          <w:u w:val="single"/>
          <w:lang w:eastAsia="ja-JP"/>
        </w:rPr>
        <w:t>Slot length for 15 kHz subcarrier spacing</w:t>
      </w:r>
    </w:p>
    <w:p w14:paraId="05E3E5F3" w14:textId="7DCCF0EA" w:rsidR="009F1A63" w:rsidRDefault="006C4B53" w:rsidP="006C4B53">
      <w:pPr>
        <w:tabs>
          <w:tab w:val="left" w:pos="0"/>
        </w:tabs>
        <w:spacing w:beforeLines="50" w:before="120" w:after="0"/>
        <w:ind w:left="568"/>
        <w:rPr>
          <w:lang w:eastAsia="ja-JP"/>
        </w:rPr>
      </w:pPr>
      <w:r>
        <w:rPr>
          <w:rFonts w:hint="eastAsia"/>
          <w:lang w:eastAsia="ja-JP"/>
        </w:rPr>
        <w:t xml:space="preserve">One of </w:t>
      </w:r>
      <w:r w:rsidR="009F1A63">
        <w:rPr>
          <w:rFonts w:hint="eastAsia"/>
          <w:lang w:eastAsia="ja-JP"/>
        </w:rPr>
        <w:t>difference of the view in the email discussion is whether slot length for 15 kHz subcarrier spacing is 7 symbols or 14 symbols. 7 symbol proponents argues 14 symbols slot can be realized by concatenation of 7 symbol slots with only one DL/UL switching period over 14 symbol. Our view is to have 14 symbol slot length is better from following reasons.</w:t>
      </w:r>
    </w:p>
    <w:p w14:paraId="0C6AF1DA" w14:textId="0D61E5B5" w:rsidR="009F1A63" w:rsidRDefault="0024363B" w:rsidP="006C4B53">
      <w:pPr>
        <w:tabs>
          <w:tab w:val="left" w:pos="0"/>
        </w:tabs>
        <w:spacing w:beforeLines="50" w:before="120" w:after="0"/>
        <w:ind w:left="568"/>
        <w:rPr>
          <w:lang w:eastAsia="ja-JP"/>
        </w:rPr>
      </w:pPr>
      <w:r>
        <w:rPr>
          <w:rFonts w:hint="eastAsia"/>
          <w:lang w:eastAsia="ja-JP"/>
        </w:rPr>
        <w:t>- S</w:t>
      </w:r>
      <w:r w:rsidRPr="0024363B">
        <w:rPr>
          <w:lang w:eastAsia="ja-JP"/>
        </w:rPr>
        <w:t xml:space="preserve">imilar DL/UL switching behaviour over 1ms with special subframe for the case that the </w:t>
      </w:r>
      <w:r w:rsidR="002076A6" w:rsidRPr="0024363B">
        <w:rPr>
          <w:lang w:eastAsia="ja-JP"/>
        </w:rPr>
        <w:t>neighbour</w:t>
      </w:r>
      <w:r w:rsidRPr="0024363B">
        <w:rPr>
          <w:lang w:eastAsia="ja-JP"/>
        </w:rPr>
        <w:t xml:space="preserve"> cells are LTE TDD</w:t>
      </w:r>
      <w:r w:rsidR="002076A6">
        <w:rPr>
          <w:rFonts w:hint="eastAsia"/>
          <w:lang w:eastAsia="ja-JP"/>
        </w:rPr>
        <w:t xml:space="preserve">. </w:t>
      </w:r>
    </w:p>
    <w:p w14:paraId="7FB60EDE" w14:textId="3568968B" w:rsidR="002076A6" w:rsidRDefault="002076A6" w:rsidP="002076A6">
      <w:pPr>
        <w:tabs>
          <w:tab w:val="left" w:pos="0"/>
        </w:tabs>
        <w:spacing w:beforeLines="50" w:before="120" w:after="0"/>
        <w:ind w:left="852"/>
        <w:rPr>
          <w:lang w:eastAsia="ja-JP"/>
        </w:rPr>
      </w:pPr>
      <w:r>
        <w:rPr>
          <w:rFonts w:hint="eastAsia"/>
          <w:lang w:eastAsia="ja-JP"/>
        </w:rPr>
        <w:t xml:space="preserve">This is required to have same DL/UL direction in macro cell deployment with the spatially neighbour LTE TDD cells and neighbour frequency LTE TDD cells. In this case, DL/UL switching point is located rather in the middle of 1ms. The concatenation of 7 symbols does not fit well for the realization to have same DL/UL direction with LTE TDD special subframe. </w:t>
      </w:r>
      <w:r w:rsidR="00F269E9">
        <w:rPr>
          <w:rFonts w:hint="eastAsia"/>
          <w:lang w:eastAsia="ja-JP"/>
        </w:rPr>
        <w:t>We note that all DL/UL direction supported in LTE TDD special subframe may not be supported for the simplification of NR spec.</w:t>
      </w:r>
    </w:p>
    <w:p w14:paraId="5AC00539" w14:textId="1993C03A" w:rsidR="00777D31" w:rsidRDefault="00777D31" w:rsidP="00777D31">
      <w:pPr>
        <w:tabs>
          <w:tab w:val="left" w:pos="0"/>
        </w:tabs>
        <w:spacing w:beforeLines="50" w:before="120" w:after="0"/>
        <w:ind w:left="568"/>
        <w:rPr>
          <w:lang w:eastAsia="ja-JP"/>
        </w:rPr>
      </w:pPr>
      <w:r>
        <w:rPr>
          <w:rFonts w:hint="eastAsia"/>
          <w:lang w:eastAsia="ja-JP"/>
        </w:rPr>
        <w:t>- Maximum TA va</w:t>
      </w:r>
      <w:r w:rsidR="00F269E9">
        <w:rPr>
          <w:rFonts w:hint="eastAsia"/>
          <w:lang w:eastAsia="ja-JP"/>
        </w:rPr>
        <w:t>lue corresponding to roughly 666</w:t>
      </w:r>
      <w:r>
        <w:rPr>
          <w:rFonts w:hint="eastAsia"/>
          <w:lang w:eastAsia="ja-JP"/>
        </w:rPr>
        <w:t xml:space="preserve"> usec. </w:t>
      </w:r>
    </w:p>
    <w:p w14:paraId="3BA1EA66" w14:textId="77777777" w:rsidR="00D51FDE" w:rsidRDefault="00F269E9" w:rsidP="00777D31">
      <w:pPr>
        <w:tabs>
          <w:tab w:val="left" w:pos="0"/>
        </w:tabs>
        <w:spacing w:beforeLines="50" w:before="120" w:after="0"/>
        <w:ind w:left="852"/>
        <w:rPr>
          <w:lang w:eastAsia="ja-JP"/>
        </w:rPr>
      </w:pPr>
      <w:r>
        <w:rPr>
          <w:rFonts w:hint="eastAsia"/>
          <w:lang w:eastAsia="ja-JP"/>
        </w:rPr>
        <w:t>In order to support similar uplink coverage, we see the need of around 666 usec TA value. 666 usec exceeds 7 symbols of 15 kHz subcarrier spacing (i.e. 500 usec). When TA value exceeds a slot length, the timing indication</w:t>
      </w:r>
      <w:r w:rsidR="00164B8B">
        <w:rPr>
          <w:rFonts w:hint="eastAsia"/>
          <w:lang w:eastAsia="ja-JP"/>
        </w:rPr>
        <w:t>/specification</w:t>
      </w:r>
      <w:r>
        <w:rPr>
          <w:rFonts w:hint="eastAsia"/>
          <w:lang w:eastAsia="ja-JP"/>
        </w:rPr>
        <w:t xml:space="preserve"> related to "DL data to ack/nack" and "control to UL data" are complicated as</w:t>
      </w:r>
      <w:r w:rsidR="00164B8B">
        <w:rPr>
          <w:rFonts w:hint="eastAsia"/>
          <w:lang w:eastAsia="ja-JP"/>
        </w:rPr>
        <w:t xml:space="preserve"> it needs to handle the case slot number may vary depending on TA value or the indication related to slot may influence previous slot behaviour. </w:t>
      </w:r>
      <w:r w:rsidR="00600D66">
        <w:rPr>
          <w:rFonts w:hint="eastAsia"/>
          <w:lang w:eastAsia="ja-JP"/>
        </w:rPr>
        <w:t>Therefore, when larger TA value is used, 14 symbols should be used.</w:t>
      </w:r>
    </w:p>
    <w:p w14:paraId="690C4932" w14:textId="597F7BD5" w:rsidR="00280A1A" w:rsidRDefault="00F269E9" w:rsidP="00280A1A">
      <w:pPr>
        <w:tabs>
          <w:tab w:val="left" w:pos="0"/>
        </w:tabs>
        <w:spacing w:beforeLines="50" w:before="120" w:after="0"/>
        <w:ind w:left="568"/>
        <w:rPr>
          <w:lang w:eastAsia="ja-JP"/>
        </w:rPr>
      </w:pPr>
      <w:r>
        <w:rPr>
          <w:rFonts w:hint="eastAsia"/>
          <w:lang w:eastAsia="ja-JP"/>
        </w:rPr>
        <w:t xml:space="preserve"> </w:t>
      </w:r>
      <w:r w:rsidR="00280A1A">
        <w:rPr>
          <w:rFonts w:hint="eastAsia"/>
          <w:lang w:eastAsia="ja-JP"/>
        </w:rPr>
        <w:t xml:space="preserve">- </w:t>
      </w:r>
      <w:r w:rsidR="00C46E40">
        <w:rPr>
          <w:rFonts w:hint="eastAsia"/>
          <w:lang w:eastAsia="ja-JP"/>
        </w:rPr>
        <w:t>Mini-slot boundary spans slot boundary</w:t>
      </w:r>
      <w:r w:rsidR="00280A1A">
        <w:rPr>
          <w:rFonts w:hint="eastAsia"/>
          <w:lang w:eastAsia="ja-JP"/>
        </w:rPr>
        <w:t xml:space="preserve"> </w:t>
      </w:r>
    </w:p>
    <w:p w14:paraId="554B5D38" w14:textId="3C225BB7" w:rsidR="00280A1A" w:rsidRDefault="00280A1A" w:rsidP="00280A1A">
      <w:pPr>
        <w:tabs>
          <w:tab w:val="left" w:pos="0"/>
        </w:tabs>
        <w:spacing w:beforeLines="50" w:before="120" w:after="0"/>
        <w:ind w:left="852"/>
        <w:rPr>
          <w:lang w:eastAsia="ja-JP"/>
        </w:rPr>
      </w:pPr>
      <w:r>
        <w:rPr>
          <w:rFonts w:hint="eastAsia"/>
          <w:lang w:eastAsia="ja-JP"/>
        </w:rPr>
        <w:t>In order to have good balance of DL/UL switching overhead and latency, we propose to use 2 HARQ process within 1ms for 15kHz case. Ag</w:t>
      </w:r>
      <w:r w:rsidR="009A7355">
        <w:rPr>
          <w:rFonts w:hint="eastAsia"/>
          <w:lang w:eastAsia="ja-JP"/>
        </w:rPr>
        <w:t xml:space="preserve">gregation of 7 symbols slot </w:t>
      </w:r>
      <w:r>
        <w:rPr>
          <w:rFonts w:hint="eastAsia"/>
          <w:lang w:eastAsia="ja-JP"/>
        </w:rPr>
        <w:t>require</w:t>
      </w:r>
      <w:r w:rsidR="009A7355">
        <w:rPr>
          <w:rFonts w:hint="eastAsia"/>
          <w:lang w:eastAsia="ja-JP"/>
        </w:rPr>
        <w:t>s</w:t>
      </w:r>
      <w:r>
        <w:rPr>
          <w:rFonts w:hint="eastAsia"/>
          <w:lang w:eastAsia="ja-JP"/>
        </w:rPr>
        <w:t xml:space="preserve"> the case that mini-sl</w:t>
      </w:r>
      <w:r w:rsidR="00C46E40">
        <w:rPr>
          <w:rFonts w:hint="eastAsia"/>
          <w:lang w:eastAsia="ja-JP"/>
        </w:rPr>
        <w:t xml:space="preserve">ot spans between slot </w:t>
      </w:r>
      <w:r w:rsidR="00C3041F">
        <w:rPr>
          <w:lang w:eastAsia="ja-JP"/>
        </w:rPr>
        <w:t>boundaries</w:t>
      </w:r>
      <w:r w:rsidR="009A7355">
        <w:rPr>
          <w:rFonts w:hint="eastAsia"/>
          <w:lang w:eastAsia="ja-JP"/>
        </w:rPr>
        <w:t xml:space="preserve"> for similar symbol length between two HARQ </w:t>
      </w:r>
      <w:r w:rsidR="00C3041F">
        <w:rPr>
          <w:lang w:eastAsia="ja-JP"/>
        </w:rPr>
        <w:t>processes</w:t>
      </w:r>
      <w:r w:rsidR="009A7355">
        <w:rPr>
          <w:rFonts w:hint="eastAsia"/>
          <w:lang w:eastAsia="ja-JP"/>
        </w:rPr>
        <w:t>.</w:t>
      </w:r>
    </w:p>
    <w:p w14:paraId="2B1AA468" w14:textId="1F54497A" w:rsidR="009A7355" w:rsidRDefault="009A7355" w:rsidP="00280A1A">
      <w:pPr>
        <w:tabs>
          <w:tab w:val="left" w:pos="0"/>
        </w:tabs>
        <w:spacing w:beforeLines="50" w:before="120" w:after="0"/>
        <w:ind w:left="852"/>
        <w:rPr>
          <w:lang w:eastAsia="ja-JP"/>
        </w:rPr>
      </w:pPr>
      <w:r>
        <w:rPr>
          <w:rFonts w:hint="eastAsia"/>
          <w:lang w:eastAsia="ja-JP"/>
        </w:rPr>
        <w:t>In order to be competitive to LTE latency reduction, 2 symbol mini-slot length needs to be supported. If slot length is 7, there is a case that m</w:t>
      </w:r>
      <w:r w:rsidRPr="009A7355">
        <w:rPr>
          <w:lang w:eastAsia="ja-JP"/>
        </w:rPr>
        <w:t>ini-slot boundary spans slot boundary</w:t>
      </w:r>
      <w:r>
        <w:rPr>
          <w:rFonts w:hint="eastAsia"/>
          <w:lang w:eastAsia="ja-JP"/>
        </w:rPr>
        <w:t>.</w:t>
      </w:r>
    </w:p>
    <w:p w14:paraId="1D4A6FDF" w14:textId="77777777" w:rsidR="001941C6" w:rsidRDefault="001941C6" w:rsidP="006C4B53">
      <w:pPr>
        <w:tabs>
          <w:tab w:val="left" w:pos="0"/>
        </w:tabs>
        <w:spacing w:beforeLines="50" w:before="120" w:after="0"/>
        <w:ind w:left="568"/>
        <w:rPr>
          <w:lang w:eastAsia="ja-JP"/>
        </w:rPr>
      </w:pPr>
      <w:r>
        <w:rPr>
          <w:rFonts w:hint="eastAsia"/>
          <w:lang w:eastAsia="ja-JP"/>
        </w:rPr>
        <w:t xml:space="preserve">For above reasons, we propose slot length is 14 for 15 kHz subcarrier spacing. </w:t>
      </w:r>
    </w:p>
    <w:p w14:paraId="17DDDB58" w14:textId="181DFEF8" w:rsidR="004D0549" w:rsidRPr="00B517C6" w:rsidRDefault="004D0549" w:rsidP="004D0549">
      <w:pPr>
        <w:tabs>
          <w:tab w:val="left" w:pos="0"/>
        </w:tabs>
        <w:spacing w:beforeLines="50" w:before="120" w:after="0"/>
        <w:ind w:left="568"/>
        <w:rPr>
          <w:b/>
          <w:lang w:eastAsia="ja-JP"/>
        </w:rPr>
      </w:pPr>
      <w:r w:rsidRPr="00B517C6">
        <w:rPr>
          <w:rFonts w:hint="eastAsia"/>
          <w:b/>
          <w:lang w:eastAsia="ja-JP"/>
        </w:rPr>
        <w:t>P</w:t>
      </w:r>
      <w:r w:rsidR="001B52D3">
        <w:rPr>
          <w:rFonts w:hint="eastAsia"/>
          <w:b/>
          <w:lang w:eastAsia="ja-JP"/>
        </w:rPr>
        <w:t>roposal 1</w:t>
      </w:r>
      <w:r w:rsidRPr="00B517C6">
        <w:rPr>
          <w:rFonts w:hint="eastAsia"/>
          <w:b/>
          <w:lang w:eastAsia="ja-JP"/>
        </w:rPr>
        <w:t xml:space="preserve">: </w:t>
      </w:r>
    </w:p>
    <w:p w14:paraId="46878409" w14:textId="23C00D85" w:rsidR="00E25725" w:rsidRDefault="00E25725" w:rsidP="004D0549">
      <w:pPr>
        <w:tabs>
          <w:tab w:val="left" w:pos="0"/>
        </w:tabs>
        <w:spacing w:beforeLines="50" w:before="120" w:after="0"/>
        <w:ind w:left="852"/>
        <w:rPr>
          <w:b/>
          <w:lang w:val="en-US" w:eastAsia="ja-JP"/>
        </w:rPr>
      </w:pPr>
      <w:r>
        <w:rPr>
          <w:rFonts w:hint="eastAsia"/>
          <w:b/>
          <w:lang w:val="en-US" w:eastAsia="ja-JP"/>
        </w:rPr>
        <w:t>T</w:t>
      </w:r>
      <w:r w:rsidRPr="00E25725">
        <w:rPr>
          <w:b/>
          <w:lang w:val="en-US" w:eastAsia="ja-JP"/>
        </w:rPr>
        <w:t xml:space="preserve">he </w:t>
      </w:r>
      <w:r w:rsidR="00B67FB8">
        <w:rPr>
          <w:rFonts w:hint="eastAsia"/>
          <w:b/>
          <w:lang w:val="en-US" w:eastAsia="ja-JP"/>
        </w:rPr>
        <w:t>slot length is 14 for 15 kHz subcarrier spacing.</w:t>
      </w:r>
    </w:p>
    <w:p w14:paraId="03094B77" w14:textId="77777777" w:rsidR="004D0549" w:rsidRPr="001E0731" w:rsidRDefault="004D0549" w:rsidP="006C4B53">
      <w:pPr>
        <w:tabs>
          <w:tab w:val="left" w:pos="0"/>
        </w:tabs>
        <w:spacing w:beforeLines="50" w:before="120" w:after="0"/>
        <w:ind w:left="568"/>
        <w:rPr>
          <w:lang w:eastAsia="ja-JP"/>
        </w:rPr>
      </w:pPr>
    </w:p>
    <w:p w14:paraId="0B39972D" w14:textId="77777777" w:rsidR="00E028BD" w:rsidRDefault="00E028BD" w:rsidP="00664FAC">
      <w:pPr>
        <w:tabs>
          <w:tab w:val="left" w:pos="0"/>
        </w:tabs>
        <w:spacing w:beforeLines="50" w:before="120" w:after="0"/>
        <w:rPr>
          <w:b/>
          <w:u w:val="single"/>
          <w:lang w:eastAsia="ja-JP"/>
        </w:rPr>
      </w:pPr>
    </w:p>
    <w:p w14:paraId="6E3F046A" w14:textId="7C596497" w:rsidR="00664FAC" w:rsidRPr="007B7205" w:rsidRDefault="001B52D3" w:rsidP="00664FAC">
      <w:pPr>
        <w:tabs>
          <w:tab w:val="left" w:pos="0"/>
        </w:tabs>
        <w:spacing w:beforeLines="50" w:before="120" w:after="0"/>
        <w:rPr>
          <w:b/>
          <w:u w:val="single"/>
          <w:lang w:eastAsia="ja-JP"/>
        </w:rPr>
      </w:pPr>
      <w:r>
        <w:rPr>
          <w:rFonts w:hint="eastAsia"/>
          <w:b/>
          <w:u w:val="single"/>
          <w:lang w:eastAsia="ja-JP"/>
        </w:rPr>
        <w:t>DL/UL switching</w:t>
      </w:r>
    </w:p>
    <w:p w14:paraId="2E6C1D52" w14:textId="4F3D9194" w:rsidR="001B52D3" w:rsidRDefault="001B52D3" w:rsidP="00B0290A">
      <w:pPr>
        <w:tabs>
          <w:tab w:val="left" w:pos="0"/>
        </w:tabs>
        <w:spacing w:beforeLines="50" w:before="120" w:after="0"/>
        <w:ind w:left="568"/>
        <w:rPr>
          <w:lang w:eastAsia="ja-JP"/>
        </w:rPr>
      </w:pPr>
      <w:r>
        <w:rPr>
          <w:rFonts w:hint="eastAsia"/>
          <w:lang w:eastAsia="ja-JP"/>
        </w:rPr>
        <w:t>In the agenda for duplexing, we propose DL/UL switching is not per cell but per UE or per group of UEs. This has the following merits.</w:t>
      </w:r>
    </w:p>
    <w:p w14:paraId="3B3A8643" w14:textId="0F226D4E" w:rsidR="001B52D3" w:rsidRDefault="001B52D3" w:rsidP="00B0290A">
      <w:pPr>
        <w:tabs>
          <w:tab w:val="left" w:pos="0"/>
        </w:tabs>
        <w:spacing w:beforeLines="50" w:before="120" w:after="0"/>
        <w:ind w:left="568"/>
        <w:rPr>
          <w:lang w:eastAsia="ja-JP"/>
        </w:rPr>
      </w:pPr>
      <w:r>
        <w:rPr>
          <w:rFonts w:hint="eastAsia"/>
          <w:lang w:eastAsia="ja-JP"/>
        </w:rPr>
        <w:t>- For UE who don't transmit UL immediately after DL, DL reception can be continued. Then overhead caused by switching can be minimized in time.</w:t>
      </w:r>
    </w:p>
    <w:p w14:paraId="061C84E1" w14:textId="6A0BD319" w:rsidR="001B52D3" w:rsidRDefault="001B52D3" w:rsidP="00B0290A">
      <w:pPr>
        <w:tabs>
          <w:tab w:val="left" w:pos="0"/>
        </w:tabs>
        <w:spacing w:beforeLines="50" w:before="120" w:after="0"/>
        <w:ind w:left="568"/>
        <w:rPr>
          <w:lang w:eastAsia="ja-JP"/>
        </w:rPr>
      </w:pPr>
      <w:r>
        <w:rPr>
          <w:rFonts w:hint="eastAsia"/>
          <w:lang w:eastAsia="ja-JP"/>
        </w:rPr>
        <w:t xml:space="preserve">- </w:t>
      </w:r>
      <w:r w:rsidRPr="001B52D3">
        <w:rPr>
          <w:lang w:eastAsia="ja-JP"/>
        </w:rPr>
        <w:t>Within a bandwidth, to allow DL part and UL part simultaneously at least forward compatibility purpose.</w:t>
      </w:r>
    </w:p>
    <w:p w14:paraId="1129E330" w14:textId="6912AFEF" w:rsidR="001B52D3" w:rsidRDefault="001B52D3" w:rsidP="00B0290A">
      <w:pPr>
        <w:tabs>
          <w:tab w:val="left" w:pos="0"/>
        </w:tabs>
        <w:spacing w:beforeLines="50" w:before="120" w:after="0"/>
        <w:ind w:left="568"/>
        <w:rPr>
          <w:lang w:eastAsia="ja-JP"/>
        </w:rPr>
      </w:pPr>
      <w:r>
        <w:rPr>
          <w:rFonts w:hint="eastAsia"/>
          <w:lang w:eastAsia="ja-JP"/>
        </w:rPr>
        <w:lastRenderedPageBreak/>
        <w:t>- A cell could be separated by multiple TRPx like LTE's CoMP scenario 4 like deployment. In this case, all TRPx is not required to operate same DL/UL direction.</w:t>
      </w:r>
    </w:p>
    <w:p w14:paraId="601873E6" w14:textId="6AF83A18" w:rsidR="00203695" w:rsidRPr="00203695" w:rsidRDefault="00203695" w:rsidP="0004017B">
      <w:pPr>
        <w:tabs>
          <w:tab w:val="left" w:pos="0"/>
        </w:tabs>
        <w:spacing w:beforeLines="50" w:before="120" w:after="0"/>
        <w:ind w:left="568"/>
        <w:rPr>
          <w:lang w:eastAsia="ja-JP"/>
        </w:rPr>
      </w:pPr>
      <w:r>
        <w:rPr>
          <w:rFonts w:hint="eastAsia"/>
          <w:lang w:eastAsia="ja-JP"/>
        </w:rPr>
        <w:t xml:space="preserve">More discussion is </w:t>
      </w:r>
      <w:r w:rsidR="002F40B0">
        <w:rPr>
          <w:rFonts w:hint="eastAsia"/>
          <w:lang w:eastAsia="ja-JP"/>
        </w:rPr>
        <w:t>described in [1]</w:t>
      </w:r>
      <w:r>
        <w:rPr>
          <w:rFonts w:hint="eastAsia"/>
          <w:lang w:eastAsia="ja-JP"/>
        </w:rPr>
        <w:t>.</w:t>
      </w:r>
    </w:p>
    <w:p w14:paraId="41F65E34" w14:textId="226D0295" w:rsidR="0004017B" w:rsidRPr="00B517C6" w:rsidRDefault="0004017B" w:rsidP="0004017B">
      <w:pPr>
        <w:tabs>
          <w:tab w:val="left" w:pos="0"/>
        </w:tabs>
        <w:spacing w:beforeLines="50" w:before="120" w:after="0"/>
        <w:ind w:left="568"/>
        <w:rPr>
          <w:b/>
          <w:lang w:eastAsia="ja-JP"/>
        </w:rPr>
      </w:pPr>
      <w:r w:rsidRPr="00B517C6">
        <w:rPr>
          <w:rFonts w:hint="eastAsia"/>
          <w:b/>
          <w:lang w:eastAsia="ja-JP"/>
        </w:rPr>
        <w:t>P</w:t>
      </w:r>
      <w:r w:rsidR="00264F74">
        <w:rPr>
          <w:rFonts w:hint="eastAsia"/>
          <w:b/>
          <w:lang w:eastAsia="ja-JP"/>
        </w:rPr>
        <w:t>roposal 2</w:t>
      </w:r>
      <w:r w:rsidRPr="00B517C6">
        <w:rPr>
          <w:rFonts w:hint="eastAsia"/>
          <w:b/>
          <w:lang w:eastAsia="ja-JP"/>
        </w:rPr>
        <w:t xml:space="preserve">: </w:t>
      </w:r>
    </w:p>
    <w:p w14:paraId="4B08E066" w14:textId="4113ADCD" w:rsidR="00264F74" w:rsidRDefault="00264F74" w:rsidP="0004017B">
      <w:pPr>
        <w:tabs>
          <w:tab w:val="left" w:pos="0"/>
        </w:tabs>
        <w:spacing w:beforeLines="50" w:before="120" w:after="0"/>
        <w:ind w:left="852"/>
        <w:rPr>
          <w:b/>
          <w:lang w:val="en-US" w:eastAsia="ja-JP"/>
        </w:rPr>
      </w:pPr>
      <w:r>
        <w:rPr>
          <w:rFonts w:hint="eastAsia"/>
          <w:b/>
          <w:lang w:val="en-US" w:eastAsia="ja-JP"/>
        </w:rPr>
        <w:t xml:space="preserve">DL/UL switching should not be cell specific but UE </w:t>
      </w:r>
      <w:r w:rsidR="00C22575">
        <w:rPr>
          <w:rFonts w:hint="eastAsia"/>
          <w:b/>
          <w:lang w:val="en-US" w:eastAsia="ja-JP"/>
        </w:rPr>
        <w:t>and/</w:t>
      </w:r>
      <w:r>
        <w:rPr>
          <w:rFonts w:hint="eastAsia"/>
          <w:b/>
          <w:lang w:val="en-US" w:eastAsia="ja-JP"/>
        </w:rPr>
        <w:t>or group specific.</w:t>
      </w:r>
    </w:p>
    <w:p w14:paraId="02EAC0C3" w14:textId="77777777" w:rsidR="004E68B3" w:rsidRDefault="004E68B3" w:rsidP="009C1FFF">
      <w:pPr>
        <w:tabs>
          <w:tab w:val="left" w:pos="0"/>
        </w:tabs>
        <w:spacing w:beforeLines="50" w:before="120" w:after="0"/>
        <w:rPr>
          <w:b/>
          <w:lang w:eastAsia="ja-JP"/>
        </w:rPr>
      </w:pPr>
    </w:p>
    <w:p w14:paraId="076EDF11" w14:textId="0F38BF8E" w:rsidR="00D777E9" w:rsidRPr="007B7205" w:rsidRDefault="00B64723" w:rsidP="00D777E9">
      <w:pPr>
        <w:tabs>
          <w:tab w:val="left" w:pos="0"/>
        </w:tabs>
        <w:spacing w:beforeLines="50" w:before="120" w:after="0"/>
        <w:rPr>
          <w:b/>
          <w:u w:val="single"/>
          <w:lang w:eastAsia="ja-JP"/>
        </w:rPr>
      </w:pPr>
      <w:r>
        <w:rPr>
          <w:rFonts w:hint="eastAsia"/>
          <w:b/>
          <w:u w:val="single"/>
          <w:lang w:eastAsia="ja-JP"/>
        </w:rPr>
        <w:t>Blank resource generation</w:t>
      </w:r>
    </w:p>
    <w:p w14:paraId="06B0A28B" w14:textId="6E01A88B" w:rsidR="00082FFF" w:rsidRDefault="00082FFF" w:rsidP="00273CEE">
      <w:pPr>
        <w:tabs>
          <w:tab w:val="left" w:pos="0"/>
        </w:tabs>
        <w:spacing w:beforeLines="50" w:before="120" w:after="0"/>
        <w:ind w:left="568"/>
        <w:rPr>
          <w:lang w:eastAsia="ja-JP"/>
        </w:rPr>
      </w:pPr>
      <w:r>
        <w:rPr>
          <w:rFonts w:hint="eastAsia"/>
          <w:lang w:eastAsia="ja-JP"/>
        </w:rPr>
        <w:t>Several contributions [</w:t>
      </w:r>
      <w:r w:rsidR="0091183B">
        <w:rPr>
          <w:rFonts w:hint="eastAsia"/>
          <w:lang w:eastAsia="ja-JP"/>
        </w:rPr>
        <w:t>2</w:t>
      </w:r>
      <w:r>
        <w:rPr>
          <w:rFonts w:hint="eastAsia"/>
          <w:lang w:eastAsia="ja-JP"/>
        </w:rPr>
        <w:t>][</w:t>
      </w:r>
      <w:r w:rsidR="0091183B">
        <w:rPr>
          <w:rFonts w:hint="eastAsia"/>
          <w:lang w:eastAsia="ja-JP"/>
        </w:rPr>
        <w:t>3</w:t>
      </w:r>
      <w:r>
        <w:rPr>
          <w:rFonts w:hint="eastAsia"/>
          <w:lang w:eastAsia="ja-JP"/>
        </w:rPr>
        <w:t xml:space="preserve">] compares two method of blank resource generation </w:t>
      </w:r>
      <w:r w:rsidR="00285261">
        <w:rPr>
          <w:rFonts w:hint="eastAsia"/>
          <w:lang w:eastAsia="ja-JP"/>
        </w:rPr>
        <w:t xml:space="preserve">as explicit method and implicit method </w:t>
      </w:r>
      <w:r>
        <w:rPr>
          <w:rFonts w:hint="eastAsia"/>
          <w:lang w:eastAsia="ja-JP"/>
        </w:rPr>
        <w:t>described below.</w:t>
      </w:r>
      <w:r w:rsidR="00285261">
        <w:rPr>
          <w:rFonts w:hint="eastAsia"/>
          <w:lang w:eastAsia="ja-JP"/>
        </w:rPr>
        <w:t xml:space="preserve"> Explicit method can be further subcategorized by semi-static method and dynamic method.</w:t>
      </w:r>
    </w:p>
    <w:p w14:paraId="76B1E98F" w14:textId="50ABC76B" w:rsidR="00082FFF" w:rsidRDefault="00082FFF" w:rsidP="00C3041F">
      <w:pPr>
        <w:tabs>
          <w:tab w:val="left" w:pos="0"/>
        </w:tabs>
        <w:spacing w:beforeLines="50" w:before="120" w:after="0"/>
        <w:ind w:left="852"/>
        <w:rPr>
          <w:lang w:eastAsia="ja-JP"/>
        </w:rPr>
      </w:pPr>
      <w:r>
        <w:rPr>
          <w:rFonts w:hint="eastAsia"/>
          <w:lang w:eastAsia="ja-JP"/>
        </w:rPr>
        <w:t>1</w:t>
      </w:r>
      <w:r w:rsidR="00A059FD">
        <w:rPr>
          <w:rFonts w:hint="eastAsia"/>
          <w:lang w:eastAsia="ja-JP"/>
        </w:rPr>
        <w:t>a</w:t>
      </w:r>
      <w:r>
        <w:rPr>
          <w:rFonts w:hint="eastAsia"/>
          <w:lang w:eastAsia="ja-JP"/>
        </w:rPr>
        <w:t xml:space="preserve">. </w:t>
      </w:r>
      <w:r w:rsidR="00C3041F">
        <w:rPr>
          <w:lang w:eastAsia="ja-JP"/>
        </w:rPr>
        <w:t>explicit</w:t>
      </w:r>
      <w:r>
        <w:rPr>
          <w:rFonts w:hint="eastAsia"/>
          <w:lang w:eastAsia="ja-JP"/>
        </w:rPr>
        <w:t xml:space="preserve"> blank resource indi</w:t>
      </w:r>
      <w:r w:rsidR="00285261">
        <w:rPr>
          <w:rFonts w:hint="eastAsia"/>
          <w:lang w:eastAsia="ja-JP"/>
        </w:rPr>
        <w:t>cation</w:t>
      </w:r>
      <w:r w:rsidR="00A059FD">
        <w:rPr>
          <w:rFonts w:hint="eastAsia"/>
          <w:lang w:eastAsia="ja-JP"/>
        </w:rPr>
        <w:t xml:space="preserve"> by semi-static manner</w:t>
      </w:r>
    </w:p>
    <w:p w14:paraId="1D10F00C" w14:textId="690E3580" w:rsidR="00A059FD" w:rsidRDefault="00A059FD" w:rsidP="00C3041F">
      <w:pPr>
        <w:tabs>
          <w:tab w:val="left" w:pos="0"/>
        </w:tabs>
        <w:spacing w:beforeLines="50" w:before="120" w:after="0"/>
        <w:ind w:left="852"/>
        <w:rPr>
          <w:lang w:eastAsia="ja-JP"/>
        </w:rPr>
      </w:pPr>
      <w:r>
        <w:rPr>
          <w:rFonts w:hint="eastAsia"/>
          <w:lang w:eastAsia="ja-JP"/>
        </w:rPr>
        <w:t xml:space="preserve">1b. </w:t>
      </w:r>
      <w:r w:rsidR="00C3041F">
        <w:rPr>
          <w:lang w:eastAsia="ja-JP"/>
        </w:rPr>
        <w:t>explicit</w:t>
      </w:r>
      <w:r>
        <w:rPr>
          <w:rFonts w:hint="eastAsia"/>
          <w:lang w:eastAsia="ja-JP"/>
        </w:rPr>
        <w:t xml:space="preserve"> blank resource indication by DCI</w:t>
      </w:r>
    </w:p>
    <w:p w14:paraId="117510B7" w14:textId="77777777" w:rsidR="00082FFF" w:rsidRDefault="00082FFF" w:rsidP="00C3041F">
      <w:pPr>
        <w:tabs>
          <w:tab w:val="left" w:pos="0"/>
        </w:tabs>
        <w:spacing w:beforeLines="50" w:before="120" w:after="0"/>
        <w:ind w:left="852"/>
        <w:rPr>
          <w:lang w:eastAsia="ja-JP"/>
        </w:rPr>
      </w:pPr>
      <w:r>
        <w:rPr>
          <w:rFonts w:hint="eastAsia"/>
          <w:lang w:eastAsia="ja-JP"/>
        </w:rPr>
        <w:t>2. Implicit blank resource indication by scheduling</w:t>
      </w:r>
    </w:p>
    <w:p w14:paraId="5AD7F349" w14:textId="6DA5C715" w:rsidR="008225E4" w:rsidRDefault="00044A7E" w:rsidP="00273CEE">
      <w:pPr>
        <w:tabs>
          <w:tab w:val="left" w:pos="0"/>
        </w:tabs>
        <w:spacing w:beforeLines="50" w:before="120" w:after="0"/>
        <w:ind w:left="568"/>
        <w:rPr>
          <w:lang w:eastAsia="ja-JP"/>
        </w:rPr>
      </w:pPr>
      <w:r>
        <w:rPr>
          <w:rFonts w:hint="eastAsia"/>
          <w:lang w:eastAsia="ja-JP"/>
        </w:rPr>
        <w:t xml:space="preserve">We think method 2 should be basically used for the generation of blank resource but this method would have the restriction that the blank resource generation granularity is only scheduling granularity like "one scheduling unit in time and frequency". Method 1a has the merit to overcome such restriction by smaller granularity than scheduling. Therefore, method 2 and method 1a are complimentary </w:t>
      </w:r>
      <w:r>
        <w:rPr>
          <w:lang w:eastAsia="ja-JP"/>
        </w:rPr>
        <w:t>functions</w:t>
      </w:r>
      <w:r>
        <w:rPr>
          <w:rFonts w:hint="eastAsia"/>
          <w:lang w:eastAsia="ja-JP"/>
        </w:rPr>
        <w:t>.</w:t>
      </w:r>
    </w:p>
    <w:p w14:paraId="7D3EACFA" w14:textId="7D92B3BA" w:rsidR="00044A7E" w:rsidRDefault="00044A7E" w:rsidP="00273CEE">
      <w:pPr>
        <w:tabs>
          <w:tab w:val="left" w:pos="0"/>
        </w:tabs>
        <w:spacing w:beforeLines="50" w:before="120" w:after="0"/>
        <w:ind w:left="568"/>
        <w:rPr>
          <w:lang w:eastAsia="ja-JP"/>
        </w:rPr>
      </w:pPr>
      <w:r>
        <w:rPr>
          <w:rFonts w:hint="eastAsia"/>
          <w:lang w:eastAsia="ja-JP"/>
        </w:rPr>
        <w:t xml:space="preserve">The need of method 1b depends on how to realize URLLC and </w:t>
      </w:r>
      <w:r w:rsidR="00E961CD">
        <w:rPr>
          <w:rFonts w:hint="eastAsia"/>
          <w:lang w:eastAsia="ja-JP"/>
        </w:rPr>
        <w:t xml:space="preserve">related </w:t>
      </w:r>
      <w:r>
        <w:rPr>
          <w:rFonts w:hint="eastAsia"/>
          <w:lang w:eastAsia="ja-JP"/>
        </w:rPr>
        <w:t xml:space="preserve">forward compatibility. </w:t>
      </w:r>
      <w:r w:rsidR="00E961CD">
        <w:rPr>
          <w:rFonts w:hint="eastAsia"/>
          <w:lang w:eastAsia="ja-JP"/>
        </w:rPr>
        <w:t>We see the need of such method but this scheme increase DCI overhead. Therefore, if method 1b is supported, to reduce DCI overhead should be studied.</w:t>
      </w:r>
    </w:p>
    <w:p w14:paraId="352949C0" w14:textId="0CDDBE60" w:rsidR="00CF4C45" w:rsidRDefault="00CF4C45" w:rsidP="00273CEE">
      <w:pPr>
        <w:tabs>
          <w:tab w:val="left" w:pos="0"/>
        </w:tabs>
        <w:spacing w:beforeLines="50" w:before="120" w:after="0"/>
        <w:ind w:left="568"/>
        <w:rPr>
          <w:lang w:eastAsia="ja-JP"/>
        </w:rPr>
      </w:pPr>
    </w:p>
    <w:p w14:paraId="254964FC" w14:textId="779A619F" w:rsidR="008B7D50" w:rsidRPr="00B517C6" w:rsidRDefault="008B7D50" w:rsidP="008B7D50">
      <w:pPr>
        <w:tabs>
          <w:tab w:val="left" w:pos="0"/>
        </w:tabs>
        <w:spacing w:beforeLines="50" w:before="120" w:after="0"/>
        <w:ind w:left="568"/>
        <w:rPr>
          <w:b/>
          <w:lang w:eastAsia="ja-JP"/>
        </w:rPr>
      </w:pPr>
      <w:r w:rsidRPr="00B517C6">
        <w:rPr>
          <w:rFonts w:hint="eastAsia"/>
          <w:b/>
          <w:lang w:eastAsia="ja-JP"/>
        </w:rPr>
        <w:t>P</w:t>
      </w:r>
      <w:r w:rsidR="006F4372">
        <w:rPr>
          <w:rFonts w:hint="eastAsia"/>
          <w:b/>
          <w:lang w:eastAsia="ja-JP"/>
        </w:rPr>
        <w:t>roposal 3</w:t>
      </w:r>
      <w:r w:rsidRPr="00B517C6">
        <w:rPr>
          <w:rFonts w:hint="eastAsia"/>
          <w:b/>
          <w:lang w:eastAsia="ja-JP"/>
        </w:rPr>
        <w:t xml:space="preserve">: </w:t>
      </w:r>
    </w:p>
    <w:p w14:paraId="754FFAD0" w14:textId="69D9C21E" w:rsidR="006F4372" w:rsidRDefault="006F4372" w:rsidP="008B7D50">
      <w:pPr>
        <w:tabs>
          <w:tab w:val="left" w:pos="0"/>
        </w:tabs>
        <w:spacing w:beforeLines="50" w:before="120" w:after="0"/>
        <w:ind w:left="852"/>
        <w:rPr>
          <w:b/>
          <w:lang w:val="en-US" w:eastAsia="ja-JP"/>
        </w:rPr>
      </w:pPr>
      <w:r>
        <w:rPr>
          <w:rFonts w:hint="eastAsia"/>
          <w:b/>
          <w:lang w:val="en-US" w:eastAsia="ja-JP"/>
        </w:rPr>
        <w:t>Blank resource is generated by e</w:t>
      </w:r>
      <w:r w:rsidRPr="006F4372">
        <w:rPr>
          <w:b/>
          <w:lang w:val="en-US" w:eastAsia="ja-JP"/>
        </w:rPr>
        <w:t>xplicit blank resource indication by semi-static manner</w:t>
      </w:r>
      <w:r w:rsidRPr="006F4372">
        <w:rPr>
          <w:rFonts w:hint="eastAsia"/>
          <w:b/>
          <w:lang w:val="en-US" w:eastAsia="ja-JP"/>
        </w:rPr>
        <w:t xml:space="preserve"> </w:t>
      </w:r>
      <w:r>
        <w:rPr>
          <w:rFonts w:hint="eastAsia"/>
          <w:b/>
          <w:lang w:val="en-US" w:eastAsia="ja-JP"/>
        </w:rPr>
        <w:t>and i</w:t>
      </w:r>
      <w:r w:rsidRPr="006F4372">
        <w:rPr>
          <w:b/>
          <w:lang w:val="en-US" w:eastAsia="ja-JP"/>
        </w:rPr>
        <w:t>mplicit blank resource indication by scheduling</w:t>
      </w:r>
      <w:r>
        <w:rPr>
          <w:rFonts w:hint="eastAsia"/>
          <w:b/>
          <w:lang w:val="en-US" w:eastAsia="ja-JP"/>
        </w:rPr>
        <w:t>.</w:t>
      </w:r>
    </w:p>
    <w:p w14:paraId="1D133EEF" w14:textId="292E5BA9" w:rsidR="006F4372" w:rsidRPr="00B517C6" w:rsidRDefault="006F4372" w:rsidP="006F4372">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4</w:t>
      </w:r>
      <w:r w:rsidRPr="00B517C6">
        <w:rPr>
          <w:rFonts w:hint="eastAsia"/>
          <w:b/>
          <w:lang w:eastAsia="ja-JP"/>
        </w:rPr>
        <w:t xml:space="preserve">: </w:t>
      </w:r>
    </w:p>
    <w:p w14:paraId="0BB3E12A" w14:textId="69591A75" w:rsidR="008B7D50" w:rsidRDefault="006F4372" w:rsidP="002F349B">
      <w:pPr>
        <w:tabs>
          <w:tab w:val="left" w:pos="0"/>
        </w:tabs>
        <w:spacing w:beforeLines="50" w:before="120" w:after="0"/>
        <w:ind w:left="852"/>
        <w:rPr>
          <w:b/>
          <w:lang w:val="en-US" w:eastAsia="ja-JP"/>
        </w:rPr>
      </w:pPr>
      <w:r>
        <w:rPr>
          <w:rFonts w:hint="eastAsia"/>
          <w:b/>
          <w:lang w:val="en-US" w:eastAsia="ja-JP"/>
        </w:rPr>
        <w:t xml:space="preserve">Study </w:t>
      </w:r>
      <w:r w:rsidR="002F349B">
        <w:rPr>
          <w:rFonts w:hint="eastAsia"/>
          <w:b/>
          <w:lang w:val="en-US" w:eastAsia="ja-JP"/>
        </w:rPr>
        <w:t>the relation to URLLC realization by e</w:t>
      </w:r>
      <w:r w:rsidR="002F349B" w:rsidRPr="002F349B">
        <w:rPr>
          <w:b/>
          <w:lang w:val="en-US" w:eastAsia="ja-JP"/>
        </w:rPr>
        <w:t>xplicit blank resource indication by DCI</w:t>
      </w:r>
      <w:r w:rsidR="002F349B">
        <w:rPr>
          <w:rFonts w:hint="eastAsia"/>
          <w:b/>
          <w:lang w:val="en-US" w:eastAsia="ja-JP"/>
        </w:rPr>
        <w:t>. If this is used, DCI overhead should be considered.</w:t>
      </w:r>
    </w:p>
    <w:p w14:paraId="572D04E4" w14:textId="77777777" w:rsidR="008B7D50" w:rsidRPr="0004017B" w:rsidRDefault="008B7D50" w:rsidP="008B7D50">
      <w:pPr>
        <w:tabs>
          <w:tab w:val="left" w:pos="0"/>
        </w:tabs>
        <w:spacing w:beforeLines="50" w:before="120" w:after="0"/>
        <w:ind w:left="852"/>
        <w:rPr>
          <w:b/>
          <w:lang w:val="en-US" w:eastAsia="ja-JP"/>
        </w:rPr>
      </w:pPr>
    </w:p>
    <w:p w14:paraId="163FE721" w14:textId="30FA332C" w:rsidR="004B22A3" w:rsidRDefault="004B22A3" w:rsidP="009C1FFF">
      <w:pPr>
        <w:tabs>
          <w:tab w:val="left" w:pos="0"/>
        </w:tabs>
        <w:spacing w:beforeLines="50" w:before="120" w:after="0"/>
        <w:rPr>
          <w:lang w:eastAsia="ja-JP"/>
        </w:rPr>
      </w:pPr>
    </w:p>
    <w:p w14:paraId="264A0F0E" w14:textId="77777777" w:rsidR="00C60A2E" w:rsidRDefault="00C60A2E" w:rsidP="009C1FFF">
      <w:pPr>
        <w:tabs>
          <w:tab w:val="left" w:pos="0"/>
        </w:tabs>
        <w:spacing w:beforeLines="50" w:before="120" w:after="0"/>
        <w:rPr>
          <w:lang w:eastAsia="ja-JP"/>
        </w:rPr>
      </w:pPr>
    </w:p>
    <w:p w14:paraId="022BCB96" w14:textId="77777777" w:rsidR="00C16DB8" w:rsidRDefault="00C16DB8"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321E445" w14:textId="52D9556A" w:rsidR="008C3C89" w:rsidRDefault="00AD2A18" w:rsidP="00AD2A18">
      <w:pPr>
        <w:tabs>
          <w:tab w:val="left" w:pos="4008"/>
        </w:tabs>
        <w:rPr>
          <w:lang w:eastAsia="ja-JP"/>
        </w:rPr>
      </w:pPr>
      <w:r>
        <w:rPr>
          <w:rFonts w:hint="eastAsia"/>
          <w:lang w:eastAsia="ja-JP"/>
        </w:rPr>
        <w:t>This document discuss</w:t>
      </w:r>
      <w:r w:rsidR="008C3C89">
        <w:rPr>
          <w:rFonts w:hint="eastAsia"/>
          <w:lang w:eastAsia="ja-JP"/>
        </w:rPr>
        <w:t xml:space="preserve">ed the remaining aspect of the </w:t>
      </w:r>
      <w:r w:rsidR="00ED394B">
        <w:rPr>
          <w:rFonts w:hint="eastAsia"/>
          <w:lang w:eastAsia="ja-JP"/>
        </w:rPr>
        <w:t xml:space="preserve">frame structure. </w:t>
      </w:r>
      <w:r w:rsidR="008C3C89">
        <w:rPr>
          <w:rFonts w:hint="eastAsia"/>
          <w:lang w:eastAsia="ja-JP"/>
        </w:rPr>
        <w:t>We propose following.</w:t>
      </w:r>
    </w:p>
    <w:p w14:paraId="68CCC5A5" w14:textId="77777777" w:rsidR="00ED394B" w:rsidRPr="00B517C6" w:rsidRDefault="00ED394B" w:rsidP="00ED394B">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1</w:t>
      </w:r>
      <w:r w:rsidRPr="00B517C6">
        <w:rPr>
          <w:rFonts w:hint="eastAsia"/>
          <w:b/>
          <w:lang w:eastAsia="ja-JP"/>
        </w:rPr>
        <w:t xml:space="preserve">: </w:t>
      </w:r>
    </w:p>
    <w:p w14:paraId="12C748D3" w14:textId="77777777" w:rsidR="00ED394B" w:rsidRDefault="00ED394B" w:rsidP="00ED394B">
      <w:pPr>
        <w:tabs>
          <w:tab w:val="left" w:pos="0"/>
        </w:tabs>
        <w:spacing w:beforeLines="50" w:before="120" w:after="0"/>
        <w:ind w:left="852"/>
        <w:rPr>
          <w:b/>
          <w:lang w:val="en-US" w:eastAsia="ja-JP"/>
        </w:rPr>
      </w:pPr>
      <w:r>
        <w:rPr>
          <w:rFonts w:hint="eastAsia"/>
          <w:b/>
          <w:lang w:val="en-US" w:eastAsia="ja-JP"/>
        </w:rPr>
        <w:t>T</w:t>
      </w:r>
      <w:r w:rsidRPr="00E25725">
        <w:rPr>
          <w:b/>
          <w:lang w:val="en-US" w:eastAsia="ja-JP"/>
        </w:rPr>
        <w:t xml:space="preserve">he </w:t>
      </w:r>
      <w:r>
        <w:rPr>
          <w:rFonts w:hint="eastAsia"/>
          <w:b/>
          <w:lang w:val="en-US" w:eastAsia="ja-JP"/>
        </w:rPr>
        <w:t>slot length is 14 for 15 kHz subcarrier spacing.</w:t>
      </w:r>
    </w:p>
    <w:p w14:paraId="52421074" w14:textId="77777777" w:rsidR="00ED394B" w:rsidRPr="00B517C6" w:rsidRDefault="00ED394B" w:rsidP="00ED394B">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2</w:t>
      </w:r>
      <w:r w:rsidRPr="00B517C6">
        <w:rPr>
          <w:rFonts w:hint="eastAsia"/>
          <w:b/>
          <w:lang w:eastAsia="ja-JP"/>
        </w:rPr>
        <w:t xml:space="preserve">: </w:t>
      </w:r>
    </w:p>
    <w:p w14:paraId="4B7E2681" w14:textId="77777777" w:rsidR="00ED394B" w:rsidRDefault="00ED394B" w:rsidP="00ED394B">
      <w:pPr>
        <w:tabs>
          <w:tab w:val="left" w:pos="0"/>
        </w:tabs>
        <w:spacing w:beforeLines="50" w:before="120" w:after="0"/>
        <w:ind w:left="852"/>
        <w:rPr>
          <w:b/>
          <w:lang w:val="en-US" w:eastAsia="ja-JP"/>
        </w:rPr>
      </w:pPr>
      <w:r>
        <w:rPr>
          <w:rFonts w:hint="eastAsia"/>
          <w:b/>
          <w:lang w:val="en-US" w:eastAsia="ja-JP"/>
        </w:rPr>
        <w:t>DL/UL switching should not be cell specific but UE and/or group specific.</w:t>
      </w:r>
    </w:p>
    <w:p w14:paraId="4EDBE555" w14:textId="77777777" w:rsidR="00ED394B" w:rsidRPr="00B517C6" w:rsidRDefault="00ED394B" w:rsidP="00ED394B">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3</w:t>
      </w:r>
      <w:r w:rsidRPr="00B517C6">
        <w:rPr>
          <w:rFonts w:hint="eastAsia"/>
          <w:b/>
          <w:lang w:eastAsia="ja-JP"/>
        </w:rPr>
        <w:t xml:space="preserve">: </w:t>
      </w:r>
    </w:p>
    <w:p w14:paraId="64F9BA4E" w14:textId="77777777" w:rsidR="00ED394B" w:rsidRDefault="00ED394B" w:rsidP="00ED394B">
      <w:pPr>
        <w:tabs>
          <w:tab w:val="left" w:pos="0"/>
        </w:tabs>
        <w:spacing w:beforeLines="50" w:before="120" w:after="0"/>
        <w:ind w:left="852"/>
        <w:rPr>
          <w:b/>
          <w:lang w:val="en-US" w:eastAsia="ja-JP"/>
        </w:rPr>
      </w:pPr>
      <w:r>
        <w:rPr>
          <w:rFonts w:hint="eastAsia"/>
          <w:b/>
          <w:lang w:val="en-US" w:eastAsia="ja-JP"/>
        </w:rPr>
        <w:t>Blank resource is generated by e</w:t>
      </w:r>
      <w:r w:rsidRPr="006F4372">
        <w:rPr>
          <w:b/>
          <w:lang w:val="en-US" w:eastAsia="ja-JP"/>
        </w:rPr>
        <w:t>xplicit blank resource indication by semi-static manner</w:t>
      </w:r>
      <w:r w:rsidRPr="006F4372">
        <w:rPr>
          <w:rFonts w:hint="eastAsia"/>
          <w:b/>
          <w:lang w:val="en-US" w:eastAsia="ja-JP"/>
        </w:rPr>
        <w:t xml:space="preserve"> </w:t>
      </w:r>
      <w:r>
        <w:rPr>
          <w:rFonts w:hint="eastAsia"/>
          <w:b/>
          <w:lang w:val="en-US" w:eastAsia="ja-JP"/>
        </w:rPr>
        <w:t>and i</w:t>
      </w:r>
      <w:r w:rsidRPr="006F4372">
        <w:rPr>
          <w:b/>
          <w:lang w:val="en-US" w:eastAsia="ja-JP"/>
        </w:rPr>
        <w:t>mplicit blank resource indication by scheduling</w:t>
      </w:r>
      <w:r>
        <w:rPr>
          <w:rFonts w:hint="eastAsia"/>
          <w:b/>
          <w:lang w:val="en-US" w:eastAsia="ja-JP"/>
        </w:rPr>
        <w:t>.</w:t>
      </w:r>
    </w:p>
    <w:p w14:paraId="5B6D26AA" w14:textId="77777777" w:rsidR="00ED394B" w:rsidRPr="00B517C6" w:rsidRDefault="00ED394B" w:rsidP="00ED394B">
      <w:pPr>
        <w:tabs>
          <w:tab w:val="left" w:pos="0"/>
        </w:tabs>
        <w:spacing w:beforeLines="50" w:before="120" w:after="0"/>
        <w:ind w:left="568"/>
        <w:rPr>
          <w:b/>
          <w:lang w:eastAsia="ja-JP"/>
        </w:rPr>
      </w:pPr>
      <w:r w:rsidRPr="00B517C6">
        <w:rPr>
          <w:rFonts w:hint="eastAsia"/>
          <w:b/>
          <w:lang w:eastAsia="ja-JP"/>
        </w:rPr>
        <w:t>P</w:t>
      </w:r>
      <w:r>
        <w:rPr>
          <w:rFonts w:hint="eastAsia"/>
          <w:b/>
          <w:lang w:eastAsia="ja-JP"/>
        </w:rPr>
        <w:t>roposal 4</w:t>
      </w:r>
      <w:r w:rsidRPr="00B517C6">
        <w:rPr>
          <w:rFonts w:hint="eastAsia"/>
          <w:b/>
          <w:lang w:eastAsia="ja-JP"/>
        </w:rPr>
        <w:t xml:space="preserve">: </w:t>
      </w:r>
    </w:p>
    <w:p w14:paraId="057129EB" w14:textId="77777777" w:rsidR="00ED394B" w:rsidRDefault="00ED394B" w:rsidP="00ED394B">
      <w:pPr>
        <w:tabs>
          <w:tab w:val="left" w:pos="0"/>
        </w:tabs>
        <w:spacing w:beforeLines="50" w:before="120" w:after="0"/>
        <w:ind w:left="852"/>
        <w:rPr>
          <w:b/>
          <w:lang w:val="en-US" w:eastAsia="ja-JP"/>
        </w:rPr>
      </w:pPr>
      <w:r>
        <w:rPr>
          <w:rFonts w:hint="eastAsia"/>
          <w:b/>
          <w:lang w:val="en-US" w:eastAsia="ja-JP"/>
        </w:rPr>
        <w:t>Study the relation to URLLC realization by e</w:t>
      </w:r>
      <w:r w:rsidRPr="002F349B">
        <w:rPr>
          <w:b/>
          <w:lang w:val="en-US" w:eastAsia="ja-JP"/>
        </w:rPr>
        <w:t>xplicit blank resource indication by DCI</w:t>
      </w:r>
      <w:r>
        <w:rPr>
          <w:rFonts w:hint="eastAsia"/>
          <w:b/>
          <w:lang w:val="en-US" w:eastAsia="ja-JP"/>
        </w:rPr>
        <w:t>. If this is used, DCI overhead should be considered.</w:t>
      </w: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lastRenderedPageBreak/>
        <w:t>Reference</w:t>
      </w:r>
    </w:p>
    <w:p w14:paraId="5677D59C" w14:textId="0ACF6648" w:rsidR="005F1F10" w:rsidRDefault="00D573E6" w:rsidP="0008705D">
      <w:pPr>
        <w:rPr>
          <w:lang w:eastAsia="ja-JP"/>
        </w:rPr>
      </w:pPr>
      <w:r>
        <w:rPr>
          <w:rFonts w:hint="eastAsia"/>
          <w:lang w:eastAsia="ja-JP"/>
        </w:rPr>
        <w:t xml:space="preserve">[1] </w:t>
      </w:r>
      <w:r w:rsidR="004D464B">
        <w:rPr>
          <w:rFonts w:hint="eastAsia"/>
          <w:lang w:eastAsia="ja-JP"/>
        </w:rPr>
        <w:tab/>
      </w:r>
      <w:r w:rsidR="004D464B">
        <w:rPr>
          <w:rFonts w:hint="eastAsia"/>
          <w:lang w:eastAsia="ja-JP"/>
        </w:rPr>
        <w:tab/>
      </w:r>
      <w:r w:rsidR="004D464B" w:rsidRPr="004D464B">
        <w:rPr>
          <w:lang w:eastAsia="ja-JP"/>
        </w:rPr>
        <w:t>R1-1609704</w:t>
      </w:r>
      <w:r w:rsidR="004D464B">
        <w:rPr>
          <w:rFonts w:hint="eastAsia"/>
          <w:lang w:eastAsia="ja-JP"/>
        </w:rPr>
        <w:t xml:space="preserve">, </w:t>
      </w:r>
      <w:r w:rsidR="004D464B" w:rsidRPr="004D464B">
        <w:rPr>
          <w:lang w:eastAsia="ja-JP"/>
        </w:rPr>
        <w:t>Discussion on NR duplexing</w:t>
      </w:r>
      <w:r w:rsidR="004D464B">
        <w:rPr>
          <w:rFonts w:hint="eastAsia"/>
          <w:lang w:eastAsia="ja-JP"/>
        </w:rPr>
        <w:t>, Panasonic</w:t>
      </w:r>
    </w:p>
    <w:p w14:paraId="278D3029" w14:textId="62C53E93" w:rsidR="00A87A78" w:rsidRDefault="00A87A78" w:rsidP="0008705D">
      <w:pPr>
        <w:rPr>
          <w:lang w:eastAsia="ja-JP"/>
        </w:rPr>
      </w:pPr>
      <w:r>
        <w:rPr>
          <w:rFonts w:hint="eastAsia"/>
          <w:lang w:eastAsia="ja-JP"/>
        </w:rPr>
        <w:t>[2]</w:t>
      </w:r>
      <w:r>
        <w:rPr>
          <w:rFonts w:hint="eastAsia"/>
          <w:lang w:eastAsia="ja-JP"/>
        </w:rPr>
        <w:tab/>
      </w:r>
      <w:r>
        <w:rPr>
          <w:rFonts w:hint="eastAsia"/>
          <w:lang w:eastAsia="ja-JP"/>
        </w:rPr>
        <w:tab/>
      </w:r>
      <w:r w:rsidR="001E580F" w:rsidRPr="001E580F">
        <w:rPr>
          <w:lang w:eastAsia="ja-JP"/>
        </w:rPr>
        <w:t>R1-166550</w:t>
      </w:r>
      <w:r w:rsidR="001E580F">
        <w:rPr>
          <w:rFonts w:hint="eastAsia"/>
          <w:lang w:eastAsia="ja-JP"/>
        </w:rPr>
        <w:t xml:space="preserve">, </w:t>
      </w:r>
      <w:r w:rsidR="001E580F" w:rsidRPr="001E580F">
        <w:rPr>
          <w:lang w:eastAsia="ja-JP"/>
        </w:rPr>
        <w:t>Forward compatibility for new radio interfac</w:t>
      </w:r>
      <w:r w:rsidR="001E580F">
        <w:rPr>
          <w:rFonts w:hint="eastAsia"/>
          <w:lang w:eastAsia="ja-JP"/>
        </w:rPr>
        <w:t xml:space="preserve">e, </w:t>
      </w:r>
      <w:r w:rsidR="001E580F" w:rsidRPr="001E580F">
        <w:rPr>
          <w:lang w:eastAsia="ja-JP"/>
        </w:rPr>
        <w:t>Intel Corporation</w:t>
      </w:r>
    </w:p>
    <w:p w14:paraId="6E7D5C26" w14:textId="0B3EC1E6" w:rsidR="00A87A78" w:rsidRDefault="00A87A78" w:rsidP="0008705D">
      <w:pPr>
        <w:rPr>
          <w:lang w:eastAsia="ja-JP"/>
        </w:rPr>
      </w:pPr>
      <w:r>
        <w:rPr>
          <w:rFonts w:hint="eastAsia"/>
          <w:lang w:eastAsia="ja-JP"/>
        </w:rPr>
        <w:t>[3]</w:t>
      </w:r>
      <w:r>
        <w:rPr>
          <w:rFonts w:hint="eastAsia"/>
          <w:lang w:eastAsia="ja-JP"/>
        </w:rPr>
        <w:tab/>
      </w:r>
      <w:r>
        <w:rPr>
          <w:rFonts w:hint="eastAsia"/>
          <w:lang w:eastAsia="ja-JP"/>
        </w:rPr>
        <w:tab/>
      </w:r>
      <w:r w:rsidR="001E580F" w:rsidRPr="001E580F">
        <w:rPr>
          <w:lang w:eastAsia="ja-JP"/>
        </w:rPr>
        <w:t>R1-166346</w:t>
      </w:r>
      <w:r w:rsidR="001E580F">
        <w:rPr>
          <w:rFonts w:hint="eastAsia"/>
          <w:lang w:eastAsia="ja-JP"/>
        </w:rPr>
        <w:t xml:space="preserve">, </w:t>
      </w:r>
      <w:r w:rsidR="001E580F" w:rsidRPr="001E580F">
        <w:rPr>
          <w:lang w:eastAsia="ja-JP"/>
        </w:rPr>
        <w:t>Forward compatibility consideration for NR frame structure</w:t>
      </w:r>
      <w:r w:rsidR="001E580F">
        <w:rPr>
          <w:rFonts w:hint="eastAsia"/>
          <w:lang w:eastAsia="ja-JP"/>
        </w:rPr>
        <w:t>, Qualcomm</w:t>
      </w:r>
    </w:p>
    <w:p w14:paraId="0C0A9D0D" w14:textId="77777777" w:rsidR="00F95708" w:rsidRDefault="00F95708" w:rsidP="00C10935">
      <w:pPr>
        <w:rPr>
          <w:lang w:eastAsia="ja-JP"/>
        </w:rPr>
      </w:pPr>
    </w:p>
    <w:sectPr w:rsidR="00F9570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12055" w14:textId="77777777" w:rsidR="004C3B55" w:rsidRDefault="004C3B55">
      <w:r>
        <w:separator/>
      </w:r>
    </w:p>
  </w:endnote>
  <w:endnote w:type="continuationSeparator" w:id="0">
    <w:p w14:paraId="40322A00" w14:textId="77777777" w:rsidR="004C3B55" w:rsidRDefault="004C3B55">
      <w:r>
        <w:continuationSeparator/>
      </w:r>
    </w:p>
  </w:endnote>
  <w:endnote w:type="continuationNotice" w:id="1">
    <w:p w14:paraId="1DB4F5CE" w14:textId="77777777" w:rsidR="004C3B55" w:rsidRDefault="004C3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3041F">
      <w:rPr>
        <w:rStyle w:val="af5"/>
      </w:rPr>
      <w:t>4</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2EFC3" w14:textId="77777777" w:rsidR="004C3B55" w:rsidRDefault="004C3B55">
      <w:r>
        <w:separator/>
      </w:r>
    </w:p>
  </w:footnote>
  <w:footnote w:type="continuationSeparator" w:id="0">
    <w:p w14:paraId="2D03A609" w14:textId="77777777" w:rsidR="004C3B55" w:rsidRDefault="004C3B55">
      <w:r>
        <w:continuationSeparator/>
      </w:r>
    </w:p>
  </w:footnote>
  <w:footnote w:type="continuationNotice" w:id="1">
    <w:p w14:paraId="69DB9305" w14:textId="77777777" w:rsidR="004C3B55" w:rsidRDefault="004C3B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6">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7"/>
  </w:num>
  <w:num w:numId="4">
    <w:abstractNumId w:val="19"/>
  </w:num>
  <w:num w:numId="5">
    <w:abstractNumId w:val="10"/>
  </w:num>
  <w:num w:numId="6">
    <w:abstractNumId w:val="11"/>
  </w:num>
  <w:num w:numId="7">
    <w:abstractNumId w:val="9"/>
  </w:num>
  <w:num w:numId="8">
    <w:abstractNumId w:val="23"/>
  </w:num>
  <w:num w:numId="9">
    <w:abstractNumId w:val="4"/>
  </w:num>
  <w:num w:numId="10">
    <w:abstractNumId w:val="6"/>
  </w:num>
  <w:num w:numId="11">
    <w:abstractNumId w:val="8"/>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0"/>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5"/>
  </w:num>
  <w:num w:numId="22">
    <w:abstractNumId w:val="3"/>
  </w:num>
  <w:num w:numId="23">
    <w:abstractNumId w:val="14"/>
  </w:num>
  <w:num w:numId="24">
    <w:abstractNumId w:val="1"/>
  </w:num>
  <w:num w:numId="25">
    <w:abstractNumId w:val="18"/>
  </w:num>
  <w:num w:numId="26">
    <w:abstractNumId w:val="12"/>
  </w:num>
  <w:num w:numId="27">
    <w:abstractNumId w:val="15"/>
  </w:num>
  <w:num w:numId="28">
    <w:abstractNumId w:val="2"/>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4A7E"/>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2FFF"/>
    <w:rsid w:val="00083B28"/>
    <w:rsid w:val="00083CFB"/>
    <w:rsid w:val="00085A5C"/>
    <w:rsid w:val="000865D7"/>
    <w:rsid w:val="0008705D"/>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15EE"/>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7ED9"/>
    <w:rsid w:val="00160041"/>
    <w:rsid w:val="0016034C"/>
    <w:rsid w:val="001603FD"/>
    <w:rsid w:val="00160F4B"/>
    <w:rsid w:val="00161756"/>
    <w:rsid w:val="001618B6"/>
    <w:rsid w:val="001620B9"/>
    <w:rsid w:val="00162CB3"/>
    <w:rsid w:val="00164B8B"/>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075"/>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1C6"/>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2D3"/>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580F"/>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695"/>
    <w:rsid w:val="00203988"/>
    <w:rsid w:val="00204256"/>
    <w:rsid w:val="0020685A"/>
    <w:rsid w:val="00206948"/>
    <w:rsid w:val="00206AB0"/>
    <w:rsid w:val="00206AEB"/>
    <w:rsid w:val="00206B58"/>
    <w:rsid w:val="0020727C"/>
    <w:rsid w:val="002076A6"/>
    <w:rsid w:val="00207B8F"/>
    <w:rsid w:val="00210FF7"/>
    <w:rsid w:val="0021118E"/>
    <w:rsid w:val="00212D25"/>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3B"/>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4F74"/>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0A1A"/>
    <w:rsid w:val="0028164A"/>
    <w:rsid w:val="00283225"/>
    <w:rsid w:val="0028393C"/>
    <w:rsid w:val="00283BF6"/>
    <w:rsid w:val="00284032"/>
    <w:rsid w:val="00284E44"/>
    <w:rsid w:val="00285261"/>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49B"/>
    <w:rsid w:val="002F38C0"/>
    <w:rsid w:val="002F3B40"/>
    <w:rsid w:val="002F40B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55"/>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64B"/>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3DCF"/>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86"/>
    <w:rsid w:val="00543BB0"/>
    <w:rsid w:val="00543CEF"/>
    <w:rsid w:val="00543D31"/>
    <w:rsid w:val="00544895"/>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087A"/>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0D66"/>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372"/>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17E8E"/>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D31"/>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2542"/>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2F7A"/>
    <w:rsid w:val="0083388A"/>
    <w:rsid w:val="008347C5"/>
    <w:rsid w:val="0083509B"/>
    <w:rsid w:val="00835FB0"/>
    <w:rsid w:val="008362B1"/>
    <w:rsid w:val="0083634B"/>
    <w:rsid w:val="008368D2"/>
    <w:rsid w:val="00836C3E"/>
    <w:rsid w:val="008376BA"/>
    <w:rsid w:val="00837825"/>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83B"/>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CCD"/>
    <w:rsid w:val="009A7355"/>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1A63"/>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9FD"/>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14F0"/>
    <w:rsid w:val="00A6166C"/>
    <w:rsid w:val="00A619AE"/>
    <w:rsid w:val="00A62CF6"/>
    <w:rsid w:val="00A62D4D"/>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A78"/>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325"/>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723"/>
    <w:rsid w:val="00B64D27"/>
    <w:rsid w:val="00B64EAC"/>
    <w:rsid w:val="00B651D4"/>
    <w:rsid w:val="00B65B0A"/>
    <w:rsid w:val="00B65FEF"/>
    <w:rsid w:val="00B66E99"/>
    <w:rsid w:val="00B67677"/>
    <w:rsid w:val="00B67930"/>
    <w:rsid w:val="00B67FB8"/>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575"/>
    <w:rsid w:val="00C22C62"/>
    <w:rsid w:val="00C22E73"/>
    <w:rsid w:val="00C22F76"/>
    <w:rsid w:val="00C23587"/>
    <w:rsid w:val="00C23789"/>
    <w:rsid w:val="00C23B26"/>
    <w:rsid w:val="00C240AF"/>
    <w:rsid w:val="00C240F7"/>
    <w:rsid w:val="00C24982"/>
    <w:rsid w:val="00C24E27"/>
    <w:rsid w:val="00C25A34"/>
    <w:rsid w:val="00C2672C"/>
    <w:rsid w:val="00C27FF9"/>
    <w:rsid w:val="00C3041F"/>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6E40"/>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1F16"/>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653"/>
    <w:rsid w:val="00CF4706"/>
    <w:rsid w:val="00CF4C45"/>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1FDE"/>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27CD"/>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CD"/>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1DBD"/>
    <w:rsid w:val="00ED1E47"/>
    <w:rsid w:val="00ED394B"/>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2635"/>
    <w:rsid w:val="00F23705"/>
    <w:rsid w:val="00F23A73"/>
    <w:rsid w:val="00F23A98"/>
    <w:rsid w:val="00F244BB"/>
    <w:rsid w:val="00F246EB"/>
    <w:rsid w:val="00F258F6"/>
    <w:rsid w:val="00F25C3B"/>
    <w:rsid w:val="00F263D6"/>
    <w:rsid w:val="00F269E9"/>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7D6"/>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table" w:customStyle="1" w:styleId="TableGridLight1">
    <w:name w:val="Table Grid Light1"/>
    <w:basedOn w:val="a1"/>
    <w:uiPriority w:val="40"/>
    <w:rsid w:val="00D827CD"/>
    <w:rPr>
      <w:rFonts w:ascii="CG Times (WN)" w:eastAsiaTheme="minorEastAsia"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table" w:customStyle="1" w:styleId="TableGridLight1">
    <w:name w:val="Table Grid Light1"/>
    <w:basedOn w:val="a1"/>
    <w:uiPriority w:val="40"/>
    <w:rsid w:val="00D827CD"/>
    <w:rPr>
      <w:rFonts w:ascii="CG Times (WN)" w:eastAsiaTheme="minorEastAsia"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83243-D90E-410F-B928-3E049F0C372C}">
  <ds:schemaRefs>
    <ds:schemaRef ds:uri="http://schemas.openxmlformats.org/officeDocument/2006/bibliography"/>
  </ds:schemaRefs>
</ds:datastoreItem>
</file>

<file path=customXml/itemProps2.xml><?xml version="1.0" encoding="utf-8"?>
<ds:datastoreItem xmlns:ds="http://schemas.openxmlformats.org/officeDocument/2006/customXml" ds:itemID="{1715EE02-EEBF-4DE5-8F7B-37DAE347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Pages>
  <Words>1183</Words>
  <Characters>6746</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206</cp:revision>
  <cp:lastPrinted>2010-04-02T09:58:00Z</cp:lastPrinted>
  <dcterms:created xsi:type="dcterms:W3CDTF">2016-08-08T14:11:00Z</dcterms:created>
  <dcterms:modified xsi:type="dcterms:W3CDTF">2016-09-30T13:29:00Z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