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99" w:rsidRPr="00446F9D" w:rsidRDefault="00FE5799" w:rsidP="00FE5799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446F9D">
        <w:t>TSG-RAN WG1 #</w:t>
      </w:r>
      <w:r w:rsidR="00EE7683">
        <w:t>86</w:t>
      </w:r>
      <w:r w:rsidRPr="00446F9D">
        <w:tab/>
        <w:t>R1-</w:t>
      </w:r>
      <w:r w:rsidR="00112819">
        <w:t>167746</w:t>
      </w:r>
    </w:p>
    <w:p w:rsidR="00FE5799" w:rsidRPr="000833FA" w:rsidRDefault="00EE7683" w:rsidP="00FE5799">
      <w:pPr>
        <w:pStyle w:val="Header"/>
        <w:rPr>
          <w:color w:val="000000"/>
        </w:rPr>
      </w:pPr>
      <w:r>
        <w:t>Gothenburg, Sweden</w:t>
      </w:r>
      <w:r w:rsidR="00FE5799" w:rsidRPr="000833FA">
        <w:t>,</w:t>
      </w:r>
      <w:r w:rsidR="00112819">
        <w:t xml:space="preserve"> August 22 – 26</w:t>
      </w:r>
      <w:r w:rsidR="00FE5799">
        <w:t>, 2016</w:t>
      </w:r>
    </w:p>
    <w:p w:rsidR="00FE5799" w:rsidRPr="000833FA" w:rsidRDefault="00FE5799" w:rsidP="00FE5799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proofErr w:type="spellStart"/>
      <w:r w:rsidR="00922615">
        <w:t>Guardband</w:t>
      </w:r>
      <w:proofErr w:type="spellEnd"/>
      <w:r w:rsidR="00922615">
        <w:t xml:space="preserve"> for mixed numerologies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  <w:r w:rsidR="00112819">
        <w:t>8.1.2.1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0F6113" w:rsidRDefault="00714384" w:rsidP="000F6113">
      <w:pPr>
        <w:pStyle w:val="Heading1"/>
      </w:pPr>
      <w:r>
        <w:t>Discussion</w:t>
      </w:r>
    </w:p>
    <w:p w:rsidR="00922615" w:rsidRDefault="00922615" w:rsidP="00797D2C">
      <w:pPr>
        <w:pStyle w:val="BodyText"/>
      </w:pPr>
      <w:r>
        <w:t xml:space="preserve">It has been proposed that NR should support the </w:t>
      </w:r>
      <w:r w:rsidR="007335D4">
        <w:t>simultaneous use of different numerologies (different</w:t>
      </w:r>
      <w:r>
        <w:t xml:space="preserve"> sub</w:t>
      </w:r>
      <w:r w:rsidR="007335D4">
        <w:t>-carrier spacing and/or different</w:t>
      </w:r>
      <w:r>
        <w:t xml:space="preserve"> </w:t>
      </w:r>
      <w:r w:rsidR="00714384">
        <w:t>CP lengths)</w:t>
      </w:r>
      <w:r w:rsidR="007335D4">
        <w:t xml:space="preserve"> on the same carrier, also referred to as </w:t>
      </w:r>
      <w:r w:rsidR="007335D4" w:rsidRPr="007335D4">
        <w:rPr>
          <w:i/>
        </w:rPr>
        <w:t>mixed numerology</w:t>
      </w:r>
      <w:r w:rsidR="00714384">
        <w:t xml:space="preserve">. Mixed numerology is to be enabled by the use of </w:t>
      </w:r>
      <w:r w:rsidR="00714384" w:rsidRPr="007335D4">
        <w:rPr>
          <w:i/>
        </w:rPr>
        <w:t xml:space="preserve">spectral confinement on a </w:t>
      </w:r>
      <w:proofErr w:type="spellStart"/>
      <w:r w:rsidR="00714384" w:rsidRPr="007335D4">
        <w:rPr>
          <w:i/>
        </w:rPr>
        <w:t>subband</w:t>
      </w:r>
      <w:proofErr w:type="spellEnd"/>
      <w:r w:rsidR="00714384" w:rsidRPr="007335D4">
        <w:rPr>
          <w:i/>
        </w:rPr>
        <w:t xml:space="preserve"> basis</w:t>
      </w:r>
      <w:r w:rsidR="00714384">
        <w:t xml:space="preserve">. </w:t>
      </w:r>
    </w:p>
    <w:p w:rsidR="00714384" w:rsidRDefault="007335D4" w:rsidP="00797D2C">
      <w:pPr>
        <w:pStyle w:val="BodyText"/>
      </w:pPr>
      <w:r>
        <w:t>In [1] we propose</w:t>
      </w:r>
      <w:r w:rsidR="00714384">
        <w:t xml:space="preserve"> that spectral confinement on a </w:t>
      </w:r>
      <w:proofErr w:type="spellStart"/>
      <w:r w:rsidR="00714384">
        <w:t>subband</w:t>
      </w:r>
      <w:proofErr w:type="spellEnd"/>
      <w:r w:rsidR="00714384">
        <w:t xml:space="preserve"> bas</w:t>
      </w:r>
      <w:r>
        <w:t>is should be specified as (RAN4)</w:t>
      </w:r>
      <w:r w:rsidR="00714384">
        <w:t xml:space="preserve"> requirements on out-of-</w:t>
      </w:r>
      <w:proofErr w:type="spellStart"/>
      <w:r w:rsidR="00714384">
        <w:t>subband</w:t>
      </w:r>
      <w:proofErr w:type="spellEnd"/>
      <w:r w:rsidR="00714384">
        <w:t xml:space="preserve"> emissions (transmitter side) and adjacent </w:t>
      </w:r>
      <w:proofErr w:type="spellStart"/>
      <w:r w:rsidR="00714384">
        <w:t>subband</w:t>
      </w:r>
      <w:proofErr w:type="spellEnd"/>
      <w:r w:rsidR="00714384">
        <w:t xml:space="preserve"> interference suppression (receiver side)</w:t>
      </w:r>
      <w:r>
        <w:t xml:space="preserve"> with no specification on exactly how the spectral confinement is achieved</w:t>
      </w:r>
      <w:r w:rsidR="00714384">
        <w:t xml:space="preserve">. </w:t>
      </w:r>
      <w:r w:rsidR="00200A30">
        <w:t>These requirements should not be a single value but should rather specify the out-of-</w:t>
      </w:r>
      <w:proofErr w:type="spellStart"/>
      <w:r w:rsidR="00200A30">
        <w:t>subband</w:t>
      </w:r>
      <w:proofErr w:type="spellEnd"/>
      <w:r w:rsidR="00200A30">
        <w:t xml:space="preserve"> emissions and adjacent-</w:t>
      </w:r>
      <w:proofErr w:type="spellStart"/>
      <w:r w:rsidR="00200A30">
        <w:t>suband</w:t>
      </w:r>
      <w:proofErr w:type="spellEnd"/>
      <w:r w:rsidR="00200A30">
        <w:t xml:space="preserve"> interference suppression as a function of the distance to the </w:t>
      </w:r>
      <w:proofErr w:type="spellStart"/>
      <w:r w:rsidR="00200A30">
        <w:t>subband</w:t>
      </w:r>
      <w:proofErr w:type="spellEnd"/>
      <w:r>
        <w:t xml:space="preserve"> of interest</w:t>
      </w:r>
      <w:r w:rsidR="00200A30">
        <w:t xml:space="preserve">. </w:t>
      </w:r>
    </w:p>
    <w:p w:rsidR="00714384" w:rsidRDefault="00714384" w:rsidP="00797D2C">
      <w:pPr>
        <w:pStyle w:val="BodyText"/>
      </w:pPr>
      <w:r>
        <w:t xml:space="preserve">In [2] we further state that, in case of mixed </w:t>
      </w:r>
      <w:r w:rsidR="007335D4">
        <w:t xml:space="preserve">numerologies, sub-carriers of </w:t>
      </w:r>
      <w:proofErr w:type="spellStart"/>
      <w:r w:rsidR="007335D4">
        <w:t>a</w:t>
      </w:r>
      <w:r>
        <w:t>certain</w:t>
      </w:r>
      <w:proofErr w:type="spellEnd"/>
      <w:r>
        <w:t xml:space="preserve"> numerology should still lie</w:t>
      </w:r>
      <w:r w:rsidR="007335D4">
        <w:t xml:space="preserve"> on their “normal” grid, i.e. the</w:t>
      </w:r>
      <w:r>
        <w:t xml:space="preserve"> sub-carrier grid </w:t>
      </w:r>
      <w:r w:rsidR="007335D4">
        <w:t xml:space="preserve">and resource-block grid applicable for </w:t>
      </w:r>
      <w:proofErr w:type="gramStart"/>
      <w:r w:rsidR="007335D4">
        <w:t xml:space="preserve">a </w:t>
      </w:r>
      <w:r>
        <w:t>certain</w:t>
      </w:r>
      <w:proofErr w:type="gramEnd"/>
      <w:r>
        <w:t xml:space="preserve"> numerology should not be impacted by the fact that mixed num</w:t>
      </w:r>
      <w:r w:rsidR="007335D4">
        <w:t xml:space="preserve">erologies are used on a </w:t>
      </w:r>
      <w:r>
        <w:t xml:space="preserve">carrier. </w:t>
      </w:r>
    </w:p>
    <w:p w:rsidR="00714384" w:rsidRDefault="00714384" w:rsidP="00797D2C">
      <w:pPr>
        <w:pStyle w:val="BodyText"/>
      </w:pPr>
      <w:r>
        <w:t xml:space="preserve">However, there is still a question what </w:t>
      </w:r>
      <w:proofErr w:type="spellStart"/>
      <w:r>
        <w:t>guardbands</w:t>
      </w:r>
      <w:proofErr w:type="spellEnd"/>
      <w:r>
        <w:t xml:space="preserve"> one should assume between two </w:t>
      </w:r>
      <w:proofErr w:type="spellStart"/>
      <w:r>
        <w:t>subbands</w:t>
      </w:r>
      <w:proofErr w:type="spellEnd"/>
      <w:r>
        <w:t xml:space="preserve"> using different numerologies. What guard band is needed depends on, at least</w:t>
      </w:r>
    </w:p>
    <w:p w:rsidR="00714384" w:rsidRDefault="007335D4" w:rsidP="00714384">
      <w:pPr>
        <w:pStyle w:val="BodyText"/>
        <w:numPr>
          <w:ilvl w:val="0"/>
          <w:numId w:val="16"/>
        </w:numPr>
      </w:pPr>
      <w:r>
        <w:t>The</w:t>
      </w:r>
      <w:r w:rsidR="00200A30">
        <w:t xml:space="preserve"> out-of-</w:t>
      </w:r>
      <w:proofErr w:type="spellStart"/>
      <w:r w:rsidR="00200A30">
        <w:t>subband</w:t>
      </w:r>
      <w:proofErr w:type="spellEnd"/>
      <w:r w:rsidR="00200A30">
        <w:t xml:space="preserve"> emiss</w:t>
      </w:r>
      <w:r>
        <w:t>i</w:t>
      </w:r>
      <w:r w:rsidR="00200A30">
        <w:t>ons and  adjacent-</w:t>
      </w:r>
      <w:proofErr w:type="spellStart"/>
      <w:r w:rsidR="00714384">
        <w:t>subband</w:t>
      </w:r>
      <w:proofErr w:type="spellEnd"/>
      <w:r w:rsidR="00714384">
        <w:t xml:space="preserve"> in</w:t>
      </w:r>
      <w:r w:rsidR="00200A30">
        <w:t>terference suppression</w:t>
      </w:r>
    </w:p>
    <w:p w:rsidR="00714384" w:rsidRDefault="00200A30" w:rsidP="00714384">
      <w:pPr>
        <w:pStyle w:val="BodyText"/>
        <w:numPr>
          <w:ilvl w:val="0"/>
          <w:numId w:val="16"/>
        </w:numPr>
      </w:pPr>
      <w:r>
        <w:t>The acceptable inter-</w:t>
      </w:r>
      <w:proofErr w:type="spellStart"/>
      <w:r>
        <w:t>subband</w:t>
      </w:r>
      <w:proofErr w:type="spellEnd"/>
      <w:r w:rsidR="00714384">
        <w:t xml:space="preserve"> </w:t>
      </w:r>
      <w:r>
        <w:t>interference</w:t>
      </w:r>
    </w:p>
    <w:p w:rsidR="00200A30" w:rsidRDefault="00714384" w:rsidP="00714384">
      <w:pPr>
        <w:pStyle w:val="BodyText"/>
      </w:pPr>
      <w:r>
        <w:t xml:space="preserve">The </w:t>
      </w:r>
      <w:r w:rsidR="00200A30">
        <w:t>acceptable inter-</w:t>
      </w:r>
      <w:proofErr w:type="spellStart"/>
      <w:r w:rsidR="00200A30">
        <w:t>subband</w:t>
      </w:r>
      <w:proofErr w:type="spellEnd"/>
      <w:r w:rsidR="00200A30">
        <w:t xml:space="preserve"> interference </w:t>
      </w:r>
      <w:r>
        <w:t>heavily depend</w:t>
      </w:r>
      <w:r w:rsidR="00362D96">
        <w:t>s</w:t>
      </w:r>
      <w:r>
        <w:t xml:space="preserve"> on the deployment</w:t>
      </w:r>
    </w:p>
    <w:p w:rsidR="00200A30" w:rsidRDefault="00200A30" w:rsidP="00200A30">
      <w:pPr>
        <w:pStyle w:val="BodyText"/>
        <w:numPr>
          <w:ilvl w:val="0"/>
          <w:numId w:val="16"/>
        </w:numPr>
      </w:pPr>
      <w:r>
        <w:t>In some cases a deployment is</w:t>
      </w:r>
      <w:r w:rsidR="0007207C">
        <w:t xml:space="preserve"> targeting high SINR implying the need for very low inter-</w:t>
      </w:r>
      <w:proofErr w:type="spellStart"/>
      <w:r w:rsidR="0007207C">
        <w:t>subband</w:t>
      </w:r>
      <w:proofErr w:type="spellEnd"/>
      <w:r w:rsidR="0007207C">
        <w:t xml:space="preserve"> interference and thus a high degree of inter-</w:t>
      </w:r>
      <w:proofErr w:type="spellStart"/>
      <w:r w:rsidR="0007207C">
        <w:t>subband</w:t>
      </w:r>
      <w:proofErr w:type="spellEnd"/>
      <w:r w:rsidR="0007207C">
        <w:t xml:space="preserve"> interference suppression</w:t>
      </w:r>
      <w:r>
        <w:t xml:space="preserve">. As a consequence, </w:t>
      </w:r>
      <w:r w:rsidR="0007207C">
        <w:t xml:space="preserve">a larger </w:t>
      </w:r>
      <w:proofErr w:type="gramStart"/>
      <w:r w:rsidR="0007207C">
        <w:t>guards</w:t>
      </w:r>
      <w:proofErr w:type="gramEnd"/>
      <w:r w:rsidR="0007207C">
        <w:t xml:space="preserve"> band</w:t>
      </w:r>
      <w:r>
        <w:t xml:space="preserve"> between </w:t>
      </w:r>
      <w:proofErr w:type="spellStart"/>
      <w:r>
        <w:t>subbands</w:t>
      </w:r>
      <w:proofErr w:type="spellEnd"/>
      <w:r>
        <w:t xml:space="preserve"> </w:t>
      </w:r>
      <w:r w:rsidR="0007207C">
        <w:t>using different numerologies is</w:t>
      </w:r>
      <w:r w:rsidR="007335D4">
        <w:t xml:space="preserve"> </w:t>
      </w:r>
      <w:r>
        <w:t>needed.</w:t>
      </w:r>
    </w:p>
    <w:p w:rsidR="00200A30" w:rsidRDefault="00200A30" w:rsidP="00200A30">
      <w:pPr>
        <w:pStyle w:val="BodyText"/>
        <w:numPr>
          <w:ilvl w:val="0"/>
          <w:numId w:val="16"/>
        </w:numPr>
      </w:pPr>
      <w:r>
        <w:t>In other cases</w:t>
      </w:r>
      <w:r w:rsidR="00714384">
        <w:t>, for example in wide-area deployments or deployments w</w:t>
      </w:r>
      <w:r>
        <w:t>ith a high traffic density per node</w:t>
      </w:r>
      <w:r w:rsidR="00714384">
        <w:t xml:space="preserve">, the achievable SINR will anyway be limited and </w:t>
      </w:r>
      <w:r>
        <w:t xml:space="preserve">even </w:t>
      </w:r>
      <w:r w:rsidR="00714384">
        <w:t>a relatively high le</w:t>
      </w:r>
      <w:r>
        <w:t>vel of inter-</w:t>
      </w:r>
      <w:proofErr w:type="spellStart"/>
      <w:r>
        <w:t>subband</w:t>
      </w:r>
      <w:proofErr w:type="spellEnd"/>
      <w:r>
        <w:t xml:space="preserve"> interference will have limited impact</w:t>
      </w:r>
      <w:r w:rsidR="0007207C">
        <w:t xml:space="preserve"> on the overall performance</w:t>
      </w:r>
      <w:r>
        <w:t>. As a</w:t>
      </w:r>
      <w:r w:rsidR="007335D4">
        <w:t xml:space="preserve"> consequence, a smaller </w:t>
      </w:r>
      <w:proofErr w:type="spellStart"/>
      <w:r w:rsidR="007335D4">
        <w:t>guardband</w:t>
      </w:r>
      <w:proofErr w:type="spellEnd"/>
      <w:r>
        <w:t xml:space="preserve"> would be sufficient. In some cases operation with zero-</w:t>
      </w:r>
      <w:proofErr w:type="spellStart"/>
      <w:r>
        <w:t>guardband</w:t>
      </w:r>
      <w:proofErr w:type="spellEnd"/>
      <w:r>
        <w:t xml:space="preserve"> may even be possible.</w:t>
      </w:r>
    </w:p>
    <w:p w:rsidR="00200A30" w:rsidRDefault="00200A30" w:rsidP="00200A30">
      <w:pPr>
        <w:pStyle w:val="BodyText"/>
      </w:pPr>
    </w:p>
    <w:p w:rsidR="00200A30" w:rsidRDefault="00200A30" w:rsidP="00200A30">
      <w:pPr>
        <w:pStyle w:val="Heading1"/>
      </w:pPr>
      <w:r>
        <w:t>Proposal</w:t>
      </w:r>
    </w:p>
    <w:p w:rsidR="00200A30" w:rsidRDefault="00200A30" w:rsidP="00200A30">
      <w:pPr>
        <w:pStyle w:val="BodyText"/>
      </w:pPr>
      <w:r>
        <w:t xml:space="preserve">In case of mixed numerologies within one carrier, the </w:t>
      </w:r>
      <w:proofErr w:type="spellStart"/>
      <w:r>
        <w:t>guardband</w:t>
      </w:r>
      <w:proofErr w:type="spellEnd"/>
      <w:r>
        <w:t xml:space="preserve"> between </w:t>
      </w:r>
      <w:proofErr w:type="spellStart"/>
      <w:r>
        <w:t>subbands</w:t>
      </w:r>
      <w:proofErr w:type="spellEnd"/>
      <w:r>
        <w:t xml:space="preserve"> with different numerologies should not be specified but should be a deployment decision.</w:t>
      </w:r>
    </w:p>
    <w:p w:rsidR="00797D2C" w:rsidRDefault="00797D2C" w:rsidP="00797D2C">
      <w:pPr>
        <w:pStyle w:val="BodyText"/>
      </w:pPr>
    </w:p>
    <w:p w:rsidR="00200A30" w:rsidRDefault="00200A30" w:rsidP="00200A30">
      <w:pPr>
        <w:pStyle w:val="Heading1"/>
        <w:numPr>
          <w:ilvl w:val="0"/>
          <w:numId w:val="0"/>
        </w:numPr>
        <w:ind w:left="567" w:hanging="567"/>
      </w:pPr>
      <w:r>
        <w:t>References</w:t>
      </w:r>
    </w:p>
    <w:p w:rsidR="00200A30" w:rsidRDefault="00200A30" w:rsidP="00112819">
      <w:pPr>
        <w:pStyle w:val="BodyText"/>
        <w:tabs>
          <w:tab w:val="left" w:pos="567"/>
        </w:tabs>
      </w:pPr>
      <w:r>
        <w:t>[1]</w:t>
      </w:r>
      <w:r>
        <w:tab/>
      </w:r>
      <w:r w:rsidR="00112819">
        <w:t>R1-167029 “</w:t>
      </w:r>
      <w:r w:rsidR="007335D4">
        <w:t>On</w:t>
      </w:r>
      <w:r w:rsidR="00112819">
        <w:t xml:space="preserve"> NR spectrum confinement”</w:t>
      </w:r>
    </w:p>
    <w:p w:rsidR="00200A30" w:rsidRPr="00200A30" w:rsidRDefault="00200A30" w:rsidP="00112819">
      <w:pPr>
        <w:pStyle w:val="BodyText"/>
        <w:tabs>
          <w:tab w:val="left" w:pos="567"/>
        </w:tabs>
      </w:pPr>
      <w:r>
        <w:t>[2]</w:t>
      </w:r>
      <w:r>
        <w:tab/>
      </w:r>
      <w:r w:rsidR="00112819">
        <w:rPr>
          <w:lang w:val="en-GB"/>
        </w:rPr>
        <w:t>R1-167033 “</w:t>
      </w:r>
      <w:r w:rsidR="00112819">
        <w:t>On resource allocation and guard subcarriers for mixed numerologies”</w:t>
      </w:r>
    </w:p>
    <w:sectPr w:rsidR="00200A30" w:rsidRPr="00200A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F72" w:rsidRDefault="00D71F72">
      <w:r>
        <w:separator/>
      </w:r>
    </w:p>
  </w:endnote>
  <w:endnote w:type="continuationSeparator" w:id="0">
    <w:p w:rsidR="00D71F72" w:rsidRDefault="00D7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34E" w:rsidRDefault="001C43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34E" w:rsidRDefault="001C434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34E" w:rsidRDefault="001C43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F72" w:rsidRDefault="00D71F72">
      <w:r>
        <w:separator/>
      </w:r>
    </w:p>
  </w:footnote>
  <w:footnote w:type="continuationSeparator" w:id="0">
    <w:p w:rsidR="00D71F72" w:rsidRDefault="00D71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34E" w:rsidRDefault="001C43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34E" w:rsidRDefault="001C434E" w:rsidP="00417FDA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34E" w:rsidRDefault="001C43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F40DF0"/>
    <w:multiLevelType w:val="hybridMultilevel"/>
    <w:tmpl w:val="11ECD412"/>
    <w:lvl w:ilvl="0" w:tplc="1FEAC25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780A72"/>
    <w:multiLevelType w:val="hybridMultilevel"/>
    <w:tmpl w:val="8CB0CDFC"/>
    <w:lvl w:ilvl="0" w:tplc="06D6B84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9B730B"/>
    <w:multiLevelType w:val="hybridMultilevel"/>
    <w:tmpl w:val="46186E32"/>
    <w:lvl w:ilvl="0" w:tplc="DCCE4EF4">
      <w:start w:val="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EB2911"/>
    <w:multiLevelType w:val="hybridMultilevel"/>
    <w:tmpl w:val="A1DAD792"/>
    <w:lvl w:ilvl="0" w:tplc="CF14D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6B3B1D"/>
    <w:multiLevelType w:val="hybridMultilevel"/>
    <w:tmpl w:val="FD3EF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752EF5"/>
    <w:multiLevelType w:val="hybridMultilevel"/>
    <w:tmpl w:val="C328712A"/>
    <w:lvl w:ilvl="0" w:tplc="1EA874CA">
      <w:numFmt w:val="bullet"/>
      <w:lvlText w:val="-"/>
      <w:lvlJc w:val="left"/>
      <w:pPr>
        <w:ind w:left="40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7378172C"/>
    <w:multiLevelType w:val="hybridMultilevel"/>
    <w:tmpl w:val="9DF89982"/>
    <w:lvl w:ilvl="0" w:tplc="A3043F2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5"/>
  </w:num>
  <w:num w:numId="2">
    <w:abstractNumId w:val="4"/>
  </w:num>
  <w:num w:numId="3">
    <w:abstractNumId w:val="0"/>
  </w:num>
  <w:num w:numId="4">
    <w:abstractNumId w:val="8"/>
  </w:num>
  <w:num w:numId="5">
    <w:abstractNumId w:val="11"/>
  </w:num>
  <w:num w:numId="6">
    <w:abstractNumId w:val="1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 w:numId="12">
    <w:abstractNumId w:val="12"/>
  </w:num>
  <w:num w:numId="13">
    <w:abstractNumId w:val="13"/>
  </w:num>
  <w:num w:numId="14">
    <w:abstractNumId w:val="5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30074"/>
    <w:rsid w:val="000606B1"/>
    <w:rsid w:val="0007207C"/>
    <w:rsid w:val="000A258F"/>
    <w:rsid w:val="000C6BC2"/>
    <w:rsid w:val="000F6113"/>
    <w:rsid w:val="00112819"/>
    <w:rsid w:val="00112E18"/>
    <w:rsid w:val="00116BAA"/>
    <w:rsid w:val="001236B2"/>
    <w:rsid w:val="00141448"/>
    <w:rsid w:val="00142A01"/>
    <w:rsid w:val="00165AA0"/>
    <w:rsid w:val="001B1BCF"/>
    <w:rsid w:val="001C434E"/>
    <w:rsid w:val="00200A30"/>
    <w:rsid w:val="0021013F"/>
    <w:rsid w:val="00246FA2"/>
    <w:rsid w:val="0025593F"/>
    <w:rsid w:val="00290099"/>
    <w:rsid w:val="002E0785"/>
    <w:rsid w:val="002F3652"/>
    <w:rsid w:val="00303311"/>
    <w:rsid w:val="00337822"/>
    <w:rsid w:val="00352148"/>
    <w:rsid w:val="00362D96"/>
    <w:rsid w:val="00372341"/>
    <w:rsid w:val="00384131"/>
    <w:rsid w:val="003875A3"/>
    <w:rsid w:val="00391796"/>
    <w:rsid w:val="003B6CED"/>
    <w:rsid w:val="003E4BC1"/>
    <w:rsid w:val="00417FDA"/>
    <w:rsid w:val="00423EC1"/>
    <w:rsid w:val="004449D1"/>
    <w:rsid w:val="00453575"/>
    <w:rsid w:val="005406BC"/>
    <w:rsid w:val="00582543"/>
    <w:rsid w:val="005A6712"/>
    <w:rsid w:val="005C2C75"/>
    <w:rsid w:val="005F584A"/>
    <w:rsid w:val="00621DB8"/>
    <w:rsid w:val="00654CF5"/>
    <w:rsid w:val="00693213"/>
    <w:rsid w:val="006A286A"/>
    <w:rsid w:val="00714384"/>
    <w:rsid w:val="007335D4"/>
    <w:rsid w:val="007514E7"/>
    <w:rsid w:val="00781BC3"/>
    <w:rsid w:val="00794201"/>
    <w:rsid w:val="00797D2C"/>
    <w:rsid w:val="007A20D1"/>
    <w:rsid w:val="00834DE7"/>
    <w:rsid w:val="008441EC"/>
    <w:rsid w:val="00845E19"/>
    <w:rsid w:val="00867424"/>
    <w:rsid w:val="008A7666"/>
    <w:rsid w:val="008F6929"/>
    <w:rsid w:val="00922615"/>
    <w:rsid w:val="00935D22"/>
    <w:rsid w:val="00980960"/>
    <w:rsid w:val="009A6BB8"/>
    <w:rsid w:val="009B2E48"/>
    <w:rsid w:val="009D5027"/>
    <w:rsid w:val="009F4B96"/>
    <w:rsid w:val="00A46047"/>
    <w:rsid w:val="00A81AA1"/>
    <w:rsid w:val="00AA13EF"/>
    <w:rsid w:val="00AA58FF"/>
    <w:rsid w:val="00AD5266"/>
    <w:rsid w:val="00B03A33"/>
    <w:rsid w:val="00B368D9"/>
    <w:rsid w:val="00B37DE3"/>
    <w:rsid w:val="00B73B25"/>
    <w:rsid w:val="00B844EB"/>
    <w:rsid w:val="00BA2CDD"/>
    <w:rsid w:val="00BD11AF"/>
    <w:rsid w:val="00C10B9B"/>
    <w:rsid w:val="00C1560A"/>
    <w:rsid w:val="00C202E0"/>
    <w:rsid w:val="00C61496"/>
    <w:rsid w:val="00C62AEF"/>
    <w:rsid w:val="00C8681F"/>
    <w:rsid w:val="00C93774"/>
    <w:rsid w:val="00CA7198"/>
    <w:rsid w:val="00CB6912"/>
    <w:rsid w:val="00CC17E6"/>
    <w:rsid w:val="00CC4EDB"/>
    <w:rsid w:val="00CC4F16"/>
    <w:rsid w:val="00CC57CD"/>
    <w:rsid w:val="00CD0DD6"/>
    <w:rsid w:val="00CE28B2"/>
    <w:rsid w:val="00CF67BE"/>
    <w:rsid w:val="00D03119"/>
    <w:rsid w:val="00D16383"/>
    <w:rsid w:val="00D64311"/>
    <w:rsid w:val="00D67D13"/>
    <w:rsid w:val="00D71F72"/>
    <w:rsid w:val="00D7691A"/>
    <w:rsid w:val="00DA110D"/>
    <w:rsid w:val="00E36084"/>
    <w:rsid w:val="00E63D88"/>
    <w:rsid w:val="00E7326A"/>
    <w:rsid w:val="00E843A2"/>
    <w:rsid w:val="00E956F8"/>
    <w:rsid w:val="00EA1808"/>
    <w:rsid w:val="00EE7683"/>
    <w:rsid w:val="00F1439F"/>
    <w:rsid w:val="00F403B5"/>
    <w:rsid w:val="00F9108F"/>
    <w:rsid w:val="00FD37BC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table" w:styleId="TableGrid">
    <w:name w:val="Table Grid"/>
    <w:basedOn w:val="TableNormal"/>
    <w:uiPriority w:val="59"/>
    <w:rsid w:val="00C1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F584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58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F584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D50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0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0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0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02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0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027"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Normal"/>
    <w:rsid w:val="00EE7683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CC57CD"/>
    <w:pPr>
      <w:spacing w:after="200"/>
    </w:pPr>
    <w:rPr>
      <w:b/>
      <w:bCs/>
      <w:color w:val="4F81BD" w:themeColor="accent1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F611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table" w:styleId="TableGrid">
    <w:name w:val="Table Grid"/>
    <w:basedOn w:val="TableNormal"/>
    <w:uiPriority w:val="59"/>
    <w:rsid w:val="00C1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F584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58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F584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D50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0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0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0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02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0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027"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Normal"/>
    <w:rsid w:val="00EE7683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CC57CD"/>
    <w:pPr>
      <w:spacing w:after="200"/>
    </w:pPr>
    <w:rPr>
      <w:b/>
      <w:bCs/>
      <w:color w:val="4F81BD" w:themeColor="accent1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F611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044F5-226F-433B-A1D1-61328DE1B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cp:lastPrinted>2016-08-12T11:45:00Z</cp:lastPrinted>
  <dcterms:created xsi:type="dcterms:W3CDTF">2016-08-12T19:29:00Z</dcterms:created>
  <dcterms:modified xsi:type="dcterms:W3CDTF">2016-08-12T19:29:00Z</dcterms:modified>
</cp:coreProperties>
</file>