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DB8" w:rsidRPr="00F63C5D" w:rsidRDefault="00AF7AB3" w:rsidP="00424DB8">
      <w:pPr>
        <w:pStyle w:val="TdocHeader2"/>
        <w:tabs>
          <w:tab w:val="clear" w:pos="9072"/>
          <w:tab w:val="right" w:pos="9630"/>
        </w:tabs>
        <w:rPr>
          <w:rFonts w:eastAsia="Times New Roman" w:cs="Arial"/>
          <w:bCs/>
          <w:noProof/>
          <w:sz w:val="22"/>
          <w:szCs w:val="18"/>
          <w:lang w:val="en-US" w:eastAsia="zh-CN"/>
        </w:rPr>
      </w:pPr>
      <w:bookmarkStart w:id="0" w:name="OLE_LINK1"/>
      <w:bookmarkStart w:id="1" w:name="OLE_LINK2"/>
      <w:bookmarkStart w:id="2" w:name="_GoBack"/>
      <w:bookmarkEnd w:id="2"/>
      <w:r>
        <w:rPr>
          <w:rFonts w:eastAsia="Times New Roman" w:cs="Arial"/>
          <w:bCs/>
          <w:noProof/>
          <w:sz w:val="22"/>
          <w:szCs w:val="18"/>
          <w:lang w:val="en-US" w:eastAsia="zh-CN"/>
        </w:rPr>
        <w:t>3GPP TSG RAN WG1 Meeting #</w:t>
      </w:r>
      <w:r w:rsidR="00424DB8" w:rsidRPr="00F63C5D">
        <w:rPr>
          <w:rFonts w:eastAsia="Times New Roman" w:cs="Arial"/>
          <w:bCs/>
          <w:noProof/>
          <w:sz w:val="22"/>
          <w:szCs w:val="18"/>
          <w:lang w:val="en-US" w:eastAsia="zh-CN"/>
        </w:rPr>
        <w:t>8</w:t>
      </w:r>
      <w:r>
        <w:rPr>
          <w:rFonts w:eastAsia="Times New Roman" w:cs="Arial"/>
          <w:bCs/>
          <w:noProof/>
          <w:sz w:val="22"/>
          <w:szCs w:val="18"/>
          <w:lang w:val="en-US" w:eastAsia="zh-CN"/>
        </w:rPr>
        <w:t>6</w:t>
      </w:r>
      <w:r w:rsidR="00424DB8" w:rsidRPr="00F63C5D">
        <w:rPr>
          <w:rFonts w:eastAsia="Times New Roman" w:cs="Arial"/>
          <w:bCs/>
          <w:noProof/>
          <w:sz w:val="22"/>
          <w:szCs w:val="18"/>
          <w:lang w:val="en-US" w:eastAsia="zh-CN"/>
        </w:rPr>
        <w:tab/>
        <w:t>R1-167065</w:t>
      </w:r>
    </w:p>
    <w:p w:rsidR="00424DB8" w:rsidRPr="00F63C5D" w:rsidRDefault="00424DB8" w:rsidP="00424DB8">
      <w:pPr>
        <w:pStyle w:val="TdocHeader2"/>
        <w:rPr>
          <w:rFonts w:eastAsia="Times New Roman" w:cs="Arial"/>
          <w:bCs/>
          <w:noProof/>
          <w:sz w:val="22"/>
          <w:szCs w:val="18"/>
          <w:lang w:val="en-US" w:eastAsia="zh-CN"/>
        </w:rPr>
      </w:pPr>
      <w:r w:rsidRPr="00F63C5D">
        <w:rPr>
          <w:rFonts w:eastAsia="Times New Roman" w:cs="Arial"/>
          <w:bCs/>
          <w:noProof/>
          <w:sz w:val="22"/>
          <w:szCs w:val="18"/>
          <w:lang w:val="en-US" w:eastAsia="zh-CN"/>
        </w:rPr>
        <w:t>Gothenburg, Sweden, August,  2016</w:t>
      </w:r>
    </w:p>
    <w:p w:rsidR="00424DB8" w:rsidRPr="00F63C5D" w:rsidRDefault="00424DB8" w:rsidP="00424DB8">
      <w:pPr>
        <w:pStyle w:val="TdocHeader2"/>
        <w:rPr>
          <w:sz w:val="22"/>
          <w:lang w:val="en-US"/>
        </w:rPr>
      </w:pPr>
    </w:p>
    <w:p w:rsidR="00424DB8" w:rsidRPr="00F63C5D" w:rsidRDefault="00424DB8" w:rsidP="00424DB8">
      <w:pPr>
        <w:pStyle w:val="TdocHeader2"/>
        <w:rPr>
          <w:sz w:val="22"/>
          <w:lang w:val="en-US"/>
        </w:rPr>
      </w:pPr>
      <w:r w:rsidRPr="00F63C5D">
        <w:rPr>
          <w:sz w:val="22"/>
          <w:lang w:val="en-US"/>
        </w:rPr>
        <w:t xml:space="preserve">Source: </w:t>
      </w:r>
      <w:r w:rsidRPr="00F63C5D">
        <w:rPr>
          <w:sz w:val="22"/>
          <w:lang w:val="en-US"/>
        </w:rPr>
        <w:tab/>
        <w:t>Ericsson</w:t>
      </w:r>
    </w:p>
    <w:p w:rsidR="00424DB8" w:rsidRPr="00F63C5D" w:rsidRDefault="00424DB8" w:rsidP="00424DB8">
      <w:pPr>
        <w:pStyle w:val="TdocHeader2"/>
        <w:rPr>
          <w:sz w:val="22"/>
          <w:lang w:val="en-US"/>
        </w:rPr>
      </w:pPr>
      <w:r w:rsidRPr="00F63C5D">
        <w:rPr>
          <w:sz w:val="22"/>
          <w:lang w:val="en-US"/>
        </w:rPr>
        <w:t>Title:</w:t>
      </w:r>
      <w:bookmarkStart w:id="3" w:name="Title"/>
      <w:bookmarkEnd w:id="3"/>
      <w:r w:rsidRPr="00F63C5D">
        <w:rPr>
          <w:sz w:val="22"/>
          <w:lang w:val="en-US"/>
        </w:rPr>
        <w:tab/>
        <w:t>Technology components for unlicensed operation</w:t>
      </w:r>
    </w:p>
    <w:p w:rsidR="00424DB8" w:rsidRPr="00BF2AC0" w:rsidRDefault="00424DB8" w:rsidP="00424DB8">
      <w:pPr>
        <w:pStyle w:val="TdocHeader2"/>
        <w:rPr>
          <w:sz w:val="22"/>
          <w:lang w:val="en-US"/>
        </w:rPr>
      </w:pPr>
      <w:r w:rsidRPr="00BF2AC0">
        <w:rPr>
          <w:sz w:val="22"/>
          <w:lang w:val="en-US"/>
        </w:rPr>
        <w:t>Agenda Item:</w:t>
      </w:r>
      <w:r w:rsidRPr="00BF2AC0">
        <w:rPr>
          <w:sz w:val="22"/>
          <w:lang w:val="en-US"/>
        </w:rPr>
        <w:tab/>
      </w:r>
      <w:r w:rsidRPr="00BF2AC0">
        <w:rPr>
          <w:bCs/>
          <w:iCs/>
          <w:sz w:val="22"/>
        </w:rPr>
        <w:t>8.1.8</w:t>
      </w:r>
    </w:p>
    <w:p w:rsidR="00424DB8" w:rsidRPr="00F63C5D" w:rsidRDefault="00424DB8" w:rsidP="00424DB8">
      <w:pPr>
        <w:pStyle w:val="TdocHeader2"/>
        <w:rPr>
          <w:sz w:val="22"/>
          <w:lang w:val="en-US"/>
        </w:rPr>
      </w:pPr>
      <w:r w:rsidRPr="00F63C5D">
        <w:rPr>
          <w:sz w:val="22"/>
          <w:lang w:val="en-US"/>
        </w:rPr>
        <w:t>Document for:</w:t>
      </w:r>
      <w:r w:rsidRPr="00F63C5D">
        <w:rPr>
          <w:sz w:val="22"/>
          <w:lang w:val="en-US"/>
        </w:rPr>
        <w:tab/>
        <w:t>Discussion and Decision</w:t>
      </w:r>
    </w:p>
    <w:p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8153810"/>
      <w:bookmarkEnd w:id="0"/>
      <w:bookmarkEnd w:id="1"/>
      <w:r w:rsidRPr="00310B2F">
        <w:t>Introduction</w:t>
      </w:r>
      <w:bookmarkEnd w:id="4"/>
      <w:bookmarkEnd w:id="5"/>
    </w:p>
    <w:p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rsidR="00424DB8" w:rsidRPr="00F63C5D" w:rsidRDefault="00424DB8" w:rsidP="00424DB8">
      <w:pPr>
        <w:numPr>
          <w:ilvl w:val="1"/>
          <w:numId w:val="43"/>
        </w:numPr>
        <w:rPr>
          <w:sz w:val="22"/>
        </w:rPr>
      </w:pPr>
      <w:r w:rsidRPr="00F63C5D">
        <w:rPr>
          <w:sz w:val="22"/>
        </w:rPr>
        <w:t>DRS (SS/AIT, SSB) design and transmission</w:t>
      </w:r>
    </w:p>
    <w:p w:rsidR="00424DB8" w:rsidRPr="00F63C5D" w:rsidRDefault="00424DB8" w:rsidP="00424DB8">
      <w:pPr>
        <w:numPr>
          <w:ilvl w:val="1"/>
          <w:numId w:val="43"/>
        </w:numPr>
        <w:rPr>
          <w:sz w:val="22"/>
        </w:rPr>
      </w:pPr>
      <w:r w:rsidRPr="00F63C5D">
        <w:rPr>
          <w:iCs/>
          <w:sz w:val="22"/>
        </w:rPr>
        <w:t>Channel and procedure for Fast Channel Acquisition (FCA)</w:t>
      </w:r>
    </w:p>
    <w:p w:rsidR="00424DB8" w:rsidRPr="00F63C5D" w:rsidRDefault="00424DB8" w:rsidP="00424DB8">
      <w:pPr>
        <w:numPr>
          <w:ilvl w:val="1"/>
          <w:numId w:val="43"/>
        </w:numPr>
        <w:rPr>
          <w:sz w:val="22"/>
        </w:rPr>
      </w:pPr>
      <w:r w:rsidRPr="00F63C5D">
        <w:rPr>
          <w:iCs/>
          <w:sz w:val="22"/>
        </w:rPr>
        <w:t>Scheduling, L2/L1 processing delay impact for uplink data XT</w:t>
      </w:r>
    </w:p>
    <w:p w:rsidR="00424DB8" w:rsidRPr="00F63C5D" w:rsidRDefault="00424DB8" w:rsidP="00424DB8">
      <w:pPr>
        <w:numPr>
          <w:ilvl w:val="1"/>
          <w:numId w:val="43"/>
        </w:numPr>
        <w:rPr>
          <w:sz w:val="22"/>
        </w:rPr>
      </w:pPr>
      <w:r w:rsidRPr="00F63C5D">
        <w:rPr>
          <w:sz w:val="22"/>
        </w:rPr>
        <w:t>Interlacing data TX for uplink</w:t>
      </w:r>
    </w:p>
    <w:p w:rsidR="00424DB8" w:rsidRPr="00F63C5D" w:rsidRDefault="00424DB8" w:rsidP="00424DB8">
      <w:pPr>
        <w:numPr>
          <w:ilvl w:val="1"/>
          <w:numId w:val="43"/>
        </w:numPr>
        <w:rPr>
          <w:sz w:val="22"/>
        </w:rPr>
      </w:pPr>
      <w:r w:rsidRPr="00F63C5D">
        <w:rPr>
          <w:sz w:val="22"/>
        </w:rPr>
        <w:t>Random access over unlicensed operation</w:t>
      </w:r>
    </w:p>
    <w:p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rsidR="00424DB8" w:rsidRPr="00F63C5D" w:rsidRDefault="00424DB8" w:rsidP="00424DB8">
      <w:pPr>
        <w:numPr>
          <w:ilvl w:val="1"/>
          <w:numId w:val="43"/>
        </w:numPr>
        <w:rPr>
          <w:sz w:val="22"/>
        </w:rPr>
      </w:pPr>
      <w:r w:rsidRPr="00F63C5D">
        <w:rPr>
          <w:sz w:val="22"/>
        </w:rPr>
        <w:t>USS/RRS design and transmission mechanism</w:t>
      </w:r>
    </w:p>
    <w:p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rsidR="00424DB8" w:rsidRPr="00E16CD2" w:rsidRDefault="00424DB8" w:rsidP="00424DB8"/>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w:t>
      </w:r>
      <w:proofErr w:type="gramStart"/>
      <w:r w:rsidRPr="00F63C5D">
        <w:t>of</w:t>
      </w:r>
      <w:proofErr w:type="gramEnd"/>
      <w:r w:rsidRPr="00F63C5D">
        <w:t xml:space="preserve"> channel availability and transmit power restrictions, etc., some technology components need be specifically designed compared with those for licensed spectrum. Below we summarize the technology components among others for unlicensed operation in NR:</w:t>
      </w:r>
    </w:p>
    <w:p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MIB and (some of the) SIBs used for system information acquisition and signals for random access. In LTE LAA/</w:t>
      </w:r>
      <w:proofErr w:type="spellStart"/>
      <w:r w:rsidRPr="00F63C5D">
        <w:t>eLAA</w:t>
      </w:r>
      <w:proofErr w:type="spellEnd"/>
      <w:r w:rsidRPr="00F63C5D">
        <w:t>, the DRS design and transmission procedure are already addressed. For both licensed assisted and stand-alone unlicensed operation in NR, DRS signal design and transmission procedure should be considered, while for licensed assisted access of unlicensed operation in NR, some information (e.g. system information) can be transmitted on licensed carrier.</w:t>
      </w:r>
    </w:p>
    <w:p w:rsidR="00424DB8" w:rsidRPr="00F63C5D" w:rsidRDefault="00424DB8" w:rsidP="00424DB8">
      <w:pPr>
        <w:pStyle w:val="Proposal"/>
        <w:rPr>
          <w:sz w:val="22"/>
        </w:rPr>
      </w:pPr>
      <w:bookmarkStart w:id="7" w:name="_Toc458153881"/>
      <w:r w:rsidRPr="00F63C5D">
        <w:rPr>
          <w:sz w:val="22"/>
        </w:rPr>
        <w:t>DRS design and transmission procedure should be considered for both licensed assisted and stand-alone unlicensed operation in NR.</w:t>
      </w:r>
      <w:bookmarkEnd w:id="7"/>
    </w:p>
    <w:p w:rsidR="00424DB8" w:rsidRPr="00F63C5D" w:rsidRDefault="00424DB8" w:rsidP="00424DB8">
      <w:pPr>
        <w:rPr>
          <w:sz w:val="22"/>
        </w:rPr>
      </w:pPr>
    </w:p>
    <w:p w:rsidR="00424DB8" w:rsidRPr="00F63C5D" w:rsidRDefault="00424DB8" w:rsidP="001E19C0">
      <w:pPr>
        <w:pStyle w:val="BodyText"/>
      </w:pPr>
      <w:r w:rsidRPr="00F63C5D">
        <w:t xml:space="preserve">For random access procedure, in LTE, four-step procedure was specified for licensed operation by means of 4 messages transmitted by UE and </w:t>
      </w:r>
      <w:proofErr w:type="spellStart"/>
      <w:r w:rsidRPr="00F63C5D">
        <w:t>eNB</w:t>
      </w:r>
      <w:proofErr w:type="spellEnd"/>
      <w:r w:rsidRPr="00F63C5D">
        <w:t xml:space="preserve"> alternatively. There is no problem for licensed operation since the channel availability is not a problem. However, both the UE and the AP should contend for the channel before transmit one message. There may be unendurable delay in random access when the channel is busy for unlicensed operation. It is worth to improve the random access procedure for unlicensed operation considering the channel availability. </w:t>
      </w:r>
    </w:p>
    <w:p w:rsidR="00424DB8" w:rsidRPr="00F63C5D" w:rsidRDefault="00424DB8" w:rsidP="00424DB8">
      <w:pPr>
        <w:pStyle w:val="Proposal"/>
        <w:rPr>
          <w:sz w:val="22"/>
        </w:rPr>
      </w:pPr>
      <w:bookmarkStart w:id="8" w:name="_Toc458153882"/>
      <w:r w:rsidRPr="00F63C5D">
        <w:rPr>
          <w:sz w:val="22"/>
        </w:rPr>
        <w:t>Random access for unlicensed operation should be considered for unlicensed operation in NR.</w:t>
      </w:r>
      <w:bookmarkEnd w:id="8"/>
      <w:r w:rsidRPr="00F63C5D">
        <w:rPr>
          <w:sz w:val="22"/>
        </w:rPr>
        <w:t xml:space="preserve"> </w:t>
      </w:r>
    </w:p>
    <w:p w:rsidR="00424DB8" w:rsidRPr="00F63C5D" w:rsidRDefault="00424DB8" w:rsidP="00424DB8">
      <w:pPr>
        <w:rPr>
          <w:sz w:val="22"/>
        </w:rPr>
      </w:pPr>
    </w:p>
    <w:p w:rsidR="00424DB8" w:rsidRPr="00F63C5D" w:rsidRDefault="00424DB8" w:rsidP="001E19C0">
      <w:pPr>
        <w:pStyle w:val="BodyText"/>
      </w:pPr>
      <w:r w:rsidRPr="00F63C5D">
        <w:t xml:space="preserve">The </w:t>
      </w:r>
      <w:proofErr w:type="spellStart"/>
      <w:r w:rsidRPr="00F63C5D">
        <w:t>subframe</w:t>
      </w:r>
      <w:proofErr w:type="spellEnd"/>
      <w:r w:rsidRPr="00F63C5D">
        <w:t xml:space="preserve"> timing structure based on 1 </w:t>
      </w:r>
      <w:proofErr w:type="spellStart"/>
      <w:proofErr w:type="gramStart"/>
      <w:r w:rsidRPr="00F63C5D">
        <w:t>ms</w:t>
      </w:r>
      <w:proofErr w:type="spellEnd"/>
      <w:proofErr w:type="gramEnd"/>
      <w:r w:rsidRPr="00F63C5D">
        <w:t xml:space="preserve"> TTI length does not enable LTE-LAA to perform clear channel assessment of the channel as nimbly as certain other technologies. For unlicensed operation of NR, it is beneficial to use a much smaller TTI than LTE with </w:t>
      </w:r>
      <w:proofErr w:type="gramStart"/>
      <w:r w:rsidRPr="00F63C5D">
        <w:t>a numerology</w:t>
      </w:r>
      <w:proofErr w:type="gramEnd"/>
      <w:r w:rsidRPr="00F63C5D">
        <w:t xml:space="preserve"> with larger subcarrier bandwidth. For example, TTI length can be reduced to 0.125 </w:t>
      </w:r>
      <w:proofErr w:type="spellStart"/>
      <w:r w:rsidRPr="00F63C5D">
        <w:t>ms</w:t>
      </w:r>
      <w:proofErr w:type="spellEnd"/>
      <w:r w:rsidRPr="00F63C5D">
        <w:t xml:space="preserve"> with 60 KHz subcarrier.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p>
    <w:p w:rsidR="00424DB8" w:rsidRPr="00F63C5D" w:rsidRDefault="00424DB8" w:rsidP="00424DB8">
      <w:pPr>
        <w:pStyle w:val="Proposal"/>
        <w:rPr>
          <w:sz w:val="22"/>
        </w:rPr>
      </w:pPr>
      <w:bookmarkStart w:id="9" w:name="_Toc458153883"/>
      <w:r w:rsidRPr="00F63C5D">
        <w:rPr>
          <w:sz w:val="22"/>
        </w:rPr>
        <w:t>NR physical layer design should facilitate the fast channel acquisition by means of channel sensing without violating the regulatory rules.</w:t>
      </w:r>
      <w:bookmarkEnd w:id="9"/>
    </w:p>
    <w:p w:rsidR="00424DB8" w:rsidRPr="00F63C5D" w:rsidRDefault="00424DB8" w:rsidP="00424DB8">
      <w:pPr>
        <w:rPr>
          <w:sz w:val="22"/>
        </w:rPr>
      </w:pPr>
    </w:p>
    <w:p w:rsidR="00424DB8" w:rsidRPr="00F63C5D" w:rsidRDefault="00424DB8" w:rsidP="001E19C0">
      <w:pPr>
        <w:pStyle w:val="BodyText"/>
      </w:pPr>
      <w:r w:rsidRPr="00F63C5D">
        <w:t xml:space="preserve">Network scheduled uplink data transmission should be the baseline also for NR. NR’s uplink MAC needs to achieve lower latency compared to that in LTE which is normally several milliseconds, e.g., the time between uplink grant and uplink transmission is 4 </w:t>
      </w:r>
      <w:proofErr w:type="spellStart"/>
      <w:r w:rsidRPr="00F63C5D">
        <w:t>ms</w:t>
      </w:r>
      <w:proofErr w:type="spellEnd"/>
      <w:r w:rsidRPr="00F63C5D">
        <w:t xml:space="preserve">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rsidR="00424DB8" w:rsidRPr="00F63C5D" w:rsidRDefault="00424DB8" w:rsidP="001E19C0">
      <w:pPr>
        <w:pStyle w:val="BodyText"/>
      </w:pPr>
      <w:r w:rsidRPr="00F63C5D">
        <w:t>LTE system has explicit feedback channel both for downlink and uplink data transmission, e.g., for downlink transmission, the ACK/NACK could be sent both on PUCCH or PUSCH, for uplink transmission, the ACK/NACK could be sent on PHICH. For LAA-LTE, currently the asynchronous HARQ is being discussed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MAC procedure and related control signal design shall be studied to enhance the data transmission in unlicensed spectrum of NR.</w:t>
      </w:r>
      <w:bookmarkEnd w:id="12"/>
    </w:p>
    <w:p w:rsidR="00424DB8" w:rsidRPr="00F63C5D" w:rsidRDefault="00424DB8" w:rsidP="00424DB8">
      <w:pPr>
        <w:rPr>
          <w:sz w:val="22"/>
        </w:rPr>
      </w:pPr>
    </w:p>
    <w:p w:rsidR="00424DB8" w:rsidRPr="00F63C5D" w:rsidRDefault="00424DB8" w:rsidP="001E19C0">
      <w:pPr>
        <w:pStyle w:val="BodyText"/>
      </w:pPr>
      <w:r w:rsidRPr="00F63C5D">
        <w:t>In order to meet the regulatory requirement for using the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rsidR="00424DB8" w:rsidRPr="00F63C5D" w:rsidRDefault="00424DB8" w:rsidP="00424DB8">
      <w:pPr>
        <w:pStyle w:val="Proposal"/>
        <w:rPr>
          <w:sz w:val="22"/>
        </w:rPr>
      </w:pPr>
      <w:bookmarkStart w:id="13" w:name="_Toc458153886"/>
      <w:r w:rsidRPr="00F63C5D">
        <w:rPr>
          <w:sz w:val="22"/>
        </w:rPr>
        <w:t>For NR unlicensed operation design, interlaced resource allocation in UL should be considered for user multiplexing.</w:t>
      </w:r>
      <w:bookmarkEnd w:id="13"/>
    </w:p>
    <w:p w:rsidR="00424DB8" w:rsidRPr="00F63C5D" w:rsidRDefault="00424DB8" w:rsidP="00424DB8">
      <w:pPr>
        <w:rPr>
          <w:sz w:val="22"/>
        </w:rPr>
      </w:pPr>
    </w:p>
    <w:p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w:t>
      </w:r>
      <w:proofErr w:type="spellStart"/>
      <w:r w:rsidRPr="00F63C5D">
        <w:t>subframe</w:t>
      </w:r>
      <w:proofErr w:type="spellEnd"/>
      <w:r w:rsidRPr="00F63C5D">
        <w:t xml:space="preserve">., For unlicensed operation in NR, one still need SRS for some purpose, e.g., when massive MIMO is deployed in DL, SRS could be also used for the reciprocity based channel state information (CSI) measurement, the uplink synchronization and best downlink beam report, etc. </w:t>
      </w:r>
    </w:p>
    <w:p w:rsidR="00424DB8" w:rsidRPr="00F63C5D" w:rsidRDefault="00424DB8" w:rsidP="001E19C0">
      <w:pPr>
        <w:pStyle w:val="BodyText"/>
      </w:pPr>
      <w:r w:rsidRPr="00F63C5D">
        <w:t>In DL, CSI measurement and report are still necessary for unlicensed operation of NR, the periodically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rsidR="00424DB8" w:rsidRPr="00F63C5D" w:rsidRDefault="00424DB8" w:rsidP="00424DB8">
      <w:pPr>
        <w:pStyle w:val="Proposal"/>
        <w:rPr>
          <w:sz w:val="22"/>
        </w:rPr>
      </w:pPr>
      <w:bookmarkStart w:id="14" w:name="_Toc458153887"/>
      <w:r w:rsidRPr="00F63C5D">
        <w:rPr>
          <w:sz w:val="22"/>
        </w:rPr>
        <w:t>Uplink SRS and downlink CSI-RS design and the related CSI report procedure shall be considered for on unlicensed operation of NR</w:t>
      </w:r>
      <w:bookmarkEnd w:id="14"/>
    </w:p>
    <w:p w:rsidR="00424DB8" w:rsidRDefault="00424DB8" w:rsidP="00424DB8">
      <w:pPr>
        <w:pStyle w:val="Proposal"/>
        <w:numPr>
          <w:ilvl w:val="0"/>
          <w:numId w:val="0"/>
        </w:numPr>
        <w:ind w:left="1304" w:hanging="1304"/>
      </w:pPr>
    </w:p>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lastRenderedPageBreak/>
        <w:t>Conclusion</w:t>
      </w:r>
      <w:bookmarkEnd w:id="15"/>
    </w:p>
    <w:p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Pr="00F63C5D">
          <w:rPr>
            <w:rStyle w:val="Hyperlink"/>
            <w:sz w:val="22"/>
          </w:rPr>
          <w:t>DRS design and transmission procedure should be considered for for both licensed assisted and stand-alone unlicensed operation in NR.</w:t>
        </w:r>
      </w:hyperlink>
    </w:p>
    <w:p w:rsidR="00424DB8" w:rsidRPr="00F63C5D" w:rsidRDefault="00BC3D4F"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424DB8" w:rsidRPr="00F63C5D">
          <w:rPr>
            <w:rStyle w:val="Hyperlink"/>
            <w:sz w:val="22"/>
          </w:rPr>
          <w:t>Random access for unlicensed operation should be considered for unlicensed operation in NR.</w:t>
        </w:r>
      </w:hyperlink>
    </w:p>
    <w:p w:rsidR="00424DB8" w:rsidRPr="00F63C5D" w:rsidRDefault="00BC3D4F"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424DB8" w:rsidRPr="00F63C5D">
          <w:rPr>
            <w:rStyle w:val="Hyperlink"/>
            <w:sz w:val="22"/>
          </w:rPr>
          <w:t>NR physical layer design should facilitate the  the fast channel acquisition by means of channel sensing without violating the regulatory rules.</w:t>
        </w:r>
      </w:hyperlink>
    </w:p>
    <w:p w:rsidR="00424DB8" w:rsidRPr="00F63C5D" w:rsidRDefault="00BC3D4F"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424DB8" w:rsidRPr="00F63C5D">
          <w:rPr>
            <w:rStyle w:val="Hyperlink"/>
            <w:sz w:val="22"/>
          </w:rPr>
          <w:t>MAC procedure and related control signal design shall be studied to enhance the data transmission in unlicensed spectrum of NR.</w:t>
        </w:r>
      </w:hyperlink>
    </w:p>
    <w:p w:rsidR="00424DB8" w:rsidRPr="00F63C5D" w:rsidRDefault="00BC3D4F"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424DB8" w:rsidRPr="00F63C5D">
          <w:rPr>
            <w:rStyle w:val="Hyperlink"/>
            <w:sz w:val="22"/>
          </w:rPr>
          <w:t>For NR unlicensed operation design, interlaced resource allocation in UL should be considered for user multiplexing.</w:t>
        </w:r>
      </w:hyperlink>
    </w:p>
    <w:p w:rsidR="00424DB8" w:rsidRPr="00F63C5D" w:rsidRDefault="00BC3D4F"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424DB8" w:rsidRPr="00F63C5D">
          <w:rPr>
            <w:rStyle w:val="Hyperlink"/>
            <w:sz w:val="22"/>
          </w:rPr>
          <w:t>Uplink SRS and downlink CSI-RS design and the related CSI report procedure shall be considered  for on unlicensed operation of NR</w:t>
        </w:r>
      </w:hyperlink>
    </w:p>
    <w:p w:rsidR="00424DB8" w:rsidRPr="00C77776" w:rsidRDefault="00424DB8" w:rsidP="00424DB8">
      <w:pPr>
        <w:pStyle w:val="TOC1"/>
        <w:rPr>
          <w:iCs/>
        </w:rPr>
      </w:pPr>
      <w:r w:rsidRPr="00F63C5D">
        <w:rPr>
          <w:iCs/>
          <w:sz w:val="22"/>
        </w:rPr>
        <w:fldChar w:fldCharType="end"/>
      </w:r>
    </w:p>
    <w:p w:rsidR="00424DB8" w:rsidRPr="00ED44FC" w:rsidRDefault="00424DB8" w:rsidP="00424DB8">
      <w:pPr>
        <w:pStyle w:val="Reference"/>
        <w:keepNext/>
        <w:keepLines/>
        <w:numPr>
          <w:ilvl w:val="0"/>
          <w:numId w:val="0"/>
        </w:numPr>
        <w:ind w:left="567" w:hanging="567"/>
        <w:rPr>
          <w:lang w:val="en-US"/>
        </w:rPr>
      </w:pPr>
    </w:p>
    <w:p w:rsidR="00424DB8" w:rsidRPr="00D00AE7" w:rsidRDefault="00424DB8" w:rsidP="00424DB8"/>
    <w:p w:rsidR="00022DEC" w:rsidRPr="00424DB8" w:rsidRDefault="00022DEC" w:rsidP="00424DB8"/>
    <w:sectPr w:rsidR="00022DEC" w:rsidRPr="00424DB8">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D4F" w:rsidRDefault="00BC3D4F">
      <w:r>
        <w:separator/>
      </w:r>
    </w:p>
  </w:endnote>
  <w:endnote w:type="continuationSeparator" w:id="0">
    <w:p w:rsidR="00BC3D4F" w:rsidRDefault="00BC3D4F">
      <w:r>
        <w:continuationSeparator/>
      </w:r>
    </w:p>
  </w:endnote>
  <w:endnote w:type="continuationNotice" w:id="1">
    <w:p w:rsidR="00BC3D4F" w:rsidRDefault="00BC3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D1F1A">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1F1A">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D4F" w:rsidRDefault="00BC3D4F">
      <w:r>
        <w:separator/>
      </w:r>
    </w:p>
  </w:footnote>
  <w:footnote w:type="continuationSeparator" w:id="0">
    <w:p w:rsidR="00BC3D4F" w:rsidRDefault="00BC3D4F">
      <w:r>
        <w:continuationSeparator/>
      </w:r>
    </w:p>
  </w:footnote>
  <w:footnote w:type="continuationNotice" w:id="1">
    <w:p w:rsidR="00BC3D4F" w:rsidRDefault="00BC3D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BC3D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1F1A"/>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3D4F"/>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9806B-AF84-415F-A36A-A2B4398F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1390</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Stefan Parkvall</cp:lastModifiedBy>
  <cp:revision>2</cp:revision>
  <dcterms:created xsi:type="dcterms:W3CDTF">2016-08-12T19:38:00Z</dcterms:created>
  <dcterms:modified xsi:type="dcterms:W3CDTF">2016-08-12T19:38:00Z</dcterms:modified>
</cp:coreProperties>
</file>