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bookmarkStart w:id="0" w:name="_GoBack"/>
      <w:bookmarkEnd w:id="0"/>
      <w:r w:rsidRPr="00446F9D">
        <w:t xml:space="preserve">TSG-RAN WG1 </w:t>
      </w:r>
      <w:r w:rsidR="00A50001">
        <w:t xml:space="preserve">Meeting </w:t>
      </w:r>
      <w:r w:rsidRPr="00446F9D">
        <w:t>#</w:t>
      </w:r>
      <w:r w:rsidR="00EE7683">
        <w:t>86</w:t>
      </w:r>
      <w:r w:rsidRPr="00446F9D">
        <w:tab/>
        <w:t>R1-</w:t>
      </w:r>
      <w:r w:rsidR="00EE7683">
        <w:t>16</w:t>
      </w:r>
      <w:r w:rsidR="000B661F">
        <w:t>7055</w:t>
      </w:r>
    </w:p>
    <w:p w:rsidR="00FE5799" w:rsidRPr="000833FA" w:rsidRDefault="00EE7683" w:rsidP="00FE5799">
      <w:pPr>
        <w:pStyle w:val="Header"/>
        <w:rPr>
          <w:color w:val="000000"/>
        </w:rPr>
      </w:pPr>
      <w:r>
        <w:t>Gothenburg, Sweden</w:t>
      </w:r>
      <w:r w:rsidR="00FE5799" w:rsidRPr="000833FA">
        <w:t>,</w:t>
      </w:r>
      <w:r>
        <w:t xml:space="preserve"> August </w:t>
      </w:r>
      <w:r w:rsidR="000B661F">
        <w:t>22</w:t>
      </w:r>
      <w:r>
        <w:t xml:space="preserve"> – </w:t>
      </w:r>
      <w:r w:rsidR="000B661F">
        <w:t>26</w:t>
      </w:r>
      <w:r w:rsidR="00FE5799">
        <w:t>,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0B661F">
        <w:t>Overview of initial access and mobility</w:t>
      </w:r>
    </w:p>
    <w:p w:rsidR="00FE5799" w:rsidRPr="0003368D" w:rsidRDefault="00FE5799" w:rsidP="00FE5799">
      <w:pPr>
        <w:pStyle w:val="Header"/>
        <w:tabs>
          <w:tab w:val="left" w:pos="1800"/>
        </w:tabs>
      </w:pPr>
      <w:r w:rsidRPr="0003368D">
        <w:t>Agenda Item:</w:t>
      </w:r>
      <w:bookmarkStart w:id="2" w:name="Source"/>
      <w:bookmarkEnd w:id="2"/>
      <w:r w:rsidRPr="0003368D">
        <w:tab/>
      </w:r>
      <w:r w:rsidR="000B661F">
        <w:t>8</w:t>
      </w:r>
      <w:r w:rsidR="00EE7683">
        <w:t>.</w:t>
      </w:r>
      <w:r w:rsidR="000B661F">
        <w:t>1.6</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Heading1"/>
      </w:pPr>
      <w:r>
        <w:t>Introduction</w:t>
      </w:r>
    </w:p>
    <w:p w:rsidR="00A50001" w:rsidRPr="00A50001" w:rsidRDefault="00A50001" w:rsidP="00A50001">
      <w:pPr>
        <w:pStyle w:val="BodyText"/>
      </w:pPr>
      <w:r>
        <w:t xml:space="preserve">In this contribution we give an overview of the design of initial access and </w:t>
      </w:r>
      <w:r w:rsidR="00A84627">
        <w:t>mobility for NR.</w:t>
      </w:r>
    </w:p>
    <w:p w:rsidR="00701B27" w:rsidRPr="00713C87" w:rsidRDefault="00701B27" w:rsidP="00701B27">
      <w:pPr>
        <w:pStyle w:val="Heading1"/>
      </w:pPr>
      <w:r w:rsidRPr="00713C87">
        <w:t>Initial access</w:t>
      </w:r>
    </w:p>
    <w:p w:rsidR="00701B27" w:rsidRDefault="00701B27" w:rsidP="00701B27">
      <w:pPr>
        <w:pStyle w:val="Heading2"/>
      </w:pPr>
      <w:r>
        <w:t>Finding the network</w:t>
      </w:r>
    </w:p>
    <w:p w:rsidR="00701B27" w:rsidRDefault="00701B27" w:rsidP="00701B27">
      <w:pPr>
        <w:pStyle w:val="BodyText"/>
      </w:pPr>
      <w:r>
        <w:t xml:space="preserve">As a first step, the device needs to find the network. This is, in general done, by searching for some signal, here referred to as the </w:t>
      </w:r>
      <w:r w:rsidRPr="0035780E">
        <w:rPr>
          <w:i/>
        </w:rPr>
        <w:t xml:space="preserve">Synchronization Signal </w:t>
      </w:r>
      <w:r>
        <w:t>transmitted by the network</w:t>
      </w:r>
    </w:p>
    <w:p w:rsidR="00701B27" w:rsidRDefault="00701B27" w:rsidP="00701B27">
      <w:pPr>
        <w:pStyle w:val="BodyText"/>
      </w:pPr>
      <w:r>
        <w:t xml:space="preserve">It should be noted that the </w:t>
      </w:r>
      <w:r w:rsidR="002A66A2">
        <w:t>synchronization signal</w:t>
      </w:r>
      <w:r>
        <w:t xml:space="preserve"> does not need to be transmitted by all carrier frequencies or by all nodes in the network. If no </w:t>
      </w:r>
      <w:r w:rsidR="002A66A2">
        <w:t>synchronization signal</w:t>
      </w:r>
      <w:r>
        <w:t xml:space="preserve"> is transmitted on a certain frequency or from a certain network node</w:t>
      </w:r>
      <w:r w:rsidR="00A53B42">
        <w:t>,</w:t>
      </w:r>
      <w:r w:rsidR="002F47EE">
        <w:t xml:space="preserve"> </w:t>
      </w:r>
      <w:r>
        <w:t>this just means that the node/frequency will not be detectable as part of the initial access.</w:t>
      </w:r>
    </w:p>
    <w:p w:rsidR="00701B27" w:rsidRDefault="00701B27" w:rsidP="00701B27">
      <w:pPr>
        <w:pStyle w:val="BodyText"/>
      </w:pPr>
      <w:r>
        <w:t xml:space="preserve">Furthermore, although we above talk about </w:t>
      </w:r>
      <w:r w:rsidR="002A66A2">
        <w:t>synchronization signal</w:t>
      </w:r>
      <w:r>
        <w:t xml:space="preserve"> transmitted </w:t>
      </w:r>
      <w:r w:rsidRPr="002F47EE">
        <w:rPr>
          <w:i/>
        </w:rPr>
        <w:t>from a certain node</w:t>
      </w:r>
      <w:r>
        <w:t xml:space="preserve">, </w:t>
      </w:r>
      <w:r w:rsidR="002F47EE">
        <w:t xml:space="preserve">a single </w:t>
      </w:r>
      <w:r w:rsidR="002A66A2">
        <w:t>synchronization signal</w:t>
      </w:r>
      <w:r w:rsidR="002F47EE">
        <w:t xml:space="preserve"> could be transmitted from multiple physical nodes or multiple </w:t>
      </w:r>
      <w:r w:rsidR="002A66A2">
        <w:t>synchronization signal</w:t>
      </w:r>
      <w:r w:rsidR="00A53B42">
        <w:t>s</w:t>
      </w:r>
      <w:r w:rsidR="002F47EE">
        <w:t xml:space="preserve"> could be transmitted from the same physical node. </w:t>
      </w:r>
    </w:p>
    <w:p w:rsidR="00701B27" w:rsidRDefault="00701B27" w:rsidP="00701B27">
      <w:pPr>
        <w:pStyle w:val="BodyText"/>
        <w:numPr>
          <w:ilvl w:val="0"/>
          <w:numId w:val="17"/>
        </w:numPr>
      </w:pPr>
      <w:r>
        <w:t xml:space="preserve">Identical </w:t>
      </w:r>
      <w:r w:rsidR="002A66A2">
        <w:t>synchronization signals</w:t>
      </w:r>
      <w:r>
        <w:t xml:space="preserve"> could be transmitted by </w:t>
      </w:r>
      <w:r w:rsidR="002F47EE">
        <w:t xml:space="preserve">means of </w:t>
      </w:r>
      <w:r>
        <w:t xml:space="preserve">SFN </w:t>
      </w:r>
      <w:r w:rsidR="002F47EE">
        <w:t xml:space="preserve">(“Single Frequency Network”) </w:t>
      </w:r>
      <w:r>
        <w:t xml:space="preserve">from multiple </w:t>
      </w:r>
      <w:r w:rsidR="002F47EE">
        <w:t>time-</w:t>
      </w:r>
      <w:r>
        <w:t xml:space="preserve">synchronized/aligned physical nodes. From a UE point-of-view, the acquired </w:t>
      </w:r>
      <w:r w:rsidR="002A66A2">
        <w:t>synchronization signal</w:t>
      </w:r>
      <w:r>
        <w:t xml:space="preserve"> will appear exactly as if it was transmitted from a single </w:t>
      </w:r>
      <w:r w:rsidR="002F47EE">
        <w:t xml:space="preserve">physical </w:t>
      </w:r>
      <w:r>
        <w:t xml:space="preserve">node. </w:t>
      </w:r>
    </w:p>
    <w:p w:rsidR="0024329F" w:rsidRDefault="00701B27" w:rsidP="0024329F">
      <w:pPr>
        <w:pStyle w:val="BodyText"/>
        <w:numPr>
          <w:ilvl w:val="0"/>
          <w:numId w:val="17"/>
        </w:numPr>
      </w:pPr>
      <w:r>
        <w:t xml:space="preserve">Multiple </w:t>
      </w:r>
      <w:r w:rsidR="002A66A2">
        <w:t>synchronization signal</w:t>
      </w:r>
      <w:r w:rsidR="00FA1947">
        <w:t>s</w:t>
      </w:r>
      <w:r>
        <w:t xml:space="preserve"> </w:t>
      </w:r>
      <w:r w:rsidR="002F47EE">
        <w:t>could be</w:t>
      </w:r>
      <w:r>
        <w:t xml:space="preserve"> transmitted in different beams from the same physical node. From a device point-of-view, </w:t>
      </w:r>
      <w:proofErr w:type="gramStart"/>
      <w:r>
        <w:t>these</w:t>
      </w:r>
      <w:proofErr w:type="gramEnd"/>
      <w:r>
        <w:t xml:space="preserve"> </w:t>
      </w:r>
      <w:r w:rsidR="002A66A2">
        <w:t>synchronization signal</w:t>
      </w:r>
      <w:r>
        <w:t xml:space="preserve"> will appear exactly as </w:t>
      </w:r>
      <w:r w:rsidR="002F47EE">
        <w:t>if they were</w:t>
      </w:r>
      <w:r>
        <w:t xml:space="preserve"> transmitted from different nodes.</w:t>
      </w:r>
    </w:p>
    <w:p w:rsidR="009A2BB3" w:rsidRDefault="009A2BB3" w:rsidP="00D749C6">
      <w:pPr>
        <w:pStyle w:val="BodyText"/>
        <w:rPr>
          <w:b/>
        </w:rPr>
      </w:pPr>
      <w:r w:rsidRPr="009A2BB3">
        <w:rPr>
          <w:b/>
        </w:rPr>
        <w:t>Proposal 1: The initial time sync</w:t>
      </w:r>
      <w:r w:rsidR="002A66A2">
        <w:rPr>
          <w:b/>
        </w:rPr>
        <w:t>hronization is provided by the s</w:t>
      </w:r>
      <w:r w:rsidRPr="009A2BB3">
        <w:rPr>
          <w:b/>
        </w:rPr>
        <w:t xml:space="preserve">ynchronization </w:t>
      </w:r>
      <w:r w:rsidR="002A66A2">
        <w:rPr>
          <w:b/>
        </w:rPr>
        <w:t>s</w:t>
      </w:r>
      <w:r w:rsidRPr="009A2BB3">
        <w:rPr>
          <w:b/>
        </w:rPr>
        <w:t xml:space="preserve">ignal where identical </w:t>
      </w:r>
      <w:r w:rsidR="002A66A2">
        <w:rPr>
          <w:b/>
        </w:rPr>
        <w:t>synchronization signal</w:t>
      </w:r>
      <w:r w:rsidRPr="009A2BB3">
        <w:rPr>
          <w:b/>
        </w:rPr>
        <w:t xml:space="preserve"> can be transmitted by multiple transmission points.</w:t>
      </w:r>
    </w:p>
    <w:p w:rsidR="00701B27" w:rsidRDefault="00701B27" w:rsidP="00701B27">
      <w:pPr>
        <w:pStyle w:val="Heading2"/>
      </w:pPr>
      <w:r>
        <w:t>Acquiring essential system information</w:t>
      </w:r>
    </w:p>
    <w:p w:rsidR="00701B27" w:rsidRDefault="00701B27" w:rsidP="00701B27">
      <w:pPr>
        <w:pStyle w:val="BodyText"/>
      </w:pPr>
      <w:r>
        <w:t>After a device has detected the network, but before it can access the system, it needs to acquire certain essential system information. More specifically, the device needs to acquire the system information needed to</w:t>
      </w:r>
      <w:r w:rsidR="002F47EE">
        <w:t xml:space="preserve"> carry out the random-</w:t>
      </w:r>
      <w:r>
        <w:t>access</w:t>
      </w:r>
      <w:r w:rsidR="002F47EE">
        <w:t xml:space="preserve"> procedure by which it can gain </w:t>
      </w:r>
      <w:r>
        <w:t>access to the system. As the device has</w:t>
      </w:r>
      <w:r w:rsidR="002F47EE">
        <w:t>, at this stage,</w:t>
      </w:r>
      <w:r>
        <w:t xml:space="preserve"> not yet accessed the system, this essential system information needs to be </w:t>
      </w:r>
      <w:r w:rsidR="002F47EE">
        <w:t>provided</w:t>
      </w:r>
      <w:r w:rsidR="00D749C6">
        <w:t xml:space="preserve"> using broadcast</w:t>
      </w:r>
      <w:r w:rsidR="002F47EE">
        <w:t xml:space="preserve">. </w:t>
      </w:r>
      <w:r>
        <w:t xml:space="preserve">Note that this essential system information may only be a small fraction of the total amount of system information that the device eventually needs. The remaining system information </w:t>
      </w:r>
      <w:r w:rsidR="00D749C6">
        <w:t xml:space="preserve">can be </w:t>
      </w:r>
      <w:r>
        <w:t>provide</w:t>
      </w:r>
      <w:r w:rsidR="00D749C6">
        <w:t>d</w:t>
      </w:r>
      <w:r>
        <w:t xml:space="preserve"> to the UE once it has accessed the system</w:t>
      </w:r>
      <w:r w:rsidR="00D749C6">
        <w:t xml:space="preserve"> in several ways</w:t>
      </w:r>
      <w:r>
        <w:t>, including by means of dedicated signaling</w:t>
      </w:r>
      <w:r w:rsidR="00AE0133">
        <w:t>, but this discussion can be left to RAN2</w:t>
      </w:r>
      <w:r>
        <w:t xml:space="preserve">. </w:t>
      </w:r>
    </w:p>
    <w:p w:rsidR="00701B27" w:rsidRDefault="00701B27" w:rsidP="00701B27">
      <w:pPr>
        <w:pStyle w:val="BodyText"/>
      </w:pPr>
      <w:r>
        <w:t xml:space="preserve">As, at this stage, the only thing the device knows about the system is the </w:t>
      </w:r>
      <w:r w:rsidR="002A66A2">
        <w:t>synchronization signal</w:t>
      </w:r>
      <w:r>
        <w:t xml:space="preserve"> it has acquired, the acquired </w:t>
      </w:r>
      <w:r w:rsidR="002A66A2">
        <w:t>synchronization signal</w:t>
      </w:r>
      <w:r>
        <w:t xml:space="preserve"> needs to provide sufficient information about the time/frequency location of the system information</w:t>
      </w:r>
      <w:r w:rsidR="009A2BB3">
        <w:t xml:space="preserve"> </w:t>
      </w:r>
      <w:r w:rsidR="00A53B42">
        <w:t>whereas</w:t>
      </w:r>
      <w:r w:rsidR="009A2BB3">
        <w:t xml:space="preserve"> agreed in RAN1#85, the </w:t>
      </w:r>
      <w:r w:rsidR="00AE0133">
        <w:t>e</w:t>
      </w:r>
      <w:r w:rsidR="00AE0133" w:rsidRPr="00AE0133">
        <w:t>ssential system information should be decodable based on an identity parameter used for generation of synchronization signa</w:t>
      </w:r>
      <w:r w:rsidR="00AE0133">
        <w:t>l</w:t>
      </w:r>
      <w:r>
        <w:t xml:space="preserve">. </w:t>
      </w:r>
    </w:p>
    <w:p w:rsidR="00AE0133" w:rsidRDefault="00701B27" w:rsidP="00701B27">
      <w:pPr>
        <w:pStyle w:val="BodyText"/>
      </w:pPr>
      <w:r>
        <w:t xml:space="preserve">The </w:t>
      </w:r>
      <w:r w:rsidR="002A66A2">
        <w:t>synchronization signal</w:t>
      </w:r>
      <w:r>
        <w:t xml:space="preserve"> and the essential system information needed to carry out a random access should be the only “always-on” signals in the network in the sense that these are the only signals that must be transmitted regardless of if there is any device in range or not. </w:t>
      </w:r>
    </w:p>
    <w:p w:rsidR="00AE0133" w:rsidRDefault="00AE0133" w:rsidP="00AE0133">
      <w:pPr>
        <w:pStyle w:val="BodyText"/>
      </w:pPr>
      <w:r>
        <w:t xml:space="preserve">At RAN1#84bis it was agreed that the </w:t>
      </w:r>
      <w:r w:rsidRPr="0024329F">
        <w:t>t</w:t>
      </w:r>
      <w:r>
        <w:t xml:space="preserve">ransmission of always-on signals should be minimized. As mentioned above, the synchronization signals for initial access will be always on, but in order to limit impact on forward compatibility and energy consumption the synchronization signal period in NRF should be significantly larger than the periodicity of </w:t>
      </w:r>
      <w:r w:rsidR="002A66A2">
        <w:t>PSS/SS</w:t>
      </w:r>
      <w:r>
        <w:t xml:space="preserve">S in LTE. Rather, a periodicity of 100 </w:t>
      </w:r>
      <w:proofErr w:type="spellStart"/>
      <w:r>
        <w:t>ms</w:t>
      </w:r>
      <w:proofErr w:type="spellEnd"/>
      <w:r>
        <w:t xml:space="preserve"> should be targeted, similar to the periodicity of discovery reference signals introduced in LTE Rel-12. The increased periodicity will mean that the UE needs to search longer on each frequency, but by reducing the number of frequencies the UE has to search, </w:t>
      </w:r>
      <w:r>
        <w:lastRenderedPageBreak/>
        <w:t>the total complexity and search times can be kept the same. It should also be noted that the case where the UE performs initial access without any prior knowledge of available carriers is rare.</w:t>
      </w:r>
    </w:p>
    <w:p w:rsidR="00AE0133" w:rsidRPr="009A2BB3" w:rsidRDefault="00AE0133" w:rsidP="00AE0133">
      <w:pPr>
        <w:pStyle w:val="BodyText"/>
        <w:rPr>
          <w:b/>
        </w:rPr>
      </w:pPr>
      <w:r w:rsidRPr="009A2BB3">
        <w:rPr>
          <w:b/>
        </w:rPr>
        <w:t xml:space="preserve">Proposal </w:t>
      </w:r>
      <w:r>
        <w:rPr>
          <w:b/>
        </w:rPr>
        <w:t>2</w:t>
      </w:r>
      <w:r w:rsidRPr="009A2BB3">
        <w:rPr>
          <w:b/>
        </w:rPr>
        <w:t xml:space="preserve">: </w:t>
      </w:r>
      <w:r w:rsidR="00992CDE">
        <w:rPr>
          <w:b/>
        </w:rPr>
        <w:t xml:space="preserve">Target 100 </w:t>
      </w:r>
      <w:proofErr w:type="spellStart"/>
      <w:r w:rsidR="00992CDE">
        <w:rPr>
          <w:b/>
        </w:rPr>
        <w:t>ms</w:t>
      </w:r>
      <w:proofErr w:type="spellEnd"/>
      <w:r w:rsidR="00992CDE">
        <w:rPr>
          <w:b/>
        </w:rPr>
        <w:t xml:space="preserve"> </w:t>
      </w:r>
      <w:r>
        <w:rPr>
          <w:b/>
        </w:rPr>
        <w:t xml:space="preserve">periodicity </w:t>
      </w:r>
      <w:r w:rsidR="00992CDE">
        <w:rPr>
          <w:b/>
        </w:rPr>
        <w:t xml:space="preserve">for </w:t>
      </w:r>
      <w:r>
        <w:rPr>
          <w:b/>
        </w:rPr>
        <w:t xml:space="preserve">the </w:t>
      </w:r>
      <w:r w:rsidRPr="009A2BB3">
        <w:rPr>
          <w:b/>
        </w:rPr>
        <w:t xml:space="preserve">synchronization </w:t>
      </w:r>
      <w:r>
        <w:rPr>
          <w:b/>
        </w:rPr>
        <w:t xml:space="preserve">signal </w:t>
      </w:r>
      <w:r w:rsidR="00BC1871">
        <w:rPr>
          <w:b/>
        </w:rPr>
        <w:t xml:space="preserve">and system information </w:t>
      </w:r>
      <w:r w:rsidR="00992CDE">
        <w:rPr>
          <w:b/>
        </w:rPr>
        <w:t>to limit</w:t>
      </w:r>
      <w:r>
        <w:rPr>
          <w:b/>
        </w:rPr>
        <w:t xml:space="preserve"> the always-on signals for forward compatibility and lower</w:t>
      </w:r>
      <w:r w:rsidR="00992CDE">
        <w:rPr>
          <w:b/>
        </w:rPr>
        <w:t xml:space="preserve"> energy consumption</w:t>
      </w:r>
      <w:r w:rsidRPr="009A2BB3">
        <w:rPr>
          <w:b/>
        </w:rPr>
        <w:t>.</w:t>
      </w:r>
    </w:p>
    <w:p w:rsidR="00701B27" w:rsidRDefault="00701B27" w:rsidP="00701B27">
      <w:pPr>
        <w:pStyle w:val="BodyText"/>
      </w:pPr>
    </w:p>
    <w:p w:rsidR="00701B27" w:rsidRDefault="00701B27" w:rsidP="00701B27">
      <w:pPr>
        <w:pStyle w:val="Heading2"/>
      </w:pPr>
      <w:r>
        <w:t>Random access</w:t>
      </w:r>
    </w:p>
    <w:p w:rsidR="00701B27" w:rsidRDefault="00701B27" w:rsidP="00701B27">
      <w:pPr>
        <w:pStyle w:val="BodyText"/>
      </w:pPr>
      <w:r>
        <w:t>Once the system information has been acquired, the device initiate</w:t>
      </w:r>
      <w:r w:rsidR="00D749C6">
        <w:t>s</w:t>
      </w:r>
      <w:r>
        <w:t xml:space="preserve"> a random-access procedure by transmitting a random-</w:t>
      </w:r>
      <w:r w:rsidR="005E2EB6">
        <w:t>access request. At</w:t>
      </w:r>
      <w:r>
        <w:t xml:space="preserve"> this stage, the only timing reference available for the device is the timing of the </w:t>
      </w:r>
      <w:r w:rsidR="002A66A2">
        <w:t>synchronization signal</w:t>
      </w:r>
      <w:r>
        <w:t>. Thus the timing of transmission resources for random-access requests (provided as part of the essential system information)</w:t>
      </w:r>
      <w:r w:rsidR="005E2EB6">
        <w:t xml:space="preserve"> should</w:t>
      </w:r>
      <w:r>
        <w:t xml:space="preserve"> </w:t>
      </w:r>
      <w:r w:rsidR="005E2EB6">
        <w:t xml:space="preserve">be </w:t>
      </w:r>
      <w:r>
        <w:t xml:space="preserve">relative to the receive timing of the acquired </w:t>
      </w:r>
      <w:r w:rsidR="002A66A2">
        <w:t>synchronization signal</w:t>
      </w:r>
      <w:r>
        <w:t xml:space="preserve">. The same is true for the transmit power of the random-access request. The only power reference available to the device at this stage is the power of the acquired </w:t>
      </w:r>
      <w:r w:rsidR="002A66A2">
        <w:t>synchronization signal</w:t>
      </w:r>
      <w:r>
        <w:t xml:space="preserve"> and the transmit power of the random-access request </w:t>
      </w:r>
      <w:r w:rsidR="005E2EB6">
        <w:t xml:space="preserve">should </w:t>
      </w:r>
      <w:r>
        <w:t xml:space="preserve">be relative to the receive power of the acquired </w:t>
      </w:r>
      <w:r w:rsidR="002A66A2">
        <w:t>synchronization signal</w:t>
      </w:r>
      <w:r>
        <w:t>:</w:t>
      </w:r>
    </w:p>
    <w:p w:rsidR="00701B27" w:rsidRDefault="00701B27" w:rsidP="00701B27">
      <w:pPr>
        <w:pStyle w:val="BodyText"/>
      </w:pPr>
      <w:r>
        <w:t xml:space="preserve">In most cases, the random-access request will be detected by the node corresponding to the acquired </w:t>
      </w:r>
      <w:r w:rsidR="002A66A2">
        <w:t>synchronization signal</w:t>
      </w:r>
      <w:r>
        <w:t xml:space="preserve">. However, this may not necessarily always be the case. One could envision the presence of </w:t>
      </w:r>
      <w:r w:rsidR="005E2EB6">
        <w:t>“silent</w:t>
      </w:r>
      <w:r>
        <w:t xml:space="preserve"> nodes” (nodes not transmitting any </w:t>
      </w:r>
      <w:r w:rsidR="002A66A2">
        <w:t>synchronization signal</w:t>
      </w:r>
      <w:r>
        <w:t>) that may still be “listening” for, and responding to, random-access requests.</w:t>
      </w:r>
    </w:p>
    <w:p w:rsidR="00701B27" w:rsidRDefault="00701B27" w:rsidP="00701B27">
      <w:pPr>
        <w:pStyle w:val="BodyText"/>
      </w:pPr>
      <w:r>
        <w:t xml:space="preserve">Upon the detection of a random-access request, the network will respond with a random-access response. The random-access response should be transmitted from the same node as the node detecting the random-access request (or some other node tightly coordinated with the node detecting the random-access request).  As the random-access request could be detected by a different node than the </w:t>
      </w:r>
      <w:r w:rsidR="002A66A2">
        <w:t>synchronization signal</w:t>
      </w:r>
      <w:r>
        <w:t xml:space="preserve"> node transmitting the acquired </w:t>
      </w:r>
      <w:r w:rsidR="002A66A2">
        <w:t>synchronization signal</w:t>
      </w:r>
      <w:r>
        <w:t>, the received timing of the random-access request may be different from that timing of the acqu</w:t>
      </w:r>
      <w:r w:rsidR="00D749C6">
        <w:t xml:space="preserve">ired </w:t>
      </w:r>
      <w:r w:rsidR="002A66A2">
        <w:t>synchronization signal</w:t>
      </w:r>
      <w:r w:rsidR="00D749C6">
        <w:t>.</w:t>
      </w:r>
    </w:p>
    <w:p w:rsidR="00701B27" w:rsidRDefault="00701B27" w:rsidP="00701B27">
      <w:pPr>
        <w:pStyle w:val="BodyText"/>
      </w:pPr>
      <w:r>
        <w:t>As a consequence, the device should</w:t>
      </w:r>
      <w:r w:rsidR="005E2EB6">
        <w:t xml:space="preserve"> </w:t>
      </w:r>
      <w:r>
        <w:t xml:space="preserve">search for the random-access response in a time-domain window given relative to the transmit timing of the random-access request. The random-access response should also be self-contained in terms of synchronization, i.e. the device cannot assume that it can use the </w:t>
      </w:r>
      <w:r w:rsidR="002A66A2">
        <w:t>synchronization signal</w:t>
      </w:r>
      <w:r>
        <w:t xml:space="preserve"> as accurate synchronization reference for the reception of the random-access response.  </w:t>
      </w:r>
    </w:p>
    <w:p w:rsidR="00701B27" w:rsidRDefault="00701B27" w:rsidP="00701B27">
      <w:pPr>
        <w:pStyle w:val="BodyText"/>
      </w:pPr>
      <w:r>
        <w:t xml:space="preserve">As part of the random-access response, devices can be configured with </w:t>
      </w:r>
      <w:r w:rsidR="005E2EB6">
        <w:t xml:space="preserve">additional (synchronization/reference) signals that can be </w:t>
      </w:r>
      <w:r>
        <w:t xml:space="preserve">used </w:t>
      </w:r>
      <w:r w:rsidR="005E2EB6">
        <w:t xml:space="preserve">to support </w:t>
      </w:r>
      <w:r>
        <w:t>for</w:t>
      </w:r>
      <w:r w:rsidR="005E2EB6">
        <w:t xml:space="preserve"> example</w:t>
      </w:r>
      <w:r>
        <w:t xml:space="preserve"> mobil</w:t>
      </w:r>
      <w:r w:rsidR="005E2EB6">
        <w:t>ity</w:t>
      </w:r>
      <w:r>
        <w:t>.</w:t>
      </w:r>
    </w:p>
    <w:p w:rsidR="00AE0133" w:rsidRDefault="00AE0133" w:rsidP="00701B27">
      <w:pPr>
        <w:pStyle w:val="BodyText"/>
      </w:pPr>
      <w:r>
        <w:t xml:space="preserve">The random access procedure and signals are further discussed in </w:t>
      </w:r>
      <w:r w:rsidR="00BD3BB4">
        <w:fldChar w:fldCharType="begin"/>
      </w:r>
      <w:r w:rsidR="00BD3BB4">
        <w:instrText xml:space="preserve"> REF _Ref458725330 \r \h </w:instrText>
      </w:r>
      <w:r w:rsidR="00BD3BB4">
        <w:fldChar w:fldCharType="separate"/>
      </w:r>
      <w:r w:rsidR="00BD3BB4">
        <w:t>[1</w:t>
      </w:r>
      <w:proofErr w:type="gramStart"/>
      <w:r w:rsidR="00BD3BB4">
        <w:t>]</w:t>
      </w:r>
      <w:proofErr w:type="gramEnd"/>
      <w:r w:rsidR="00BD3BB4">
        <w:fldChar w:fldCharType="end"/>
      </w:r>
      <w:r w:rsidR="00BD3BB4">
        <w:fldChar w:fldCharType="begin"/>
      </w:r>
      <w:r w:rsidR="00BD3BB4">
        <w:instrText xml:space="preserve"> REF _Ref458725332 \r \h </w:instrText>
      </w:r>
      <w:r w:rsidR="00BD3BB4">
        <w:fldChar w:fldCharType="separate"/>
      </w:r>
      <w:r w:rsidR="00BD3BB4">
        <w:t>[2]</w:t>
      </w:r>
      <w:r w:rsidR="00BD3BB4">
        <w:fldChar w:fldCharType="end"/>
      </w:r>
      <w:r w:rsidR="00BD3BB4">
        <w:fldChar w:fldCharType="begin"/>
      </w:r>
      <w:r w:rsidR="00BD3BB4">
        <w:instrText xml:space="preserve"> REF _Ref458515761 \r \h </w:instrText>
      </w:r>
      <w:r w:rsidR="00BD3BB4">
        <w:fldChar w:fldCharType="separate"/>
      </w:r>
      <w:r w:rsidR="00BD3BB4">
        <w:t>[3]</w:t>
      </w:r>
      <w:r w:rsidR="00BD3BB4">
        <w:fldChar w:fldCharType="end"/>
      </w:r>
      <w:r w:rsidR="00BD3BB4">
        <w:t>.</w:t>
      </w:r>
    </w:p>
    <w:p w:rsidR="00A50001" w:rsidRDefault="00A50001" w:rsidP="00701B27">
      <w:pPr>
        <w:pStyle w:val="Heading1"/>
      </w:pPr>
      <w:r>
        <w:t>Mobility</w:t>
      </w:r>
    </w:p>
    <w:p w:rsidR="00701B27" w:rsidRDefault="00701B27" w:rsidP="00A50001">
      <w:pPr>
        <w:pStyle w:val="Heading2"/>
      </w:pPr>
      <w:r>
        <w:t>Idle mode mobility</w:t>
      </w:r>
    </w:p>
    <w:p w:rsidR="00701B27" w:rsidRDefault="00701B27" w:rsidP="00701B27">
      <w:pPr>
        <w:pStyle w:val="BodyText"/>
      </w:pPr>
      <w:r>
        <w:t xml:space="preserve">We propose that the </w:t>
      </w:r>
      <w:r w:rsidR="002A66A2">
        <w:t>synchronization signal</w:t>
      </w:r>
      <w:r w:rsidR="00A53B42">
        <w:t>s</w:t>
      </w:r>
      <w:r>
        <w:t xml:space="preserve"> used for initial access are also used for idle-mode-mobility measurements. As mentioned above, the </w:t>
      </w:r>
      <w:r w:rsidR="002A66A2">
        <w:t>synchronization signal</w:t>
      </w:r>
      <w:r>
        <w:t xml:space="preserve"> may not be transmitted from every node of the system, not on every frequency. Using </w:t>
      </w:r>
      <w:r w:rsidR="002A66A2">
        <w:t>synchronization signal</w:t>
      </w:r>
      <w:r>
        <w:t xml:space="preserve"> for idle-mode mobility measurements simply means that </w:t>
      </w:r>
    </w:p>
    <w:p w:rsidR="00701B27" w:rsidRDefault="00701B27" w:rsidP="00701B27">
      <w:pPr>
        <w:pStyle w:val="BodyText"/>
        <w:numPr>
          <w:ilvl w:val="0"/>
          <w:numId w:val="17"/>
        </w:numPr>
      </w:pPr>
      <w:r>
        <w:t xml:space="preserve">Idle-mode devices should not camp on carrier frequencies not transmitting </w:t>
      </w:r>
      <w:r w:rsidR="002A66A2">
        <w:t>synchronization signal</w:t>
      </w:r>
    </w:p>
    <w:p w:rsidR="00701B27" w:rsidRDefault="00701B27" w:rsidP="00701B27">
      <w:pPr>
        <w:pStyle w:val="BodyText"/>
        <w:numPr>
          <w:ilvl w:val="0"/>
          <w:numId w:val="17"/>
        </w:numPr>
      </w:pPr>
      <w:r>
        <w:t xml:space="preserve">Idle-mode mobility will only take place between nodes that are transmitting </w:t>
      </w:r>
      <w:r w:rsidR="002A66A2">
        <w:t>synchronization signal</w:t>
      </w:r>
    </w:p>
    <w:p w:rsidR="00AE0133" w:rsidRDefault="00AE0133" w:rsidP="00AE0133">
      <w:pPr>
        <w:pStyle w:val="BodyText"/>
      </w:pPr>
    </w:p>
    <w:p w:rsidR="00AE0133" w:rsidRPr="00D749C6" w:rsidRDefault="00AE0133" w:rsidP="00AE0133">
      <w:pPr>
        <w:pStyle w:val="BodyText"/>
        <w:rPr>
          <w:b/>
        </w:rPr>
      </w:pPr>
      <w:r>
        <w:rPr>
          <w:b/>
        </w:rPr>
        <w:t>Proposal 3</w:t>
      </w:r>
      <w:r w:rsidRPr="00D749C6">
        <w:rPr>
          <w:b/>
        </w:rPr>
        <w:t>: I</w:t>
      </w:r>
      <w:r>
        <w:rPr>
          <w:b/>
        </w:rPr>
        <w:t xml:space="preserve">dle-mode mobility </w:t>
      </w:r>
      <w:r w:rsidRPr="00D749C6">
        <w:rPr>
          <w:b/>
        </w:rPr>
        <w:t xml:space="preserve">measurements </w:t>
      </w:r>
      <w:r>
        <w:rPr>
          <w:b/>
        </w:rPr>
        <w:t xml:space="preserve">are </w:t>
      </w:r>
      <w:r w:rsidRPr="00D749C6">
        <w:rPr>
          <w:b/>
        </w:rPr>
        <w:t>based on the synchronization signals used for initial access.</w:t>
      </w:r>
    </w:p>
    <w:p w:rsidR="00AE0133" w:rsidRDefault="00BD3BB4" w:rsidP="00AE0133">
      <w:pPr>
        <w:pStyle w:val="BodyText"/>
      </w:pPr>
      <w:r>
        <w:t xml:space="preserve">Further details on idle mode operation are discussed in </w:t>
      </w:r>
      <w:r>
        <w:fldChar w:fldCharType="begin"/>
      </w:r>
      <w:r>
        <w:instrText xml:space="preserve"> REF _Ref458725588 \r \h </w:instrText>
      </w:r>
      <w:r>
        <w:fldChar w:fldCharType="separate"/>
      </w:r>
      <w:r>
        <w:t>[4]</w:t>
      </w:r>
      <w:r>
        <w:fldChar w:fldCharType="end"/>
      </w:r>
      <w:r>
        <w:t>.</w:t>
      </w:r>
    </w:p>
    <w:p w:rsidR="00701B27" w:rsidRDefault="00701B27" w:rsidP="00A50001">
      <w:pPr>
        <w:pStyle w:val="Heading2"/>
      </w:pPr>
      <w:r>
        <w:t>Connected mode mobility</w:t>
      </w:r>
    </w:p>
    <w:p w:rsidR="00701B27" w:rsidRDefault="00701B27" w:rsidP="00701B27">
      <w:pPr>
        <w:pStyle w:val="BodyText"/>
      </w:pPr>
      <w:r>
        <w:t>To provide a flexible and future-proof design and to enable efficient use of massive beam-forming, connected mode mobility should</w:t>
      </w:r>
      <w:r w:rsidR="005E2EB6">
        <w:t xml:space="preserve"> be separated</w:t>
      </w:r>
      <w:r>
        <w:t xml:space="preserve"> from idle-mode mobility and initial access in the sense that devices in connected mode mobility should not rely on the </w:t>
      </w:r>
      <w:r w:rsidR="002A66A2">
        <w:t>synchronization signal</w:t>
      </w:r>
      <w:r>
        <w:t>. Connected mod</w:t>
      </w:r>
      <w:r w:rsidR="005E2EB6">
        <w:t>e mobility will</w:t>
      </w:r>
      <w:r>
        <w:t xml:space="preserve">, in the general case, not take place between different physical nodes but between beams of different physical nodes. Thus, connected mode mobility requires reference signals on a beam basis, here referred to a </w:t>
      </w:r>
      <w:r w:rsidRPr="002B0830">
        <w:rPr>
          <w:i/>
        </w:rPr>
        <w:t>Mobility Reference Signals</w:t>
      </w:r>
      <w:r>
        <w:t xml:space="preserve"> (MRS).</w:t>
      </w:r>
    </w:p>
    <w:p w:rsidR="00701B27" w:rsidRDefault="00701B27" w:rsidP="00701B27">
      <w:pPr>
        <w:pStyle w:val="BodyText"/>
      </w:pPr>
      <w:r>
        <w:lastRenderedPageBreak/>
        <w:t xml:space="preserve">The Mobility Reference signals should not be fundamentally “always-on” signals, i.e. it should be possible to configure MRS on a per-need basis. </w:t>
      </w:r>
    </w:p>
    <w:p w:rsidR="00701B27" w:rsidRDefault="00701B27" w:rsidP="00701B27">
      <w:pPr>
        <w:pStyle w:val="BodyText"/>
      </w:pPr>
      <w:r>
        <w:t>A device in connected mode provides mobility reports based on the quality of received MRS. Based on these mobility reports, the network can make handover decisions for the device.</w:t>
      </w:r>
    </w:p>
    <w:p w:rsidR="00701B27" w:rsidRDefault="00701B27" w:rsidP="00701B27">
      <w:pPr>
        <w:pStyle w:val="BodyText"/>
      </w:pPr>
      <w:r>
        <w:t>An acquired MRS may also serve as a synchronization reference for the r</w:t>
      </w:r>
      <w:r w:rsidR="00A50001">
        <w:t>eception of data transmissions.</w:t>
      </w:r>
    </w:p>
    <w:p w:rsidR="000A31B2" w:rsidRDefault="00AE0133" w:rsidP="00AE0133">
      <w:pPr>
        <w:pStyle w:val="BodyText"/>
        <w:rPr>
          <w:b/>
        </w:rPr>
      </w:pPr>
      <w:r>
        <w:rPr>
          <w:b/>
        </w:rPr>
        <w:t xml:space="preserve">Proposal 4: Connected mode mobility </w:t>
      </w:r>
      <w:r w:rsidRPr="00D749C6">
        <w:rPr>
          <w:b/>
        </w:rPr>
        <w:t xml:space="preserve">measurements </w:t>
      </w:r>
      <w:r>
        <w:rPr>
          <w:b/>
        </w:rPr>
        <w:t xml:space="preserve">are </w:t>
      </w:r>
      <w:r w:rsidRPr="00D749C6">
        <w:rPr>
          <w:b/>
        </w:rPr>
        <w:t xml:space="preserve">based on </w:t>
      </w:r>
      <w:r w:rsidR="000A31B2" w:rsidRPr="000A31B2">
        <w:rPr>
          <w:b/>
        </w:rPr>
        <w:t>specific reference signal unr</w:t>
      </w:r>
      <w:r w:rsidR="000A31B2">
        <w:rPr>
          <w:b/>
        </w:rPr>
        <w:t>e</w:t>
      </w:r>
      <w:r w:rsidR="000A31B2" w:rsidRPr="000A31B2">
        <w:rPr>
          <w:b/>
        </w:rPr>
        <w:t>lated to the sync</w:t>
      </w:r>
      <w:r w:rsidR="000A31B2">
        <w:rPr>
          <w:b/>
        </w:rPr>
        <w:t xml:space="preserve">hronization </w:t>
      </w:r>
      <w:r w:rsidR="000A31B2" w:rsidRPr="000A31B2">
        <w:rPr>
          <w:b/>
        </w:rPr>
        <w:t xml:space="preserve">signals </w:t>
      </w:r>
      <w:r w:rsidR="000A31B2">
        <w:rPr>
          <w:b/>
        </w:rPr>
        <w:t>used for initial access and idle mode mobility.</w:t>
      </w:r>
    </w:p>
    <w:p w:rsidR="00AE0133" w:rsidRPr="00D749C6" w:rsidRDefault="000A31B2" w:rsidP="00AE0133">
      <w:pPr>
        <w:pStyle w:val="BodyText"/>
        <w:rPr>
          <w:b/>
        </w:rPr>
      </w:pPr>
      <w:r>
        <w:rPr>
          <w:b/>
        </w:rPr>
        <w:t xml:space="preserve">Proposal 5: The reference signals for connected mode mobility can be </w:t>
      </w:r>
      <w:r w:rsidRPr="000A31B2">
        <w:rPr>
          <w:b/>
        </w:rPr>
        <w:t xml:space="preserve">configured </w:t>
      </w:r>
      <w:r w:rsidR="00AE0133">
        <w:rPr>
          <w:b/>
        </w:rPr>
        <w:t>that can be configured on a per-need basis</w:t>
      </w:r>
    </w:p>
    <w:p w:rsidR="00AE0133" w:rsidRDefault="00BD3BB4" w:rsidP="00701B27">
      <w:pPr>
        <w:pStyle w:val="BodyText"/>
      </w:pPr>
      <w:r>
        <w:t xml:space="preserve">Further details on connected mode operation are discussed in </w:t>
      </w:r>
      <w:r>
        <w:fldChar w:fldCharType="begin"/>
      </w:r>
      <w:r>
        <w:instrText xml:space="preserve"> REF _Ref458725628 \r \h </w:instrText>
      </w:r>
      <w:r>
        <w:fldChar w:fldCharType="separate"/>
      </w:r>
      <w:r>
        <w:t>[5]</w:t>
      </w:r>
      <w:r>
        <w:fldChar w:fldCharType="end"/>
      </w:r>
      <w:r>
        <w:t>.</w:t>
      </w:r>
    </w:p>
    <w:p w:rsidR="00A50001" w:rsidRDefault="00A50001" w:rsidP="00A50001">
      <w:pPr>
        <w:pStyle w:val="Heading1"/>
      </w:pPr>
      <w:r>
        <w:t>Conclusion</w:t>
      </w:r>
    </w:p>
    <w:p w:rsidR="00AE0133" w:rsidRDefault="00AE0133" w:rsidP="00AE0133">
      <w:pPr>
        <w:pStyle w:val="BodyText"/>
      </w:pPr>
      <w:r>
        <w:t>In this contribution we discussed initial access and mobility and make the following proposals:</w:t>
      </w:r>
    </w:p>
    <w:p w:rsidR="00AE0133" w:rsidRDefault="00AE0133" w:rsidP="00AE0133">
      <w:pPr>
        <w:pStyle w:val="BodyText"/>
        <w:rPr>
          <w:b/>
        </w:rPr>
      </w:pPr>
      <w:r w:rsidRPr="009A2BB3">
        <w:rPr>
          <w:b/>
        </w:rPr>
        <w:t xml:space="preserve">Proposal 1: The initial time synchronization is provided by the Synchronization </w:t>
      </w:r>
      <w:proofErr w:type="gramStart"/>
      <w:r w:rsidRPr="009A2BB3">
        <w:rPr>
          <w:b/>
        </w:rPr>
        <w:t>Signal(</w:t>
      </w:r>
      <w:proofErr w:type="gramEnd"/>
      <w:r w:rsidR="002A66A2">
        <w:rPr>
          <w:b/>
        </w:rPr>
        <w:t>synchronization signal</w:t>
      </w:r>
      <w:r w:rsidRPr="009A2BB3">
        <w:rPr>
          <w:b/>
        </w:rPr>
        <w:t xml:space="preserve">) where identical </w:t>
      </w:r>
      <w:r w:rsidR="002A66A2">
        <w:rPr>
          <w:b/>
        </w:rPr>
        <w:t>synchronization signal</w:t>
      </w:r>
      <w:r w:rsidRPr="009A2BB3">
        <w:rPr>
          <w:b/>
        </w:rPr>
        <w:t xml:space="preserve"> can be transmitted by multiple transmission points.</w:t>
      </w:r>
    </w:p>
    <w:p w:rsidR="000A31B2" w:rsidRPr="009A2BB3" w:rsidRDefault="000A31B2" w:rsidP="000A31B2">
      <w:pPr>
        <w:pStyle w:val="BodyText"/>
        <w:rPr>
          <w:b/>
        </w:rPr>
      </w:pPr>
      <w:r w:rsidRPr="009A2BB3">
        <w:rPr>
          <w:b/>
        </w:rPr>
        <w:t xml:space="preserve">Proposal </w:t>
      </w:r>
      <w:r>
        <w:rPr>
          <w:b/>
        </w:rPr>
        <w:t>2</w:t>
      </w:r>
      <w:r w:rsidRPr="009A2BB3">
        <w:rPr>
          <w:b/>
        </w:rPr>
        <w:t xml:space="preserve">: </w:t>
      </w:r>
      <w:r>
        <w:rPr>
          <w:b/>
        </w:rPr>
        <w:t xml:space="preserve">Target 100 </w:t>
      </w:r>
      <w:proofErr w:type="spellStart"/>
      <w:r>
        <w:rPr>
          <w:b/>
        </w:rPr>
        <w:t>ms</w:t>
      </w:r>
      <w:proofErr w:type="spellEnd"/>
      <w:r>
        <w:rPr>
          <w:b/>
        </w:rPr>
        <w:t xml:space="preserve"> periodicity for the </w:t>
      </w:r>
      <w:r w:rsidRPr="009A2BB3">
        <w:rPr>
          <w:b/>
        </w:rPr>
        <w:t xml:space="preserve">synchronization </w:t>
      </w:r>
      <w:r>
        <w:rPr>
          <w:b/>
        </w:rPr>
        <w:t>signal and system information to limit the always-on signals for forward compatibility and lower energy consumption</w:t>
      </w:r>
      <w:r w:rsidRPr="009A2BB3">
        <w:rPr>
          <w:b/>
        </w:rPr>
        <w:t>.</w:t>
      </w:r>
    </w:p>
    <w:p w:rsidR="00AE0133" w:rsidRPr="00D749C6" w:rsidRDefault="00AE0133" w:rsidP="00AE0133">
      <w:pPr>
        <w:pStyle w:val="BodyText"/>
        <w:rPr>
          <w:b/>
        </w:rPr>
      </w:pPr>
      <w:r>
        <w:rPr>
          <w:b/>
        </w:rPr>
        <w:t>Proposal 3</w:t>
      </w:r>
      <w:r w:rsidRPr="00D749C6">
        <w:rPr>
          <w:b/>
        </w:rPr>
        <w:t>: I</w:t>
      </w:r>
      <w:r>
        <w:rPr>
          <w:b/>
        </w:rPr>
        <w:t xml:space="preserve">dle-mode mobility </w:t>
      </w:r>
      <w:r w:rsidRPr="00D749C6">
        <w:rPr>
          <w:b/>
        </w:rPr>
        <w:t xml:space="preserve">measurements </w:t>
      </w:r>
      <w:r>
        <w:rPr>
          <w:b/>
        </w:rPr>
        <w:t xml:space="preserve">are </w:t>
      </w:r>
      <w:r w:rsidRPr="00D749C6">
        <w:rPr>
          <w:b/>
        </w:rPr>
        <w:t>based on the synchronization signals used for initial access.</w:t>
      </w:r>
    </w:p>
    <w:p w:rsidR="000A31B2" w:rsidRDefault="000A31B2" w:rsidP="000A31B2">
      <w:pPr>
        <w:pStyle w:val="BodyText"/>
        <w:rPr>
          <w:b/>
        </w:rPr>
      </w:pPr>
      <w:r>
        <w:rPr>
          <w:b/>
        </w:rPr>
        <w:t xml:space="preserve">Proposal 4: Connected mode mobility </w:t>
      </w:r>
      <w:r w:rsidRPr="00D749C6">
        <w:rPr>
          <w:b/>
        </w:rPr>
        <w:t xml:space="preserve">measurements </w:t>
      </w:r>
      <w:r>
        <w:rPr>
          <w:b/>
        </w:rPr>
        <w:t xml:space="preserve">are </w:t>
      </w:r>
      <w:r w:rsidRPr="00D749C6">
        <w:rPr>
          <w:b/>
        </w:rPr>
        <w:t xml:space="preserve">based on </w:t>
      </w:r>
      <w:r w:rsidRPr="000A31B2">
        <w:rPr>
          <w:b/>
        </w:rPr>
        <w:t>specific reference signal unr</w:t>
      </w:r>
      <w:r>
        <w:rPr>
          <w:b/>
        </w:rPr>
        <w:t>e</w:t>
      </w:r>
      <w:r w:rsidRPr="000A31B2">
        <w:rPr>
          <w:b/>
        </w:rPr>
        <w:t>lated to the sync</w:t>
      </w:r>
      <w:r>
        <w:rPr>
          <w:b/>
        </w:rPr>
        <w:t xml:space="preserve">hronization </w:t>
      </w:r>
      <w:r w:rsidRPr="000A31B2">
        <w:rPr>
          <w:b/>
        </w:rPr>
        <w:t xml:space="preserve">signals </w:t>
      </w:r>
      <w:r>
        <w:rPr>
          <w:b/>
        </w:rPr>
        <w:t>used for initial access and idle mode mobility.</w:t>
      </w:r>
    </w:p>
    <w:p w:rsidR="000A31B2" w:rsidRPr="00D749C6" w:rsidRDefault="000A31B2" w:rsidP="000A31B2">
      <w:pPr>
        <w:pStyle w:val="BodyText"/>
        <w:rPr>
          <w:b/>
        </w:rPr>
      </w:pPr>
      <w:r>
        <w:rPr>
          <w:b/>
        </w:rPr>
        <w:t xml:space="preserve">Proposal 5: The reference signals for connected mode mobility can be </w:t>
      </w:r>
      <w:r w:rsidRPr="000A31B2">
        <w:rPr>
          <w:b/>
        </w:rPr>
        <w:t xml:space="preserve">configured </w:t>
      </w:r>
      <w:r>
        <w:rPr>
          <w:b/>
        </w:rPr>
        <w:t>that can be configured on a per-need basis</w:t>
      </w:r>
    </w:p>
    <w:p w:rsidR="00276E51" w:rsidRDefault="00276E51" w:rsidP="00276E51">
      <w:pPr>
        <w:pStyle w:val="Heading1"/>
      </w:pPr>
      <w:r>
        <w:t>References</w:t>
      </w:r>
    </w:p>
    <w:p w:rsidR="00BD3BB4" w:rsidRPr="00BD3BB4" w:rsidRDefault="00BD3BB4" w:rsidP="00BD3BB4">
      <w:pPr>
        <w:pStyle w:val="Reference"/>
        <w:rPr>
          <w:rFonts w:ascii="Times New Roman" w:eastAsia="MS Mincho" w:hAnsi="Times New Roman"/>
          <w:lang w:val="en-US" w:eastAsia="ja-JP"/>
        </w:rPr>
      </w:pPr>
      <w:bookmarkStart w:id="4" w:name="_Ref458725330"/>
      <w:bookmarkStart w:id="5" w:name="_Ref458515739"/>
      <w:bookmarkStart w:id="6" w:name="_Ref174151459"/>
      <w:bookmarkStart w:id="7" w:name="_Ref189809556"/>
      <w:bookmarkStart w:id="8" w:name="_Ref458515684"/>
      <w:r w:rsidRPr="00BD3BB4">
        <w:rPr>
          <w:rFonts w:ascii="Times New Roman" w:eastAsia="MS Mincho" w:hAnsi="Times New Roman"/>
          <w:lang w:val="en-US" w:eastAsia="ja-JP"/>
        </w:rPr>
        <w:t>R1-167058, “On PRACH preamble design”, Ericsson, RAN1#86, Gothenburg, Sweden, 22th – 26th August 2016</w:t>
      </w:r>
      <w:bookmarkEnd w:id="4"/>
    </w:p>
    <w:p w:rsidR="00BD3BB4" w:rsidRPr="00BD3BB4" w:rsidRDefault="00BD3BB4" w:rsidP="00BD3BB4">
      <w:pPr>
        <w:pStyle w:val="Reference"/>
        <w:rPr>
          <w:rFonts w:ascii="Times New Roman" w:hAnsi="Times New Roman"/>
        </w:rPr>
      </w:pPr>
      <w:bookmarkStart w:id="9" w:name="_Ref458725332"/>
      <w:r w:rsidRPr="00BD3BB4">
        <w:rPr>
          <w:rFonts w:ascii="Times New Roman" w:hAnsi="Times New Roman"/>
          <w:lang w:val="en-US"/>
        </w:rPr>
        <w:t>R1-167059, “</w:t>
      </w:r>
      <w:r w:rsidRPr="00BD3BB4">
        <w:rPr>
          <w:rFonts w:ascii="Times New Roman" w:eastAsia="MS Mincho" w:hAnsi="Times New Roman"/>
          <w:lang w:val="en-US" w:eastAsia="ja-JP"/>
        </w:rPr>
        <w:t>On the random access procedure</w:t>
      </w:r>
      <w:r w:rsidRPr="00BD3BB4">
        <w:rPr>
          <w:rFonts w:ascii="Times New Roman" w:hAnsi="Times New Roman"/>
          <w:lang w:val="en-US"/>
        </w:rPr>
        <w:t xml:space="preserve">”, </w:t>
      </w:r>
      <w:r>
        <w:rPr>
          <w:rFonts w:ascii="Times New Roman" w:hAnsi="Times New Roman"/>
          <w:lang w:val="en-US"/>
        </w:rPr>
        <w:t>Ericsson, RAN1</w:t>
      </w:r>
      <w:r w:rsidRPr="00BD3BB4">
        <w:rPr>
          <w:rFonts w:ascii="Times New Roman" w:hAnsi="Times New Roman"/>
          <w:lang w:val="en-US"/>
        </w:rPr>
        <w:t>#86, Gothenburg, Sweden, 22th – 26th August 2016</w:t>
      </w:r>
      <w:bookmarkEnd w:id="5"/>
      <w:bookmarkEnd w:id="9"/>
    </w:p>
    <w:p w:rsidR="00BD3BB4" w:rsidRPr="00BD3BB4" w:rsidRDefault="00BD3BB4" w:rsidP="00BD3BB4">
      <w:pPr>
        <w:pStyle w:val="Reference"/>
        <w:rPr>
          <w:rFonts w:ascii="Times New Roman" w:hAnsi="Times New Roman"/>
        </w:rPr>
      </w:pPr>
      <w:bookmarkStart w:id="10" w:name="_Ref458515761"/>
      <w:r w:rsidRPr="00BD3BB4">
        <w:rPr>
          <w:rFonts w:ascii="Times New Roman" w:hAnsi="Times New Roman"/>
          <w:lang w:val="en-US"/>
        </w:rPr>
        <w:t>R1-167060</w:t>
      </w:r>
      <w:bookmarkStart w:id="11" w:name="_Ref455574797"/>
      <w:bookmarkEnd w:id="6"/>
      <w:bookmarkEnd w:id="7"/>
      <w:bookmarkEnd w:id="11"/>
      <w:r w:rsidRPr="00BD3BB4">
        <w:rPr>
          <w:rFonts w:ascii="Times New Roman" w:hAnsi="Times New Roman"/>
          <w:lang w:val="en-US"/>
        </w:rPr>
        <w:t xml:space="preserve">, “On </w:t>
      </w:r>
      <w:r>
        <w:rPr>
          <w:rFonts w:ascii="Times New Roman" w:hAnsi="Times New Roman"/>
          <w:lang w:val="en-US"/>
        </w:rPr>
        <w:t xml:space="preserve">NR </w:t>
      </w:r>
      <w:r w:rsidRPr="00BD3BB4">
        <w:rPr>
          <w:rFonts w:ascii="Times New Roman" w:hAnsi="Times New Roman"/>
          <w:lang w:val="en-US"/>
        </w:rPr>
        <w:t xml:space="preserve">random access response design”, </w:t>
      </w:r>
      <w:r>
        <w:rPr>
          <w:rFonts w:ascii="Times New Roman" w:hAnsi="Times New Roman"/>
          <w:lang w:val="en-US"/>
        </w:rPr>
        <w:t>Ericsson, RAN1</w:t>
      </w:r>
      <w:r w:rsidRPr="005B286F">
        <w:rPr>
          <w:rFonts w:ascii="Times New Roman" w:hAnsi="Times New Roman"/>
          <w:lang w:val="en-US"/>
        </w:rPr>
        <w:t>#86</w:t>
      </w:r>
      <w:r w:rsidRPr="00BD3BB4">
        <w:rPr>
          <w:rFonts w:ascii="Times New Roman" w:hAnsi="Times New Roman"/>
          <w:lang w:val="en-US"/>
        </w:rPr>
        <w:t>, Gothenburg, Sweden, 22th – 26th August 2016</w:t>
      </w:r>
      <w:bookmarkEnd w:id="8"/>
      <w:bookmarkEnd w:id="10"/>
    </w:p>
    <w:p w:rsidR="00BD3BB4" w:rsidRPr="00BD3BB4" w:rsidRDefault="00BD3BB4" w:rsidP="00BD3BB4">
      <w:pPr>
        <w:pStyle w:val="Reference"/>
        <w:rPr>
          <w:rFonts w:ascii="Times New Roman" w:eastAsia="MS Mincho" w:hAnsi="Times New Roman"/>
          <w:lang w:val="en-US" w:eastAsia="ja-JP"/>
        </w:rPr>
      </w:pPr>
      <w:bookmarkStart w:id="12" w:name="_Ref458725588"/>
      <w:r w:rsidRPr="00BD3BB4">
        <w:rPr>
          <w:rFonts w:ascii="Times New Roman" w:eastAsia="MS Mincho" w:hAnsi="Times New Roman"/>
          <w:lang w:val="en-US" w:eastAsia="ja-JP"/>
        </w:rPr>
        <w:t>R1-167056, “Idle mode operation and initial access”, Ericsson, RAN1#86, Gothenburg, Sweden, 22th – 26th August 2016</w:t>
      </w:r>
      <w:bookmarkEnd w:id="12"/>
    </w:p>
    <w:p w:rsidR="00BD3BB4" w:rsidRPr="00BD3BB4" w:rsidRDefault="00BD3BB4" w:rsidP="00BD3BB4">
      <w:pPr>
        <w:pStyle w:val="Reference"/>
        <w:rPr>
          <w:rFonts w:ascii="Times New Roman" w:eastAsia="MS Mincho" w:hAnsi="Times New Roman"/>
          <w:lang w:val="en-US" w:eastAsia="ja-JP"/>
        </w:rPr>
      </w:pPr>
      <w:bookmarkStart w:id="13" w:name="_Ref458725628"/>
      <w:r w:rsidRPr="00BD3BB4">
        <w:rPr>
          <w:rFonts w:ascii="Times New Roman" w:eastAsia="MS Mincho" w:hAnsi="Times New Roman"/>
          <w:lang w:val="en-US" w:eastAsia="ja-JP"/>
        </w:rPr>
        <w:t>R1-167057, “Connected mode mobility”, Ericsson, RAN1#86, Gothenburg, Sweden, 22th – 26th August 2016</w:t>
      </w:r>
      <w:bookmarkEnd w:id="13"/>
    </w:p>
    <w:p w:rsidR="00276E51" w:rsidRPr="00BD3BB4" w:rsidRDefault="00276E51" w:rsidP="00276E51">
      <w:pPr>
        <w:pStyle w:val="BodyText"/>
      </w:pPr>
    </w:p>
    <w:sectPr w:rsidR="00276E51" w:rsidRPr="00BD3BB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DAF" w:rsidRDefault="00232DAF">
      <w:r>
        <w:separator/>
      </w:r>
    </w:p>
  </w:endnote>
  <w:endnote w:type="continuationSeparator" w:id="0">
    <w:p w:rsidR="00232DAF" w:rsidRDefault="0023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DAF" w:rsidRDefault="00232DAF">
      <w:r>
        <w:separator/>
      </w:r>
    </w:p>
  </w:footnote>
  <w:footnote w:type="continuationSeparator" w:id="0">
    <w:p w:rsidR="00232DAF" w:rsidRDefault="00232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rsidP="00417FDA">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84546"/>
    <w:multiLevelType w:val="hybridMultilevel"/>
    <w:tmpl w:val="D0422708"/>
    <w:lvl w:ilvl="0" w:tplc="BA64384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3">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AF40DF0"/>
    <w:multiLevelType w:val="hybridMultilevel"/>
    <w:tmpl w:val="11ECD412"/>
    <w:lvl w:ilvl="0" w:tplc="1FEAC2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780A72"/>
    <w:multiLevelType w:val="hybridMultilevel"/>
    <w:tmpl w:val="8CB0CDFC"/>
    <w:lvl w:ilvl="0" w:tplc="06D6B84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EE46FB3"/>
    <w:multiLevelType w:val="hybridMultilevel"/>
    <w:tmpl w:val="4DE6EFB2"/>
    <w:lvl w:ilvl="0" w:tplc="B1FEF66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F752EF5"/>
    <w:multiLevelType w:val="hybridMultilevel"/>
    <w:tmpl w:val="C328712A"/>
    <w:lvl w:ilvl="0" w:tplc="1EA874CA">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5"/>
  </w:num>
  <w:num w:numId="3">
    <w:abstractNumId w:val="1"/>
  </w:num>
  <w:num w:numId="4">
    <w:abstractNumId w:val="9"/>
  </w:num>
  <w:num w:numId="5">
    <w:abstractNumId w:val="13"/>
  </w:num>
  <w:num w:numId="6">
    <w:abstractNumId w:val="2"/>
  </w:num>
  <w:num w:numId="7">
    <w:abstractNumId w:val="8"/>
  </w:num>
  <w:num w:numId="8">
    <w:abstractNumId w:val="10"/>
  </w:num>
  <w:num w:numId="9">
    <w:abstractNumId w:val="4"/>
  </w:num>
  <w:num w:numId="10">
    <w:abstractNumId w:val="3"/>
  </w:num>
  <w:num w:numId="11">
    <w:abstractNumId w:val="11"/>
  </w:num>
  <w:num w:numId="12">
    <w:abstractNumId w:val="15"/>
  </w:num>
  <w:num w:numId="13">
    <w:abstractNumId w:val="16"/>
  </w:num>
  <w:num w:numId="14">
    <w:abstractNumId w:val="6"/>
  </w:num>
  <w:num w:numId="15">
    <w:abstractNumId w:val="7"/>
  </w:num>
  <w:num w:numId="16">
    <w:abstractNumId w:val="14"/>
  </w:num>
  <w:num w:numId="17">
    <w:abstractNumId w:val="0"/>
  </w:num>
  <w:num w:numId="18">
    <w:abstractNumId w:val="12"/>
  </w:num>
  <w:num w:numId="19">
    <w:abstractNumId w:val="1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30074"/>
    <w:rsid w:val="000606B1"/>
    <w:rsid w:val="000A258F"/>
    <w:rsid w:val="000A31B2"/>
    <w:rsid w:val="000B661F"/>
    <w:rsid w:val="000C6BC2"/>
    <w:rsid w:val="000D4E43"/>
    <w:rsid w:val="000F6113"/>
    <w:rsid w:val="00112E18"/>
    <w:rsid w:val="00116BAA"/>
    <w:rsid w:val="001236B2"/>
    <w:rsid w:val="00141448"/>
    <w:rsid w:val="00142A01"/>
    <w:rsid w:val="00161B53"/>
    <w:rsid w:val="00165AA0"/>
    <w:rsid w:val="001C434E"/>
    <w:rsid w:val="0021013F"/>
    <w:rsid w:val="00232DAF"/>
    <w:rsid w:val="0024329F"/>
    <w:rsid w:val="00246FA2"/>
    <w:rsid w:val="0025593F"/>
    <w:rsid w:val="00276E51"/>
    <w:rsid w:val="00290099"/>
    <w:rsid w:val="002A66A2"/>
    <w:rsid w:val="002E0785"/>
    <w:rsid w:val="002F3652"/>
    <w:rsid w:val="002F47EE"/>
    <w:rsid w:val="00303311"/>
    <w:rsid w:val="00337822"/>
    <w:rsid w:val="00352148"/>
    <w:rsid w:val="00384131"/>
    <w:rsid w:val="003875A3"/>
    <w:rsid w:val="00391796"/>
    <w:rsid w:val="003B6CED"/>
    <w:rsid w:val="003E4BC1"/>
    <w:rsid w:val="00417FDA"/>
    <w:rsid w:val="00423EC1"/>
    <w:rsid w:val="004449D1"/>
    <w:rsid w:val="00453575"/>
    <w:rsid w:val="00540614"/>
    <w:rsid w:val="005406BC"/>
    <w:rsid w:val="00582543"/>
    <w:rsid w:val="005A6712"/>
    <w:rsid w:val="005C2C75"/>
    <w:rsid w:val="005E2EB6"/>
    <w:rsid w:val="005F584A"/>
    <w:rsid w:val="00621DB8"/>
    <w:rsid w:val="00654CF5"/>
    <w:rsid w:val="00660522"/>
    <w:rsid w:val="006837C4"/>
    <w:rsid w:val="00693213"/>
    <w:rsid w:val="006A286A"/>
    <w:rsid w:val="00701B27"/>
    <w:rsid w:val="00794201"/>
    <w:rsid w:val="007A20D1"/>
    <w:rsid w:val="00824D4D"/>
    <w:rsid w:val="00834DE7"/>
    <w:rsid w:val="008441EC"/>
    <w:rsid w:val="00845E19"/>
    <w:rsid w:val="00867424"/>
    <w:rsid w:val="008A7666"/>
    <w:rsid w:val="008D75F5"/>
    <w:rsid w:val="008F6929"/>
    <w:rsid w:val="00935D22"/>
    <w:rsid w:val="00980960"/>
    <w:rsid w:val="00992CDE"/>
    <w:rsid w:val="009A2BB3"/>
    <w:rsid w:val="009A6BB8"/>
    <w:rsid w:val="009B2E48"/>
    <w:rsid w:val="009D5027"/>
    <w:rsid w:val="009F4B96"/>
    <w:rsid w:val="009F7035"/>
    <w:rsid w:val="00A234F8"/>
    <w:rsid w:val="00A46047"/>
    <w:rsid w:val="00A50001"/>
    <w:rsid w:val="00A53B42"/>
    <w:rsid w:val="00A81AA1"/>
    <w:rsid w:val="00A84627"/>
    <w:rsid w:val="00AA13EF"/>
    <w:rsid w:val="00AA58FF"/>
    <w:rsid w:val="00AD5266"/>
    <w:rsid w:val="00AE0133"/>
    <w:rsid w:val="00B03A33"/>
    <w:rsid w:val="00B368D9"/>
    <w:rsid w:val="00B37DE3"/>
    <w:rsid w:val="00B73B25"/>
    <w:rsid w:val="00B844EB"/>
    <w:rsid w:val="00BA2CDD"/>
    <w:rsid w:val="00BC1871"/>
    <w:rsid w:val="00BD11AF"/>
    <w:rsid w:val="00BD3BB4"/>
    <w:rsid w:val="00C10B9B"/>
    <w:rsid w:val="00C1560A"/>
    <w:rsid w:val="00C202E0"/>
    <w:rsid w:val="00C61496"/>
    <w:rsid w:val="00C62AEF"/>
    <w:rsid w:val="00C8681F"/>
    <w:rsid w:val="00C93774"/>
    <w:rsid w:val="00CA7198"/>
    <w:rsid w:val="00CB6912"/>
    <w:rsid w:val="00CC4F16"/>
    <w:rsid w:val="00CC57CD"/>
    <w:rsid w:val="00CD0DD6"/>
    <w:rsid w:val="00CE28B2"/>
    <w:rsid w:val="00CF67BE"/>
    <w:rsid w:val="00D03119"/>
    <w:rsid w:val="00D16383"/>
    <w:rsid w:val="00D64311"/>
    <w:rsid w:val="00D67D13"/>
    <w:rsid w:val="00D749C6"/>
    <w:rsid w:val="00D7691A"/>
    <w:rsid w:val="00DA110D"/>
    <w:rsid w:val="00E36084"/>
    <w:rsid w:val="00E63D88"/>
    <w:rsid w:val="00E7326A"/>
    <w:rsid w:val="00E843A2"/>
    <w:rsid w:val="00E956F8"/>
    <w:rsid w:val="00EE7683"/>
    <w:rsid w:val="00F1439F"/>
    <w:rsid w:val="00F403B5"/>
    <w:rsid w:val="00F9108F"/>
    <w:rsid w:val="00FA1947"/>
    <w:rsid w:val="00FD37BC"/>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basedOn w:val="Normal"/>
    <w:next w:val="Normal"/>
    <w:uiPriority w:val="35"/>
    <w:unhideWhenUsed/>
    <w:qFormat/>
    <w:rsid w:val="00CC57CD"/>
    <w:pPr>
      <w:spacing w:after="200"/>
    </w:pPr>
    <w:rPr>
      <w:b/>
      <w:bCs/>
      <w:color w:val="4F81BD" w:themeColor="accent1"/>
      <w:sz w:val="18"/>
      <w:szCs w:val="18"/>
    </w:rPr>
  </w:style>
  <w:style w:type="character" w:styleId="PlaceholderText">
    <w:name w:val="Placeholder Text"/>
    <w:basedOn w:val="DefaultParagraphFont"/>
    <w:uiPriority w:val="99"/>
    <w:semiHidden/>
    <w:rsid w:val="000F6113"/>
    <w:rPr>
      <w:color w:val="808080"/>
    </w:rPr>
  </w:style>
  <w:style w:type="paragraph" w:styleId="ListParagraph">
    <w:name w:val="List Paragraph"/>
    <w:basedOn w:val="Normal"/>
    <w:uiPriority w:val="34"/>
    <w:qFormat/>
    <w:rsid w:val="00701B27"/>
    <w:pPr>
      <w:spacing w:after="200" w:line="276" w:lineRule="auto"/>
      <w:ind w:left="720"/>
      <w:contextualSpacing/>
    </w:pPr>
    <w:rPr>
      <w:rFonts w:asciiTheme="minorHAnsi" w:eastAsiaTheme="minorHAnsi" w:hAnsiTheme="minorHAnsi" w:cstheme="minorBidi"/>
      <w:sz w:val="22"/>
      <w:szCs w:val="22"/>
    </w:rPr>
  </w:style>
  <w:style w:type="paragraph" w:customStyle="1" w:styleId="Reference">
    <w:name w:val="Reference"/>
    <w:basedOn w:val="Normal"/>
    <w:link w:val="ReferenceChar"/>
    <w:qFormat/>
    <w:rsid w:val="00BD3BB4"/>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D3BB4"/>
    <w:rPr>
      <w:rFonts w:ascii="Arial" w:eastAsia="Times New Roman" w:hAnsi="Arial"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basedOn w:val="Normal"/>
    <w:next w:val="Normal"/>
    <w:uiPriority w:val="35"/>
    <w:unhideWhenUsed/>
    <w:qFormat/>
    <w:rsid w:val="00CC57CD"/>
    <w:pPr>
      <w:spacing w:after="200"/>
    </w:pPr>
    <w:rPr>
      <w:b/>
      <w:bCs/>
      <w:color w:val="4F81BD" w:themeColor="accent1"/>
      <w:sz w:val="18"/>
      <w:szCs w:val="18"/>
    </w:rPr>
  </w:style>
  <w:style w:type="character" w:styleId="PlaceholderText">
    <w:name w:val="Placeholder Text"/>
    <w:basedOn w:val="DefaultParagraphFont"/>
    <w:uiPriority w:val="99"/>
    <w:semiHidden/>
    <w:rsid w:val="000F6113"/>
    <w:rPr>
      <w:color w:val="808080"/>
    </w:rPr>
  </w:style>
  <w:style w:type="paragraph" w:styleId="ListParagraph">
    <w:name w:val="List Paragraph"/>
    <w:basedOn w:val="Normal"/>
    <w:uiPriority w:val="34"/>
    <w:qFormat/>
    <w:rsid w:val="00701B27"/>
    <w:pPr>
      <w:spacing w:after="200" w:line="276" w:lineRule="auto"/>
      <w:ind w:left="720"/>
      <w:contextualSpacing/>
    </w:pPr>
    <w:rPr>
      <w:rFonts w:asciiTheme="minorHAnsi" w:eastAsiaTheme="minorHAnsi" w:hAnsiTheme="minorHAnsi" w:cstheme="minorBidi"/>
      <w:sz w:val="22"/>
      <w:szCs w:val="22"/>
    </w:rPr>
  </w:style>
  <w:style w:type="paragraph" w:customStyle="1" w:styleId="Reference">
    <w:name w:val="Reference"/>
    <w:basedOn w:val="Normal"/>
    <w:link w:val="ReferenceChar"/>
    <w:qFormat/>
    <w:rsid w:val="00BD3BB4"/>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D3BB4"/>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AE9C7-0AAE-4256-8D59-11A0954C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1657</Words>
  <Characters>8786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cp:lastPrinted>2016-08-08T14:12:00Z</cp:lastPrinted>
  <dcterms:created xsi:type="dcterms:W3CDTF">2016-08-12T19:19:00Z</dcterms:created>
  <dcterms:modified xsi:type="dcterms:W3CDTF">2016-08-12T19:19:00Z</dcterms:modified>
</cp:coreProperties>
</file>