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B9" w:rsidRDefault="001D01B9" w:rsidP="001D01B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 xml:space="preserve">3GPP TSG RAN </w:t>
      </w:r>
      <w:r w:rsidR="00E70DFF">
        <w:rPr>
          <w:rFonts w:cs="Arial"/>
          <w:b/>
          <w:noProof/>
          <w:sz w:val="24"/>
          <w:szCs w:val="24"/>
        </w:rPr>
        <w:t xml:space="preserve">WG1 </w:t>
      </w:r>
      <w:r>
        <w:rPr>
          <w:rFonts w:cs="Arial"/>
          <w:b/>
          <w:noProof/>
          <w:sz w:val="24"/>
          <w:szCs w:val="24"/>
        </w:rPr>
        <w:t>Meeting #</w:t>
      </w:r>
      <w:r w:rsidR="00FC7FF3">
        <w:rPr>
          <w:rFonts w:cs="Arial"/>
          <w:b/>
          <w:noProof/>
          <w:sz w:val="24"/>
          <w:szCs w:val="24"/>
        </w:rPr>
        <w:t>8</w:t>
      </w:r>
      <w:r w:rsidR="007A3F06">
        <w:rPr>
          <w:rFonts w:cs="Arial"/>
          <w:b/>
          <w:noProof/>
          <w:sz w:val="24"/>
          <w:szCs w:val="24"/>
        </w:rPr>
        <w:t>6</w:t>
      </w:r>
      <w:r>
        <w:rPr>
          <w:rFonts w:cs="Arial"/>
          <w:b/>
          <w:noProof/>
          <w:sz w:val="24"/>
          <w:szCs w:val="24"/>
        </w:rPr>
        <w:tab/>
      </w:r>
      <w:r w:rsidR="00A02759" w:rsidRPr="00A02759">
        <w:rPr>
          <w:rFonts w:cs="Arial"/>
          <w:b/>
          <w:noProof/>
          <w:sz w:val="24"/>
          <w:szCs w:val="24"/>
        </w:rPr>
        <w:t>R1-</w:t>
      </w:r>
      <w:r w:rsidR="00A15C9B">
        <w:rPr>
          <w:rFonts w:cs="Arial"/>
          <w:b/>
          <w:noProof/>
          <w:sz w:val="24"/>
          <w:szCs w:val="24"/>
        </w:rPr>
        <w:t>167745</w:t>
      </w:r>
    </w:p>
    <w:p w:rsidR="001D01B9" w:rsidRDefault="00A15C9B" w:rsidP="001D01B9">
      <w:pPr>
        <w:pStyle w:val="CRCoverPage"/>
        <w:tabs>
          <w:tab w:val="right" w:pos="9639"/>
          <w:tab w:val="right" w:pos="13323"/>
        </w:tabs>
        <w:spacing w:after="0"/>
        <w:jc w:val="right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</w:t>
      </w:r>
      <w:r w:rsidR="00B77726">
        <w:rPr>
          <w:rFonts w:cs="Arial"/>
          <w:b/>
          <w:noProof/>
          <w:sz w:val="24"/>
          <w:szCs w:val="24"/>
        </w:rPr>
        <w:t xml:space="preserve">, </w:t>
      </w:r>
      <w:r w:rsidR="007A3F06">
        <w:rPr>
          <w:rFonts w:cs="Arial"/>
          <w:b/>
          <w:noProof/>
          <w:sz w:val="24"/>
          <w:szCs w:val="24"/>
        </w:rPr>
        <w:t>Sweden</w:t>
      </w:r>
      <w:r w:rsidR="001D01B9" w:rsidRPr="0033775D">
        <w:rPr>
          <w:rFonts w:cs="Arial"/>
          <w:b/>
          <w:noProof/>
          <w:sz w:val="24"/>
          <w:szCs w:val="24"/>
        </w:rPr>
        <w:t xml:space="preserve">, </w:t>
      </w:r>
      <w:r w:rsidR="00BF564D">
        <w:rPr>
          <w:rFonts w:cs="Arial"/>
          <w:b/>
          <w:noProof/>
          <w:sz w:val="24"/>
          <w:szCs w:val="24"/>
        </w:rPr>
        <w:t>2</w:t>
      </w:r>
      <w:r w:rsidR="007A3F06">
        <w:rPr>
          <w:rFonts w:cs="Arial"/>
          <w:b/>
          <w:noProof/>
          <w:sz w:val="24"/>
          <w:szCs w:val="24"/>
        </w:rPr>
        <w:t>2</w:t>
      </w:r>
      <w:r w:rsidR="001D01B9"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="001D01B9" w:rsidRPr="0033775D">
        <w:rPr>
          <w:rFonts w:cs="Arial"/>
          <w:b/>
          <w:noProof/>
          <w:sz w:val="24"/>
          <w:szCs w:val="24"/>
        </w:rPr>
        <w:t xml:space="preserve"> – </w:t>
      </w:r>
      <w:r w:rsidR="00BF564D">
        <w:rPr>
          <w:rFonts w:cs="Arial"/>
          <w:b/>
          <w:noProof/>
          <w:sz w:val="24"/>
          <w:szCs w:val="24"/>
        </w:rPr>
        <w:t>2</w:t>
      </w:r>
      <w:r w:rsidR="007A3F06">
        <w:rPr>
          <w:rFonts w:cs="Arial"/>
          <w:b/>
          <w:noProof/>
          <w:sz w:val="24"/>
          <w:szCs w:val="24"/>
        </w:rPr>
        <w:t>6</w:t>
      </w:r>
      <w:r w:rsidR="001D01B9"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="001D01B9" w:rsidRPr="0033775D">
        <w:rPr>
          <w:rFonts w:cs="Arial"/>
          <w:b/>
          <w:noProof/>
          <w:sz w:val="24"/>
          <w:szCs w:val="24"/>
        </w:rPr>
        <w:t xml:space="preserve"> </w:t>
      </w:r>
      <w:r w:rsidR="004034A5">
        <w:rPr>
          <w:rFonts w:cs="Arial"/>
          <w:b/>
          <w:noProof/>
          <w:sz w:val="24"/>
          <w:szCs w:val="24"/>
        </w:rPr>
        <w:t>Augu</w:t>
      </w:r>
      <w:r w:rsidR="007A3F06">
        <w:rPr>
          <w:rFonts w:cs="Arial"/>
          <w:b/>
          <w:noProof/>
          <w:sz w:val="24"/>
          <w:szCs w:val="24"/>
        </w:rPr>
        <w:t>st</w:t>
      </w:r>
      <w:r w:rsidR="00E70DFF">
        <w:rPr>
          <w:rFonts w:cs="Arial"/>
          <w:b/>
          <w:noProof/>
          <w:sz w:val="24"/>
          <w:szCs w:val="24"/>
        </w:rPr>
        <w:t>, 2016</w:t>
      </w:r>
      <w:r w:rsidR="001D01B9">
        <w:rPr>
          <w:rFonts w:cs="Arial"/>
          <w:b/>
          <w:noProof/>
          <w:sz w:val="24"/>
          <w:szCs w:val="24"/>
        </w:rPr>
        <w:tab/>
      </w:r>
    </w:p>
    <w:p w:rsidR="001D01B9" w:rsidRPr="00155924" w:rsidRDefault="001D01B9" w:rsidP="001D01B9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</w:p>
    <w:p w:rsidR="001D01B9" w:rsidRPr="00474F96" w:rsidRDefault="001D01B9" w:rsidP="001D01B9">
      <w:pPr>
        <w:ind w:left="1988" w:hanging="1988"/>
        <w:jc w:val="both"/>
        <w:rPr>
          <w:rFonts w:ascii="Arial" w:hAnsi="Arial"/>
          <w:sz w:val="22"/>
        </w:rPr>
      </w:pPr>
      <w:r w:rsidRPr="00474F96">
        <w:rPr>
          <w:rFonts w:ascii="Arial" w:hAnsi="Arial"/>
          <w:b/>
          <w:sz w:val="24"/>
        </w:rPr>
        <w:t>Title:</w:t>
      </w:r>
      <w:r w:rsidRPr="00474F96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4034A5">
        <w:rPr>
          <w:rFonts w:ascii="Arial" w:hAnsi="Arial" w:cs="Arial"/>
          <w:sz w:val="24"/>
          <w:szCs w:val="24"/>
        </w:rPr>
        <w:t>Congestion management for</w:t>
      </w:r>
      <w:r w:rsidR="00591258">
        <w:rPr>
          <w:rFonts w:ascii="Arial" w:hAnsi="Arial" w:cs="Arial"/>
          <w:sz w:val="24"/>
          <w:szCs w:val="24"/>
        </w:rPr>
        <w:t xml:space="preserve"> V2V</w:t>
      </w:r>
      <w:r w:rsidR="004034A5">
        <w:rPr>
          <w:rFonts w:ascii="Arial" w:hAnsi="Arial" w:cs="Arial"/>
          <w:sz w:val="24"/>
          <w:szCs w:val="24"/>
        </w:rPr>
        <w:t xml:space="preserve"> in 5.9GHz</w:t>
      </w:r>
      <w:r w:rsidR="00591258">
        <w:rPr>
          <w:rFonts w:ascii="Arial" w:hAnsi="Arial" w:cs="Arial"/>
          <w:sz w:val="24"/>
          <w:szCs w:val="24"/>
        </w:rPr>
        <w:t xml:space="preserve"> ITS</w:t>
      </w:r>
      <w:r w:rsidR="004034A5">
        <w:rPr>
          <w:rFonts w:ascii="Arial" w:hAnsi="Arial" w:cs="Arial"/>
          <w:sz w:val="24"/>
          <w:szCs w:val="24"/>
        </w:rPr>
        <w:t xml:space="preserve"> </w:t>
      </w:r>
      <w:r w:rsidR="00BC3884">
        <w:rPr>
          <w:rFonts w:ascii="Arial" w:hAnsi="Arial" w:cs="Arial"/>
          <w:sz w:val="24"/>
          <w:szCs w:val="24"/>
        </w:rPr>
        <w:t xml:space="preserve"> </w:t>
      </w:r>
    </w:p>
    <w:p w:rsidR="001D01B9" w:rsidRDefault="001D01B9" w:rsidP="001D01B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  <w:r w:rsidR="00651673">
        <w:rPr>
          <w:rFonts w:ascii="Arial" w:hAnsi="Arial"/>
          <w:sz w:val="24"/>
        </w:rPr>
        <w:t xml:space="preserve"> Group Plc</w:t>
      </w:r>
    </w:p>
    <w:p w:rsidR="001D01B9" w:rsidRPr="00036934" w:rsidRDefault="001D01B9" w:rsidP="001D01B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 w:rsidR="004034A5">
        <w:rPr>
          <w:rFonts w:ascii="Arial" w:hAnsi="Arial"/>
          <w:sz w:val="24"/>
        </w:rPr>
        <w:t>7.2.2.2.3</w:t>
      </w:r>
    </w:p>
    <w:p w:rsidR="001D01B9" w:rsidRPr="00CC27F5" w:rsidRDefault="001D01B9" w:rsidP="001D01B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986BE4">
        <w:rPr>
          <w:rFonts w:ascii="Arial" w:hAnsi="Arial"/>
          <w:sz w:val="24"/>
        </w:rPr>
        <w:t>Discussion</w:t>
      </w:r>
    </w:p>
    <w:p w:rsidR="001D01B9" w:rsidRPr="00CC27F5" w:rsidRDefault="001D01B9" w:rsidP="001D01B9">
      <w:pPr>
        <w:pStyle w:val="Heading1"/>
        <w:jc w:val="both"/>
      </w:pPr>
      <w:r>
        <w:t>1</w:t>
      </w:r>
      <w:r>
        <w:tab/>
        <w:t>Introduction</w:t>
      </w:r>
    </w:p>
    <w:p w:rsidR="00E76D42" w:rsidRPr="008E4B9F" w:rsidRDefault="004034A5" w:rsidP="00D85217">
      <w:pPr>
        <w:overflowPunct/>
        <w:autoSpaceDE/>
        <w:autoSpaceDN/>
        <w:adjustRightInd/>
        <w:spacing w:after="0"/>
        <w:textAlignment w:val="auto"/>
        <w:rPr>
          <w:sz w:val="18"/>
        </w:rPr>
      </w:pPr>
      <w:r w:rsidRPr="008E4B9F">
        <w:rPr>
          <w:rFonts w:eastAsia="MS Mincho"/>
          <w:bCs/>
          <w:lang w:val="en-US" w:eastAsia="ja-JP"/>
        </w:rPr>
        <w:t xml:space="preserve">In an attempt to prevent congestion from becoming too high in a given area for ITS operation in 5.9GHz, the </w:t>
      </w:r>
      <w:r w:rsidR="00D85217" w:rsidRPr="008E4B9F">
        <w:rPr>
          <w:rFonts w:eastAsia="MS Mincho"/>
          <w:bCs/>
          <w:lang w:val="en-US" w:eastAsia="ja-JP"/>
        </w:rPr>
        <w:t>corresponding European Harmonized standard is being revised</w:t>
      </w:r>
      <w:r w:rsidR="00E63F50" w:rsidRPr="008E4B9F">
        <w:rPr>
          <w:rFonts w:eastAsia="MS Mincho"/>
          <w:bCs/>
          <w:lang w:val="en-US" w:eastAsia="ja-JP"/>
        </w:rPr>
        <w:t xml:space="preserve"> (see draft in [1])</w:t>
      </w:r>
      <w:r w:rsidR="00D85217" w:rsidRPr="008E4B9F">
        <w:rPr>
          <w:rFonts w:eastAsia="MS Mincho"/>
          <w:bCs/>
          <w:lang w:val="en-US" w:eastAsia="ja-JP"/>
        </w:rPr>
        <w:t>. This document looks at some of the impacts of that further and makes a proposal for ensuring that LTE does not under-utilize spectrum, but at the same time respects other systems</w:t>
      </w:r>
      <w:r w:rsidR="00BC3884" w:rsidRPr="008E4B9F">
        <w:rPr>
          <w:rFonts w:eastAsia="MS Mincho"/>
          <w:bCs/>
          <w:lang w:val="en-US" w:eastAsia="ja-JP"/>
        </w:rPr>
        <w:t>.</w:t>
      </w:r>
      <w:r w:rsidR="00C236A0" w:rsidRPr="008E4B9F">
        <w:rPr>
          <w:sz w:val="18"/>
        </w:rPr>
        <w:t xml:space="preserve"> </w:t>
      </w:r>
    </w:p>
    <w:p w:rsidR="00D85217" w:rsidRDefault="00D85217" w:rsidP="00D85217">
      <w:pPr>
        <w:overflowPunct/>
        <w:autoSpaceDE/>
        <w:autoSpaceDN/>
        <w:adjustRightInd/>
        <w:spacing w:after="0"/>
        <w:textAlignment w:val="auto"/>
        <w:rPr>
          <w:b/>
        </w:rPr>
      </w:pPr>
    </w:p>
    <w:p w:rsidR="00E76D42" w:rsidRDefault="00E76D42" w:rsidP="00BC3884">
      <w:pPr>
        <w:pStyle w:val="Heading1"/>
      </w:pPr>
      <w:r>
        <w:t>2</w:t>
      </w:r>
      <w:r>
        <w:tab/>
      </w:r>
      <w:r w:rsidR="004034A5">
        <w:t>Revised EU requirements</w:t>
      </w:r>
      <w:r w:rsidR="00BC3884">
        <w:t xml:space="preserve"> </w:t>
      </w:r>
      <w:r w:rsidR="004034A5">
        <w:t>for 5.9GHz ITS</w:t>
      </w:r>
    </w:p>
    <w:p w:rsidR="004657DB" w:rsidRPr="008E4B9F" w:rsidRDefault="004034A5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 w:rsidRPr="008E4B9F">
        <w:rPr>
          <w:rFonts w:ascii="Times New Roman" w:hAnsi="Times New Roman"/>
          <w:b w:val="0"/>
          <w:noProof w:val="0"/>
          <w:sz w:val="20"/>
          <w:lang w:val="en-GB"/>
        </w:rPr>
        <w:t>The</w:t>
      </w:r>
      <w:r w:rsidR="00BC3884"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harmonised standard </w:t>
      </w:r>
      <w:r w:rsidRPr="008E4B9F">
        <w:rPr>
          <w:rFonts w:ascii="Times New Roman" w:hAnsi="Times New Roman"/>
          <w:b w:val="0"/>
          <w:noProof w:val="0"/>
          <w:sz w:val="20"/>
          <w:lang w:val="en-GB"/>
        </w:rPr>
        <w:t>for ITS operation in</w:t>
      </w:r>
      <w:r w:rsidR="00BC3884"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5.9GHz band in Europe </w:t>
      </w:r>
      <w:r w:rsidRPr="008E4B9F">
        <w:rPr>
          <w:rFonts w:ascii="Times New Roman" w:hAnsi="Times New Roman"/>
          <w:b w:val="0"/>
          <w:noProof w:val="0"/>
          <w:sz w:val="20"/>
          <w:lang w:val="en-GB"/>
        </w:rPr>
        <w:t>is being revised, and a new sectio</w:t>
      </w:r>
      <w:r w:rsidR="00591258" w:rsidRPr="008E4B9F">
        <w:rPr>
          <w:rFonts w:ascii="Times New Roman" w:hAnsi="Times New Roman"/>
          <w:b w:val="0"/>
          <w:noProof w:val="0"/>
          <w:sz w:val="20"/>
          <w:lang w:val="en-GB"/>
        </w:rPr>
        <w:t>n has been added that includes</w:t>
      </w:r>
      <w:r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some limitations on the transmission characteristics of </w:t>
      </w:r>
      <w:r w:rsidR="00591258"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a </w:t>
      </w:r>
      <w:r w:rsidRPr="008E4B9F">
        <w:rPr>
          <w:rFonts w:ascii="Times New Roman" w:hAnsi="Times New Roman"/>
          <w:b w:val="0"/>
          <w:noProof w:val="0"/>
          <w:sz w:val="20"/>
          <w:lang w:val="en-GB"/>
        </w:rPr>
        <w:t>ITS equipment</w:t>
      </w:r>
      <w:r w:rsidR="00BC3884" w:rsidRPr="008E4B9F">
        <w:rPr>
          <w:rFonts w:ascii="Times New Roman" w:hAnsi="Times New Roman"/>
          <w:b w:val="0"/>
          <w:noProof w:val="0"/>
          <w:sz w:val="20"/>
          <w:lang w:val="en-GB"/>
        </w:rPr>
        <w:t>.</w:t>
      </w:r>
    </w:p>
    <w:p w:rsidR="00BC3884" w:rsidRPr="008E4B9F" w:rsidRDefault="00BC3884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EA5035" w:rsidRPr="008E4B9F" w:rsidRDefault="004034A5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A new Decentralized Congestion Control (DCC) procedure </w:t>
      </w:r>
      <w:r w:rsidR="00591258"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is being </w:t>
      </w:r>
      <w:r w:rsidR="00EA5035"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proposed – </w:t>
      </w:r>
      <w:r w:rsidR="004B50F5"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largely optimised for IEEE 802.11p operation – </w:t>
      </w:r>
      <w:r w:rsidR="00EA5035" w:rsidRPr="008E4B9F">
        <w:rPr>
          <w:rFonts w:ascii="Times New Roman" w:hAnsi="Times New Roman"/>
          <w:b w:val="0"/>
          <w:noProof w:val="0"/>
          <w:sz w:val="20"/>
          <w:lang w:val="en-GB"/>
        </w:rPr>
        <w:t>which leads to different requirements on the transmission characteristics of ITS equipment, depending on the perceived occupancy of the channel.</w:t>
      </w:r>
    </w:p>
    <w:p w:rsidR="00EA5035" w:rsidRPr="008E4B9F" w:rsidRDefault="00EA5035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BC3884" w:rsidRPr="008E4B9F" w:rsidRDefault="00BC3884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There are </w:t>
      </w:r>
      <w:r w:rsidR="00591258" w:rsidRPr="008E4B9F">
        <w:rPr>
          <w:rFonts w:ascii="Times New Roman" w:hAnsi="Times New Roman"/>
          <w:b w:val="0"/>
          <w:noProof w:val="0"/>
          <w:sz w:val="20"/>
          <w:lang w:val="en-GB"/>
        </w:rPr>
        <w:t>3</w:t>
      </w:r>
      <w:r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parameters</w:t>
      </w:r>
      <w:r w:rsidR="00EA5035"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being defined</w:t>
      </w:r>
      <w:r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that impact transmission characteristics of the ITS device:</w:t>
      </w:r>
    </w:p>
    <w:p w:rsidR="00BC3884" w:rsidRPr="008E4B9F" w:rsidRDefault="00BC3884" w:rsidP="00BC3884">
      <w:pPr>
        <w:pStyle w:val="Header"/>
        <w:numPr>
          <w:ilvl w:val="0"/>
          <w:numId w:val="16"/>
        </w:numPr>
        <w:jc w:val="both"/>
        <w:rPr>
          <w:rFonts w:ascii="Times New Roman" w:hAnsi="Times New Roman"/>
          <w:noProof w:val="0"/>
          <w:sz w:val="20"/>
          <w:lang w:val="en-GB"/>
        </w:rPr>
      </w:pPr>
      <w:r w:rsidRPr="008E4B9F">
        <w:rPr>
          <w:rFonts w:ascii="Times New Roman" w:hAnsi="Times New Roman"/>
          <w:b w:val="0"/>
          <w:noProof w:val="0"/>
          <w:sz w:val="20"/>
          <w:lang w:val="en-GB"/>
        </w:rPr>
        <w:t>T</w:t>
      </w:r>
      <w:r w:rsidRPr="008E4B9F">
        <w:rPr>
          <w:rFonts w:ascii="Times New Roman" w:hAnsi="Times New Roman"/>
          <w:b w:val="0"/>
          <w:noProof w:val="0"/>
          <w:sz w:val="20"/>
          <w:vertAlign w:val="subscript"/>
          <w:lang w:val="en-GB"/>
        </w:rPr>
        <w:t>on</w:t>
      </w:r>
      <w:r w:rsidR="0030055C" w:rsidRPr="008E4B9F">
        <w:rPr>
          <w:rFonts w:ascii="Times New Roman" w:hAnsi="Times New Roman"/>
          <w:b w:val="0"/>
          <w:noProof w:val="0"/>
          <w:sz w:val="20"/>
          <w:vertAlign w:val="subscript"/>
          <w:lang w:val="en-GB"/>
        </w:rPr>
        <w:t xml:space="preserve"> </w:t>
      </w:r>
      <w:r w:rsidR="0030055C" w:rsidRPr="008E4B9F">
        <w:rPr>
          <w:rFonts w:ascii="Times New Roman" w:hAnsi="Times New Roman"/>
          <w:b w:val="0"/>
          <w:noProof w:val="0"/>
          <w:sz w:val="20"/>
          <w:lang w:val="en-GB"/>
        </w:rPr>
        <w:t>: Transmitter on time (maximum length 4ms)</w:t>
      </w:r>
    </w:p>
    <w:p w:rsidR="00BC3884" w:rsidRPr="008E4B9F" w:rsidRDefault="00BC3884" w:rsidP="00BC3884">
      <w:pPr>
        <w:pStyle w:val="Header"/>
        <w:numPr>
          <w:ilvl w:val="0"/>
          <w:numId w:val="16"/>
        </w:numPr>
        <w:jc w:val="both"/>
        <w:rPr>
          <w:rFonts w:ascii="Times New Roman" w:hAnsi="Times New Roman"/>
          <w:noProof w:val="0"/>
          <w:sz w:val="20"/>
          <w:lang w:val="en-GB"/>
        </w:rPr>
      </w:pPr>
      <w:r w:rsidRPr="008E4B9F">
        <w:rPr>
          <w:rFonts w:ascii="Times New Roman" w:hAnsi="Times New Roman"/>
          <w:b w:val="0"/>
          <w:noProof w:val="0"/>
          <w:sz w:val="20"/>
          <w:lang w:val="en-GB"/>
        </w:rPr>
        <w:t>T</w:t>
      </w:r>
      <w:r w:rsidRPr="008E4B9F">
        <w:rPr>
          <w:rFonts w:ascii="Times New Roman" w:hAnsi="Times New Roman"/>
          <w:b w:val="0"/>
          <w:noProof w:val="0"/>
          <w:sz w:val="20"/>
          <w:vertAlign w:val="subscript"/>
          <w:lang w:val="en-GB"/>
        </w:rPr>
        <w:t>off</w:t>
      </w:r>
      <w:r w:rsidR="0030055C"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: Transmitter off time (minimum length 25ms)</w:t>
      </w:r>
    </w:p>
    <w:p w:rsidR="00BC3884" w:rsidRPr="008E4B9F" w:rsidRDefault="00BC3884" w:rsidP="00BC3884">
      <w:pPr>
        <w:pStyle w:val="Header"/>
        <w:numPr>
          <w:ilvl w:val="0"/>
          <w:numId w:val="16"/>
        </w:numPr>
        <w:jc w:val="both"/>
        <w:rPr>
          <w:rFonts w:ascii="Times New Roman" w:hAnsi="Times New Roman"/>
          <w:noProof w:val="0"/>
          <w:sz w:val="20"/>
          <w:lang w:val="en-GB"/>
        </w:rPr>
      </w:pPr>
      <w:r w:rsidRPr="008E4B9F">
        <w:rPr>
          <w:rFonts w:ascii="Times New Roman" w:hAnsi="Times New Roman"/>
          <w:b w:val="0"/>
          <w:noProof w:val="0"/>
          <w:sz w:val="20"/>
          <w:lang w:val="en-GB"/>
        </w:rPr>
        <w:t>Duty Cycle</w:t>
      </w:r>
      <w:r w:rsidR="0030055C" w:rsidRPr="008E4B9F">
        <w:rPr>
          <w:rFonts w:ascii="Times New Roman" w:hAnsi="Times New Roman"/>
          <w:b w:val="0"/>
          <w:noProof w:val="0"/>
          <w:sz w:val="20"/>
          <w:lang w:val="en-GB"/>
        </w:rPr>
        <w:t>: Maximum transmitter on time (maximum 3% per 1 second)</w:t>
      </w:r>
    </w:p>
    <w:p w:rsidR="004034A5" w:rsidRPr="008E4B9F" w:rsidRDefault="004034A5" w:rsidP="004034A5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4034A5" w:rsidRPr="008E4B9F" w:rsidRDefault="004034A5" w:rsidP="004034A5">
      <w:pPr>
        <w:pStyle w:val="Header"/>
        <w:jc w:val="both"/>
        <w:rPr>
          <w:rFonts w:ascii="Times New Roman" w:hAnsi="Times New Roman"/>
          <w:noProof w:val="0"/>
          <w:sz w:val="20"/>
          <w:lang w:val="en-GB"/>
        </w:rPr>
      </w:pPr>
      <w:r w:rsidRPr="008E4B9F">
        <w:rPr>
          <w:rFonts w:ascii="Times New Roman" w:hAnsi="Times New Roman"/>
          <w:b w:val="0"/>
          <w:noProof w:val="0"/>
          <w:sz w:val="20"/>
          <w:lang w:val="en-GB"/>
        </w:rPr>
        <w:t>In addition the following parameters are proposed to be used which modify the requirements on the parameters above:</w:t>
      </w:r>
    </w:p>
    <w:p w:rsidR="004034A5" w:rsidRPr="008E4B9F" w:rsidRDefault="004034A5" w:rsidP="004034A5">
      <w:pPr>
        <w:pStyle w:val="Header"/>
        <w:numPr>
          <w:ilvl w:val="0"/>
          <w:numId w:val="16"/>
        </w:numPr>
        <w:jc w:val="both"/>
        <w:rPr>
          <w:rFonts w:ascii="Times New Roman" w:hAnsi="Times New Roman"/>
          <w:noProof w:val="0"/>
          <w:sz w:val="20"/>
          <w:lang w:val="en-GB"/>
        </w:rPr>
      </w:pPr>
      <w:r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Channel Busy Ratio (CBR): A ratio used by an ITS receiver to detect the </w:t>
      </w:r>
      <w:r w:rsidR="008E4B9F">
        <w:rPr>
          <w:rFonts w:ascii="Times New Roman" w:hAnsi="Times New Roman"/>
          <w:b w:val="0"/>
          <w:noProof w:val="0"/>
          <w:sz w:val="20"/>
          <w:lang w:val="en-GB"/>
        </w:rPr>
        <w:t>occupancy of the channel</w:t>
      </w:r>
      <w:r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in time and power over 100ms.</w:t>
      </w:r>
    </w:p>
    <w:p w:rsidR="0030055C" w:rsidRPr="008E4B9F" w:rsidRDefault="004034A5" w:rsidP="004034A5">
      <w:pPr>
        <w:pStyle w:val="Header"/>
        <w:numPr>
          <w:ilvl w:val="0"/>
          <w:numId w:val="16"/>
        </w:numPr>
        <w:jc w:val="both"/>
        <w:rPr>
          <w:rFonts w:ascii="Times New Roman" w:hAnsi="Times New Roman"/>
          <w:noProof w:val="0"/>
          <w:sz w:val="20"/>
          <w:lang w:val="en-GB"/>
        </w:rPr>
      </w:pPr>
      <w:r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“Busy” received power </w:t>
      </w:r>
      <w:r w:rsidR="004C0F12">
        <w:rPr>
          <w:rFonts w:ascii="Times New Roman" w:hAnsi="Times New Roman"/>
          <w:b w:val="0"/>
          <w:noProof w:val="0"/>
          <w:sz w:val="20"/>
          <w:lang w:val="en-GB"/>
        </w:rPr>
        <w:t>threshold: This</w:t>
      </w:r>
      <w:r w:rsidR="0030055C"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is a received power threshold defined where the channel is detected as being “busy”</w:t>
      </w:r>
      <w:r w:rsidR="004C0F12">
        <w:rPr>
          <w:rFonts w:ascii="Times New Roman" w:hAnsi="Times New Roman"/>
          <w:b w:val="0"/>
          <w:noProof w:val="0"/>
          <w:sz w:val="20"/>
          <w:lang w:val="en-GB"/>
        </w:rPr>
        <w:t xml:space="preserve">  - </w:t>
      </w:r>
      <w:r w:rsidR="004C0F12">
        <w:rPr>
          <w:rFonts w:ascii="Times New Roman" w:hAnsi="Times New Roman"/>
          <w:b w:val="0"/>
          <w:noProof w:val="0"/>
          <w:sz w:val="20"/>
          <w:lang w:val="en-GB"/>
        </w:rPr>
        <w:t xml:space="preserve">let us denote </w:t>
      </w:r>
      <w:r w:rsidR="004C0F12" w:rsidRPr="008E4B9F">
        <w:rPr>
          <w:rFonts w:ascii="Times New Roman" w:hAnsi="Times New Roman"/>
          <w:b w:val="0"/>
          <w:noProof w:val="0"/>
          <w:sz w:val="20"/>
          <w:lang w:val="en-GB"/>
        </w:rPr>
        <w:t>it</w:t>
      </w:r>
      <w:r w:rsidR="004C0F12">
        <w:rPr>
          <w:rFonts w:ascii="Times New Roman" w:hAnsi="Times New Roman"/>
          <w:b w:val="0"/>
          <w:noProof w:val="0"/>
          <w:sz w:val="20"/>
          <w:lang w:val="en-GB"/>
        </w:rPr>
        <w:t xml:space="preserve"> as</w:t>
      </w:r>
      <w:r w:rsidR="004C0F12"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  <w:proofErr w:type="spellStart"/>
      <w:r w:rsidR="004C0F12" w:rsidRPr="008E4B9F">
        <w:rPr>
          <w:rFonts w:ascii="Times New Roman" w:hAnsi="Times New Roman"/>
          <w:b w:val="0"/>
          <w:i/>
          <w:noProof w:val="0"/>
          <w:sz w:val="20"/>
          <w:lang w:val="en-GB"/>
        </w:rPr>
        <w:t>P</w:t>
      </w:r>
      <w:r w:rsidR="004C0F12" w:rsidRPr="008E4B9F">
        <w:rPr>
          <w:rFonts w:ascii="Times New Roman" w:hAnsi="Times New Roman"/>
          <w:b w:val="0"/>
          <w:i/>
          <w:noProof w:val="0"/>
          <w:sz w:val="20"/>
          <w:vertAlign w:val="subscript"/>
          <w:lang w:val="en-GB"/>
        </w:rPr>
        <w:t>busy</w:t>
      </w:r>
      <w:proofErr w:type="spellEnd"/>
      <w:r w:rsidR="004C0F12">
        <w:rPr>
          <w:rFonts w:ascii="Times New Roman" w:hAnsi="Times New Roman"/>
          <w:b w:val="0"/>
          <w:i/>
          <w:noProof w:val="0"/>
          <w:sz w:val="20"/>
          <w:vertAlign w:val="subscript"/>
          <w:lang w:val="en-GB"/>
        </w:rPr>
        <w:t>.</w:t>
      </w:r>
    </w:p>
    <w:p w:rsidR="004657DB" w:rsidRPr="008E4B9F" w:rsidRDefault="004657DB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986BE4" w:rsidRPr="008E4B9F" w:rsidRDefault="00EA5035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 w:rsidRPr="008E4B9F">
        <w:rPr>
          <w:rFonts w:ascii="Times New Roman" w:hAnsi="Times New Roman"/>
          <w:b w:val="0"/>
          <w:noProof w:val="0"/>
          <w:sz w:val="20"/>
          <w:lang w:val="en-GB"/>
        </w:rPr>
        <w:t>The required behaviour</w:t>
      </w:r>
      <w:r w:rsidR="004034A5"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is that w</w:t>
      </w:r>
      <w:r w:rsidR="00E56839"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hen the CBR </w:t>
      </w:r>
      <w:r w:rsidR="008E4B9F" w:rsidRPr="008E4B9F">
        <w:rPr>
          <w:rFonts w:ascii="Times New Roman" w:hAnsi="Times New Roman"/>
          <w:b w:val="0"/>
          <w:noProof w:val="0"/>
          <w:sz w:val="20"/>
          <w:lang w:val="en-GB"/>
        </w:rPr>
        <w:t>&lt;</w:t>
      </w:r>
      <w:r w:rsidR="00E56839"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0.62, the device is able to use the limits highlighted above for T</w:t>
      </w:r>
      <w:r w:rsidR="00E56839" w:rsidRPr="008E4B9F">
        <w:rPr>
          <w:rFonts w:ascii="Times New Roman" w:hAnsi="Times New Roman"/>
          <w:b w:val="0"/>
          <w:noProof w:val="0"/>
          <w:sz w:val="20"/>
          <w:vertAlign w:val="subscript"/>
          <w:lang w:val="en-GB"/>
        </w:rPr>
        <w:t xml:space="preserve">on, </w:t>
      </w:r>
      <w:r w:rsidR="00E56839" w:rsidRPr="008E4B9F">
        <w:rPr>
          <w:rFonts w:ascii="Times New Roman" w:hAnsi="Times New Roman"/>
          <w:b w:val="0"/>
          <w:noProof w:val="0"/>
          <w:sz w:val="20"/>
          <w:lang w:val="en-GB"/>
        </w:rPr>
        <w:t>T</w:t>
      </w:r>
      <w:r w:rsidR="00E56839" w:rsidRPr="008E4B9F">
        <w:rPr>
          <w:rFonts w:ascii="Times New Roman" w:hAnsi="Times New Roman"/>
          <w:b w:val="0"/>
          <w:noProof w:val="0"/>
          <w:sz w:val="20"/>
          <w:vertAlign w:val="subscript"/>
          <w:lang w:val="en-GB"/>
        </w:rPr>
        <w:t>off</w:t>
      </w:r>
      <w:r w:rsidR="00E56839"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and Duty Cycle.</w:t>
      </w:r>
    </w:p>
    <w:p w:rsidR="004034A5" w:rsidRPr="008E4B9F" w:rsidRDefault="004034A5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4034A5" w:rsidRPr="008E4B9F" w:rsidRDefault="004034A5" w:rsidP="004034A5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When the detected CBR </w:t>
      </w:r>
      <w:r w:rsidR="008E4B9F" w:rsidRPr="008E4B9F">
        <w:rPr>
          <w:rFonts w:ascii="Times New Roman" w:hAnsi="Times New Roman"/>
          <w:b w:val="0"/>
          <w:noProof w:val="0"/>
          <w:sz w:val="20"/>
          <w:lang w:val="en-GB"/>
        </w:rPr>
        <w:t>≥</w:t>
      </w:r>
      <w:r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0.62, the T</w:t>
      </w:r>
      <w:r w:rsidRPr="008E4B9F">
        <w:rPr>
          <w:rFonts w:ascii="Times New Roman" w:hAnsi="Times New Roman"/>
          <w:b w:val="0"/>
          <w:noProof w:val="0"/>
          <w:sz w:val="20"/>
          <w:vertAlign w:val="subscript"/>
          <w:lang w:val="en-GB"/>
        </w:rPr>
        <w:t>on</w:t>
      </w:r>
      <w:r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and T</w:t>
      </w:r>
      <w:r w:rsidRPr="008E4B9F">
        <w:rPr>
          <w:rFonts w:ascii="Times New Roman" w:hAnsi="Times New Roman"/>
          <w:b w:val="0"/>
          <w:noProof w:val="0"/>
          <w:sz w:val="20"/>
          <w:vertAlign w:val="subscript"/>
          <w:lang w:val="en-GB"/>
        </w:rPr>
        <w:t>off</w:t>
      </w:r>
      <w:r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values are modified accordingly by the device to increase T</w:t>
      </w:r>
      <w:r w:rsidRPr="008E4B9F">
        <w:rPr>
          <w:rFonts w:ascii="Times New Roman" w:hAnsi="Times New Roman"/>
          <w:b w:val="0"/>
          <w:noProof w:val="0"/>
          <w:sz w:val="20"/>
          <w:vertAlign w:val="subscript"/>
          <w:lang w:val="en-GB"/>
        </w:rPr>
        <w:t>off</w:t>
      </w:r>
      <w:r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relative to </w:t>
      </w:r>
      <w:proofErr w:type="gramStart"/>
      <w:r w:rsidRPr="008E4B9F">
        <w:rPr>
          <w:rFonts w:ascii="Times New Roman" w:hAnsi="Times New Roman"/>
          <w:b w:val="0"/>
          <w:noProof w:val="0"/>
          <w:sz w:val="20"/>
          <w:lang w:val="en-GB"/>
        </w:rPr>
        <w:t>T</w:t>
      </w:r>
      <w:r w:rsidRPr="008E4B9F">
        <w:rPr>
          <w:rFonts w:ascii="Times New Roman" w:hAnsi="Times New Roman"/>
          <w:b w:val="0"/>
          <w:noProof w:val="0"/>
          <w:sz w:val="20"/>
          <w:vertAlign w:val="subscript"/>
          <w:lang w:val="en-GB"/>
        </w:rPr>
        <w:t xml:space="preserve">on </w:t>
      </w:r>
      <w:r w:rsidRPr="008E4B9F">
        <w:rPr>
          <w:rFonts w:ascii="Times New Roman" w:hAnsi="Times New Roman"/>
          <w:b w:val="0"/>
          <w:noProof w:val="0"/>
          <w:sz w:val="20"/>
          <w:lang w:val="en-GB"/>
        </w:rPr>
        <w:t>.</w:t>
      </w:r>
      <w:proofErr w:type="gramEnd"/>
      <w:r w:rsidRPr="008E4B9F"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</w:p>
    <w:p w:rsidR="004034A5" w:rsidRPr="00591258" w:rsidRDefault="004034A5" w:rsidP="001D01B9">
      <w:pPr>
        <w:pStyle w:val="Header"/>
        <w:jc w:val="both"/>
        <w:rPr>
          <w:rFonts w:ascii="Times New Roman" w:hAnsi="Times New Roman"/>
          <w:b w:val="0"/>
          <w:noProof w:val="0"/>
          <w:sz w:val="22"/>
          <w:lang w:val="en-GB"/>
        </w:rPr>
      </w:pPr>
    </w:p>
    <w:p w:rsidR="0030055C" w:rsidRDefault="0030055C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986BE4" w:rsidRDefault="00E76D42" w:rsidP="00986BE4">
      <w:pPr>
        <w:pStyle w:val="Heading1"/>
        <w:jc w:val="both"/>
      </w:pPr>
      <w:r>
        <w:t>3</w:t>
      </w:r>
      <w:r w:rsidR="00986BE4">
        <w:tab/>
      </w:r>
      <w:r w:rsidR="00E56839">
        <w:t>LTE characteristics compared to 802.11p</w:t>
      </w:r>
    </w:p>
    <w:p w:rsidR="00556578" w:rsidRPr="008E4B9F" w:rsidRDefault="00591258" w:rsidP="00B34A7B">
      <w:pPr>
        <w:jc w:val="both"/>
      </w:pPr>
      <w:r w:rsidRPr="008E4B9F">
        <w:t xml:space="preserve">IEEE </w:t>
      </w:r>
      <w:r w:rsidR="00E56839" w:rsidRPr="008E4B9F">
        <w:t xml:space="preserve">802.11p essentially operates in a wideband manner across the 10MHz channel, and has a smaller potential transmission time than 1ms. LTE PC5 currently has a minimum transmission time for PSSCH of 1ms and can be operate purely on a number of Resource Blocks of </w:t>
      </w:r>
      <w:proofErr w:type="gramStart"/>
      <w:r w:rsidR="00E56839" w:rsidRPr="008E4B9F">
        <w:t>180kHz</w:t>
      </w:r>
      <w:proofErr w:type="gramEnd"/>
      <w:r w:rsidR="00E56839" w:rsidRPr="008E4B9F">
        <w:t>.</w:t>
      </w:r>
    </w:p>
    <w:p w:rsidR="007B54B7" w:rsidRPr="008E4B9F" w:rsidRDefault="00E56839" w:rsidP="00B34A7B">
      <w:pPr>
        <w:jc w:val="both"/>
      </w:pPr>
      <w:r w:rsidRPr="008E4B9F">
        <w:t xml:space="preserve">This means that multiple devices are able to operate simultaneously in time during the same 1ms period. Adhering to the purely time-based and power-based requirements for triggering DCC in section 2 would </w:t>
      </w:r>
      <w:r w:rsidRPr="008E4B9F">
        <w:lastRenderedPageBreak/>
        <w:t xml:space="preserve">mean that </w:t>
      </w:r>
      <w:r w:rsidR="00EA5035" w:rsidRPr="008E4B9F">
        <w:t xml:space="preserve">– if the </w:t>
      </w:r>
      <w:proofErr w:type="spellStart"/>
      <w:r w:rsidR="00EA5035" w:rsidRPr="008E4B9F">
        <w:rPr>
          <w:i/>
        </w:rPr>
        <w:t>P</w:t>
      </w:r>
      <w:r w:rsidR="00EA5035" w:rsidRPr="008E4B9F">
        <w:rPr>
          <w:i/>
          <w:vertAlign w:val="subscript"/>
        </w:rPr>
        <w:t>busy</w:t>
      </w:r>
      <w:proofErr w:type="spellEnd"/>
      <w:r w:rsidR="00EA5035" w:rsidRPr="008E4B9F">
        <w:t xml:space="preserve"> </w:t>
      </w:r>
      <w:proofErr w:type="spellStart"/>
      <w:r w:rsidR="007B54B7" w:rsidRPr="008E4B9F">
        <w:t>dBm</w:t>
      </w:r>
      <w:proofErr w:type="spellEnd"/>
      <w:r w:rsidR="007B54B7" w:rsidRPr="008E4B9F">
        <w:t xml:space="preserve"> power level was caused by LTE PC5 UEs transmitting on only a subset of the 10MHz channel – then </w:t>
      </w:r>
      <w:r w:rsidR="00E077CE" w:rsidRPr="008E4B9F">
        <w:t xml:space="preserve">the LTE PC5 UE </w:t>
      </w:r>
      <w:r w:rsidR="007B54B7" w:rsidRPr="008E4B9F">
        <w:t>deciding</w:t>
      </w:r>
      <w:r w:rsidR="00E077CE" w:rsidRPr="008E4B9F">
        <w:t xml:space="preserve"> not to transmit </w:t>
      </w:r>
      <w:r w:rsidR="007B54B7" w:rsidRPr="008E4B9F">
        <w:t>at all would mean that spectrum resources are wasted</w:t>
      </w:r>
      <w:r w:rsidR="00EA5035" w:rsidRPr="008E4B9F">
        <w:t>.</w:t>
      </w:r>
    </w:p>
    <w:p w:rsidR="00EA5035" w:rsidRDefault="00EA5035" w:rsidP="00B34A7B">
      <w:pPr>
        <w:jc w:val="both"/>
      </w:pPr>
    </w:p>
    <w:p w:rsidR="00E077CE" w:rsidRDefault="007B54B7" w:rsidP="007B54B7">
      <w:pPr>
        <w:pStyle w:val="Heading1"/>
      </w:pPr>
      <w:r>
        <w:t>4</w:t>
      </w:r>
      <w:r>
        <w:tab/>
      </w:r>
      <w:r w:rsidR="008E4B9F">
        <w:t>Possible a</w:t>
      </w:r>
      <w:r>
        <w:t>pproach for resolvi</w:t>
      </w:r>
      <w:r w:rsidR="00705367">
        <w:t>ng this issue in the short term</w:t>
      </w:r>
    </w:p>
    <w:p w:rsidR="008E4B9F" w:rsidRPr="008E4B9F" w:rsidRDefault="008E4B9F" w:rsidP="00B34A7B">
      <w:pPr>
        <w:jc w:val="both"/>
      </w:pPr>
      <w:r w:rsidRPr="008E4B9F">
        <w:t>The following approach is proposed to be considered to resolve the above issues.</w:t>
      </w:r>
    </w:p>
    <w:p w:rsidR="007210BC" w:rsidRPr="008E4B9F" w:rsidRDefault="007210BC" w:rsidP="00B34A7B">
      <w:pPr>
        <w:jc w:val="both"/>
      </w:pPr>
      <w:r w:rsidRPr="008E4B9F">
        <w:rPr>
          <w:u w:val="single"/>
        </w:rPr>
        <w:t>Baseline assumptions</w:t>
      </w:r>
      <w:r w:rsidRPr="008E4B9F">
        <w:t>:</w:t>
      </w:r>
    </w:p>
    <w:p w:rsidR="007210BC" w:rsidRPr="008E4B9F" w:rsidRDefault="007210BC" w:rsidP="00B34A7B">
      <w:pPr>
        <w:pStyle w:val="ListParagraph"/>
        <w:numPr>
          <w:ilvl w:val="0"/>
          <w:numId w:val="16"/>
        </w:numPr>
        <w:jc w:val="both"/>
      </w:pPr>
      <w:r w:rsidRPr="008E4B9F">
        <w:t>T</w:t>
      </w:r>
      <w:r w:rsidR="007B54B7" w:rsidRPr="008E4B9F">
        <w:t>he LTE PC5 UE is able to perform a sensing across the full 10MHz channel, and is also able t</w:t>
      </w:r>
      <w:r w:rsidRPr="008E4B9F">
        <w:t xml:space="preserve">o perform sensing </w:t>
      </w:r>
      <w:r w:rsidRPr="00FE1B8E">
        <w:t>on sub-bands</w:t>
      </w:r>
      <w:r w:rsidR="007B54B7" w:rsidRPr="00FE1B8E">
        <w:t>.</w:t>
      </w:r>
      <w:r w:rsidR="007B54B7" w:rsidRPr="008E4B9F">
        <w:t xml:space="preserve"> We understand this to be generally considered as part of the LTE V2V design to allow channel sensing within LTE V2V.</w:t>
      </w:r>
    </w:p>
    <w:p w:rsidR="007210BC" w:rsidRPr="008E4B9F" w:rsidRDefault="007210BC" w:rsidP="007210BC">
      <w:pPr>
        <w:pStyle w:val="ListParagraph"/>
        <w:jc w:val="both"/>
      </w:pPr>
    </w:p>
    <w:p w:rsidR="007210BC" w:rsidRPr="008E4B9F" w:rsidRDefault="007210BC" w:rsidP="00B34A7B">
      <w:pPr>
        <w:pStyle w:val="ListParagraph"/>
        <w:numPr>
          <w:ilvl w:val="0"/>
          <w:numId w:val="16"/>
        </w:numPr>
        <w:jc w:val="both"/>
      </w:pPr>
      <w:r w:rsidRPr="00FE1B8E">
        <w:t xml:space="preserve">There are </w:t>
      </w:r>
      <w:r w:rsidRPr="00FE1B8E">
        <w:rPr>
          <w:i/>
        </w:rPr>
        <w:t>N</w:t>
      </w:r>
      <w:r w:rsidRPr="00FE1B8E">
        <w:t xml:space="preserve"> sub-bands per 10MHz</w:t>
      </w:r>
      <w:r w:rsidRPr="008E4B9F">
        <w:t xml:space="preserve"> channel. </w:t>
      </w:r>
    </w:p>
    <w:p w:rsidR="007210BC" w:rsidRPr="008E4B9F" w:rsidRDefault="00066C73" w:rsidP="00B34A7B">
      <w:pPr>
        <w:jc w:val="both"/>
      </w:pPr>
      <w:r w:rsidRPr="008E4B9F">
        <w:rPr>
          <w:u w:val="single"/>
        </w:rPr>
        <w:t>UE b</w:t>
      </w:r>
      <w:r w:rsidR="007210BC" w:rsidRPr="008E4B9F">
        <w:rPr>
          <w:u w:val="single"/>
        </w:rPr>
        <w:t>ehaviour</w:t>
      </w:r>
      <w:r w:rsidR="007210BC" w:rsidRPr="008E4B9F">
        <w:t>:</w:t>
      </w:r>
    </w:p>
    <w:p w:rsidR="007210BC" w:rsidRPr="008E4B9F" w:rsidRDefault="007B54B7" w:rsidP="007210BC">
      <w:pPr>
        <w:jc w:val="both"/>
      </w:pPr>
      <w:r w:rsidRPr="008E4B9F">
        <w:t>The UE perfor</w:t>
      </w:r>
      <w:r w:rsidR="007210BC" w:rsidRPr="008E4B9F">
        <w:t xml:space="preserve">ms sensing </w:t>
      </w:r>
      <w:r w:rsidR="007210BC" w:rsidRPr="00FE1B8E">
        <w:t>on each sub-band</w:t>
      </w:r>
      <w:r w:rsidR="007210BC" w:rsidRPr="008E4B9F">
        <w:t xml:space="preserve"> to check the received power level over the 100ms period.</w:t>
      </w:r>
    </w:p>
    <w:p w:rsidR="007B54B7" w:rsidRPr="008E4B9F" w:rsidRDefault="007210BC" w:rsidP="00B34A7B">
      <w:pPr>
        <w:pStyle w:val="ListParagraph"/>
        <w:numPr>
          <w:ilvl w:val="0"/>
          <w:numId w:val="16"/>
        </w:numPr>
        <w:jc w:val="both"/>
      </w:pPr>
      <w:r w:rsidRPr="008E4B9F">
        <w:t>If the UE</w:t>
      </w:r>
      <w:r w:rsidR="007B54B7" w:rsidRPr="008E4B9F">
        <w:t xml:space="preserve"> observes that </w:t>
      </w:r>
      <w:r w:rsidRPr="00FE1B8E">
        <w:t>every</w:t>
      </w:r>
      <w:r w:rsidR="007B54B7" w:rsidRPr="00FE1B8E">
        <w:t xml:space="preserve"> </w:t>
      </w:r>
      <w:r w:rsidRPr="00FE1B8E">
        <w:t>sub-</w:t>
      </w:r>
      <w:r w:rsidR="008E4B9F" w:rsidRPr="00FE1B8E">
        <w:t>band</w:t>
      </w:r>
      <w:r w:rsidRPr="008E4B9F">
        <w:t xml:space="preserve"> contains a power level equal or greater than </w:t>
      </w:r>
      <w:proofErr w:type="spellStart"/>
      <w:r w:rsidRPr="008E4B9F">
        <w:rPr>
          <w:i/>
        </w:rPr>
        <w:t>P</w:t>
      </w:r>
      <w:r w:rsidRPr="008E4B9F">
        <w:rPr>
          <w:i/>
          <w:vertAlign w:val="subscript"/>
        </w:rPr>
        <w:t>busy</w:t>
      </w:r>
      <w:proofErr w:type="spellEnd"/>
      <w:r w:rsidRPr="008E4B9F">
        <w:rPr>
          <w:i/>
          <w:vertAlign w:val="subscript"/>
        </w:rPr>
        <w:t xml:space="preserve"> </w:t>
      </w:r>
      <w:r w:rsidRPr="008E4B9F">
        <w:t xml:space="preserve">/ </w:t>
      </w:r>
      <w:r w:rsidRPr="008E4B9F">
        <w:rPr>
          <w:i/>
        </w:rPr>
        <w:t>N</w:t>
      </w:r>
      <w:r w:rsidRPr="008E4B9F">
        <w:t xml:space="preserve"> </w:t>
      </w:r>
      <w:r w:rsidR="008E4B9F">
        <w:t>during</w:t>
      </w:r>
      <w:r w:rsidRPr="008E4B9F">
        <w:t xml:space="preserve"> </w:t>
      </w:r>
      <w:r w:rsidR="008E4B9F" w:rsidRPr="008E4B9F">
        <w:t>≥</w:t>
      </w:r>
      <w:r w:rsidR="008E4B9F">
        <w:t xml:space="preserve"> </w:t>
      </w:r>
      <w:r w:rsidRPr="008E4B9F">
        <w:t>62% of the 100ms, then it shall trigger the DCC procedure.</w:t>
      </w:r>
    </w:p>
    <w:p w:rsidR="007210BC" w:rsidRPr="008E4B9F" w:rsidRDefault="007210BC" w:rsidP="007210BC">
      <w:pPr>
        <w:pStyle w:val="ListParagraph"/>
        <w:jc w:val="both"/>
      </w:pPr>
    </w:p>
    <w:p w:rsidR="00066C73" w:rsidRPr="008E4B9F" w:rsidRDefault="007210BC" w:rsidP="00B34A7B">
      <w:pPr>
        <w:pStyle w:val="ListParagraph"/>
        <w:numPr>
          <w:ilvl w:val="0"/>
          <w:numId w:val="16"/>
        </w:numPr>
        <w:jc w:val="both"/>
      </w:pPr>
      <w:r w:rsidRPr="008E4B9F">
        <w:t xml:space="preserve">If the UE observes that NOT </w:t>
      </w:r>
      <w:r w:rsidRPr="00FE1B8E">
        <w:t>every sub-</w:t>
      </w:r>
      <w:r w:rsidR="008E4B9F" w:rsidRPr="00FE1B8E">
        <w:t>band</w:t>
      </w:r>
      <w:r w:rsidRPr="008E4B9F">
        <w:t xml:space="preserve"> contains a power level </w:t>
      </w:r>
      <w:r w:rsidR="008E4B9F" w:rsidRPr="008E4B9F">
        <w:t xml:space="preserve">≥ </w:t>
      </w:r>
      <w:proofErr w:type="spellStart"/>
      <w:r w:rsidRPr="008E4B9F">
        <w:rPr>
          <w:i/>
        </w:rPr>
        <w:t>P</w:t>
      </w:r>
      <w:r w:rsidRPr="008E4B9F">
        <w:rPr>
          <w:i/>
          <w:vertAlign w:val="subscript"/>
        </w:rPr>
        <w:t>busy</w:t>
      </w:r>
      <w:proofErr w:type="spellEnd"/>
      <w:r w:rsidRPr="008E4B9F">
        <w:rPr>
          <w:i/>
          <w:vertAlign w:val="subscript"/>
        </w:rPr>
        <w:t xml:space="preserve"> </w:t>
      </w:r>
      <w:r w:rsidRPr="008E4B9F">
        <w:t xml:space="preserve">/ </w:t>
      </w:r>
      <w:r w:rsidRPr="008E4B9F">
        <w:rPr>
          <w:i/>
        </w:rPr>
        <w:t>N</w:t>
      </w:r>
      <w:r w:rsidRPr="008E4B9F">
        <w:t xml:space="preserve"> </w:t>
      </w:r>
      <w:r w:rsidR="008E4B9F">
        <w:t xml:space="preserve">during </w:t>
      </w:r>
      <w:r w:rsidRPr="008E4B9F">
        <w:t xml:space="preserve"> </w:t>
      </w:r>
      <w:r w:rsidR="008E4B9F" w:rsidRPr="008E4B9F">
        <w:t>≥</w:t>
      </w:r>
      <w:r w:rsidR="008E4B9F">
        <w:t xml:space="preserve"> </w:t>
      </w:r>
      <w:r w:rsidRPr="008E4B9F">
        <w:t xml:space="preserve">62% of the 100ms, then </w:t>
      </w:r>
      <w:r w:rsidR="008E4B9F" w:rsidRPr="008E4B9F">
        <w:t>the UE</w:t>
      </w:r>
      <w:r w:rsidRPr="008E4B9F">
        <w:t xml:space="preserve"> shall </w:t>
      </w:r>
    </w:p>
    <w:p w:rsidR="007210BC" w:rsidRPr="008E4B9F" w:rsidRDefault="007210BC" w:rsidP="00066C73">
      <w:pPr>
        <w:pStyle w:val="ListParagraph"/>
        <w:numPr>
          <w:ilvl w:val="1"/>
          <w:numId w:val="16"/>
        </w:numPr>
        <w:jc w:val="both"/>
      </w:pPr>
      <w:r w:rsidRPr="008E4B9F">
        <w:t xml:space="preserve">NOT </w:t>
      </w:r>
      <w:r w:rsidR="00451325" w:rsidRPr="008E4B9F">
        <w:t xml:space="preserve">follow the rules for CBR </w:t>
      </w:r>
      <w:r w:rsidR="008E4B9F" w:rsidRPr="008E4B9F">
        <w:t>≥</w:t>
      </w:r>
      <w:r w:rsidR="00451325" w:rsidRPr="008E4B9F">
        <w:t xml:space="preserve"> 0.62</w:t>
      </w:r>
    </w:p>
    <w:p w:rsidR="00066C73" w:rsidRPr="008E4B9F" w:rsidRDefault="00066C73" w:rsidP="00066C73">
      <w:pPr>
        <w:pStyle w:val="ListParagraph"/>
        <w:numPr>
          <w:ilvl w:val="1"/>
          <w:numId w:val="16"/>
        </w:numPr>
        <w:jc w:val="both"/>
      </w:pPr>
      <w:r w:rsidRPr="008E4B9F">
        <w:t xml:space="preserve">Follow 3GPP defined rules for LTE V2V for resource selection </w:t>
      </w:r>
    </w:p>
    <w:p w:rsidR="00066C73" w:rsidRPr="008E4B9F" w:rsidRDefault="00066C73" w:rsidP="00066C73">
      <w:pPr>
        <w:pStyle w:val="ListParagraph"/>
        <w:numPr>
          <w:ilvl w:val="1"/>
          <w:numId w:val="16"/>
        </w:numPr>
        <w:jc w:val="both"/>
      </w:pPr>
      <w:r w:rsidRPr="008E4B9F">
        <w:t xml:space="preserve">Limit its </w:t>
      </w:r>
      <w:r w:rsidR="008E4B9F" w:rsidRPr="008E4B9F">
        <w:t xml:space="preserve">maximum </w:t>
      </w:r>
      <w:r w:rsidRPr="008E4B9F">
        <w:t xml:space="preserve">transmission </w:t>
      </w:r>
      <w:r w:rsidR="008E4B9F" w:rsidRPr="008E4B9F">
        <w:t xml:space="preserve">power </w:t>
      </w:r>
      <w:r w:rsidRPr="008E4B9F">
        <w:t xml:space="preserve">to 23dBm/MHz </w:t>
      </w:r>
    </w:p>
    <w:p w:rsidR="00066C73" w:rsidRPr="008E4B9F" w:rsidRDefault="00066C73" w:rsidP="00066C73">
      <w:pPr>
        <w:jc w:val="both"/>
      </w:pPr>
      <w:r w:rsidRPr="008E4B9F">
        <w:rPr>
          <w:u w:val="single"/>
        </w:rPr>
        <w:t xml:space="preserve">Additional </w:t>
      </w:r>
      <w:r w:rsidR="00EA5035" w:rsidRPr="008E4B9F">
        <w:rPr>
          <w:u w:val="single"/>
        </w:rPr>
        <w:t>considerations</w:t>
      </w:r>
      <w:r w:rsidRPr="008E4B9F">
        <w:t>:</w:t>
      </w:r>
    </w:p>
    <w:p w:rsidR="00016E1E" w:rsidRPr="008E4B9F" w:rsidRDefault="00EA5035" w:rsidP="00066C73">
      <w:pPr>
        <w:jc w:val="both"/>
      </w:pPr>
      <w:r w:rsidRPr="008E4B9F">
        <w:t>W</w:t>
      </w:r>
      <w:r w:rsidR="00066C73" w:rsidRPr="008E4B9F">
        <w:t>e would need to consider the fact that the signal</w:t>
      </w:r>
      <w:r w:rsidRPr="008E4B9F">
        <w:t xml:space="preserve"> level received</w:t>
      </w:r>
      <w:r w:rsidR="00066C73" w:rsidRPr="008E4B9F">
        <w:t xml:space="preserve"> across </w:t>
      </w:r>
      <w:r w:rsidRPr="008E4B9F">
        <w:t xml:space="preserve">the </w:t>
      </w:r>
      <w:r w:rsidR="00066C73" w:rsidRPr="008E4B9F">
        <w:t xml:space="preserve">10MHz </w:t>
      </w:r>
      <w:r w:rsidRPr="008E4B9F">
        <w:t xml:space="preserve">channel </w:t>
      </w:r>
      <w:r w:rsidR="00066C73" w:rsidRPr="008E4B9F">
        <w:t xml:space="preserve">will not be fully flat, and will require some uncertainty due to fading and also at the edge of the 10MHz channel due to need to meet spectrum mask requirements. </w:t>
      </w:r>
      <w:r w:rsidR="008E4B9F" w:rsidRPr="008E4B9F">
        <w:t>However in the current draft of the Harmonized Standard there is a 3% margin allowed.</w:t>
      </w:r>
    </w:p>
    <w:p w:rsidR="003A738E" w:rsidRPr="00E56839" w:rsidRDefault="003A738E" w:rsidP="003A738E">
      <w:pPr>
        <w:spacing w:after="240"/>
        <w:jc w:val="both"/>
        <w:rPr>
          <w:lang w:val="en-US"/>
        </w:rPr>
      </w:pPr>
    </w:p>
    <w:p w:rsidR="00CD539D" w:rsidRDefault="00E76D42" w:rsidP="00CD539D">
      <w:pPr>
        <w:pStyle w:val="Heading1"/>
        <w:jc w:val="both"/>
      </w:pPr>
      <w:r>
        <w:t>4</w:t>
      </w:r>
      <w:bookmarkStart w:id="0" w:name="_GoBack"/>
      <w:bookmarkEnd w:id="0"/>
      <w:r w:rsidR="00CD539D">
        <w:tab/>
      </w:r>
      <w:r w:rsidR="00EC2EDB">
        <w:t>Conclusion</w:t>
      </w:r>
    </w:p>
    <w:p w:rsidR="00875ED1" w:rsidRPr="008E4B9F" w:rsidRDefault="00066C73" w:rsidP="00066C73">
      <w:pPr>
        <w:jc w:val="both"/>
        <w:rPr>
          <w:szCs w:val="22"/>
        </w:rPr>
      </w:pPr>
      <w:r w:rsidRPr="008E4B9F">
        <w:rPr>
          <w:szCs w:val="22"/>
        </w:rPr>
        <w:t xml:space="preserve">We </w:t>
      </w:r>
      <w:r w:rsidR="00EA5035" w:rsidRPr="008E4B9F">
        <w:rPr>
          <w:szCs w:val="22"/>
        </w:rPr>
        <w:t xml:space="preserve">would like to get feedback on whether this approach seems reasonable to enable respectful ITS operation within the 5.9GHz band, </w:t>
      </w:r>
      <w:r w:rsidR="00016E1E" w:rsidRPr="008E4B9F">
        <w:rPr>
          <w:szCs w:val="22"/>
        </w:rPr>
        <w:t>whilst also</w:t>
      </w:r>
      <w:r w:rsidR="004B50F5" w:rsidRPr="008E4B9F">
        <w:rPr>
          <w:szCs w:val="22"/>
        </w:rPr>
        <w:t xml:space="preserve"> ensuring that spectrum is not under-utilized</w:t>
      </w:r>
      <w:r w:rsidRPr="008E4B9F">
        <w:rPr>
          <w:szCs w:val="22"/>
        </w:rPr>
        <w:t>.</w:t>
      </w:r>
    </w:p>
    <w:p w:rsidR="002102B9" w:rsidRDefault="00E76D42" w:rsidP="002102B9">
      <w:pPr>
        <w:pStyle w:val="Heading1"/>
      </w:pPr>
      <w:r>
        <w:t>5</w:t>
      </w:r>
      <w:r w:rsidR="002102B9">
        <w:tab/>
        <w:t>References</w:t>
      </w:r>
    </w:p>
    <w:p w:rsidR="00BB794E" w:rsidRPr="008E4B9F" w:rsidRDefault="008E4B9F" w:rsidP="008E4B9F">
      <w:pPr>
        <w:overflowPunct/>
        <w:spacing w:after="0"/>
        <w:ind w:left="705" w:hanging="705"/>
        <w:textAlignment w:val="auto"/>
        <w:rPr>
          <w:lang w:val="en-US"/>
        </w:rPr>
      </w:pPr>
      <w:r>
        <w:rPr>
          <w:rFonts w:eastAsia="Malgun Gothic"/>
        </w:rPr>
        <w:t>[1]</w:t>
      </w:r>
      <w:r>
        <w:rPr>
          <w:rFonts w:eastAsia="Malgun Gothic"/>
        </w:rPr>
        <w:tab/>
      </w:r>
      <w:r w:rsidR="00E63F50" w:rsidRPr="008E4B9F">
        <w:rPr>
          <w:rFonts w:eastAsia="Malgun Gothic"/>
        </w:rPr>
        <w:t xml:space="preserve">EN 302 571 v2.0.0 </w:t>
      </w:r>
      <w:r w:rsidRPr="008E4B9F">
        <w:rPr>
          <w:rFonts w:eastAsia="Malgun Gothic"/>
        </w:rPr>
        <w:t>(</w:t>
      </w:r>
      <w:r w:rsidR="00E63F50" w:rsidRPr="008E4B9F">
        <w:rPr>
          <w:rFonts w:eastAsia="Malgun Gothic"/>
        </w:rPr>
        <w:t>draft</w:t>
      </w:r>
      <w:r w:rsidRPr="008E4B9F">
        <w:rPr>
          <w:rFonts w:eastAsia="Malgun Gothic"/>
        </w:rPr>
        <w:t xml:space="preserve">): </w:t>
      </w:r>
      <w:r w:rsidRPr="008E4B9F">
        <w:rPr>
          <w:rFonts w:eastAsiaTheme="minorHAnsi"/>
          <w:bCs/>
          <w:lang w:eastAsia="en-US"/>
        </w:rPr>
        <w:t xml:space="preserve">Intelligent Transport Systems (ITS); </w:t>
      </w:r>
      <w:proofErr w:type="spellStart"/>
      <w:r w:rsidRPr="008E4B9F">
        <w:rPr>
          <w:rFonts w:eastAsiaTheme="minorHAnsi"/>
          <w:bCs/>
          <w:lang w:eastAsia="en-US"/>
        </w:rPr>
        <w:t>Radiocommunications</w:t>
      </w:r>
      <w:proofErr w:type="spellEnd"/>
      <w:r w:rsidRPr="008E4B9F">
        <w:rPr>
          <w:rFonts w:eastAsiaTheme="minorHAnsi"/>
          <w:bCs/>
          <w:lang w:eastAsia="en-US"/>
        </w:rPr>
        <w:t xml:space="preserve"> equipment operating in the 5 855 MHz to 5 925 MHz frequency band; Harmonised Standard covering the essential requirements of article 3.2 of Directive 2014/53/EU</w:t>
      </w:r>
    </w:p>
    <w:p w:rsidR="003F3B33" w:rsidRDefault="003F3B33" w:rsidP="00705D6F">
      <w:pPr>
        <w:jc w:val="both"/>
        <w:rPr>
          <w:szCs w:val="22"/>
          <w:lang w:val="en-US"/>
        </w:rPr>
      </w:pPr>
    </w:p>
    <w:sectPr w:rsidR="003F3B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45" w:rsidRDefault="00E94745" w:rsidP="004F5952">
      <w:pPr>
        <w:spacing w:after="0"/>
      </w:pPr>
      <w:r>
        <w:separator/>
      </w:r>
    </w:p>
  </w:endnote>
  <w:endnote w:type="continuationSeparator" w:id="0">
    <w:p w:rsidR="00E94745" w:rsidRDefault="00E94745" w:rsidP="004F59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45" w:rsidRDefault="00E94745" w:rsidP="004F5952">
      <w:pPr>
        <w:spacing w:after="0"/>
      </w:pPr>
      <w:r>
        <w:separator/>
      </w:r>
    </w:p>
  </w:footnote>
  <w:footnote w:type="continuationSeparator" w:id="0">
    <w:p w:rsidR="00E94745" w:rsidRDefault="00E94745" w:rsidP="004F59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E211DA2"/>
    <w:multiLevelType w:val="hybridMultilevel"/>
    <w:tmpl w:val="4B58FEC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6CC1C51"/>
    <w:multiLevelType w:val="hybridMultilevel"/>
    <w:tmpl w:val="090C7302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7B09DE"/>
    <w:multiLevelType w:val="hybridMultilevel"/>
    <w:tmpl w:val="3F5AC5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E803A0"/>
    <w:multiLevelType w:val="hybridMultilevel"/>
    <w:tmpl w:val="7A3A9232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A2260B"/>
    <w:multiLevelType w:val="hybridMultilevel"/>
    <w:tmpl w:val="44B079B4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F36843"/>
    <w:multiLevelType w:val="hybridMultilevel"/>
    <w:tmpl w:val="525C01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FD4948"/>
    <w:multiLevelType w:val="hybridMultilevel"/>
    <w:tmpl w:val="380C8B32"/>
    <w:lvl w:ilvl="0" w:tplc="08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0">
    <w:nsid w:val="50B31EC7"/>
    <w:multiLevelType w:val="hybridMultilevel"/>
    <w:tmpl w:val="9266F8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225DE"/>
    <w:multiLevelType w:val="hybridMultilevel"/>
    <w:tmpl w:val="3D207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CF562F"/>
    <w:multiLevelType w:val="hybridMultilevel"/>
    <w:tmpl w:val="661E25FC"/>
    <w:lvl w:ilvl="0" w:tplc="D0D4D5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DC7BF0"/>
    <w:multiLevelType w:val="hybridMultilevel"/>
    <w:tmpl w:val="8A5ED6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4B2AD2"/>
    <w:multiLevelType w:val="hybridMultilevel"/>
    <w:tmpl w:val="D28A8E80"/>
    <w:lvl w:ilvl="0" w:tplc="4FFE3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C949B2"/>
    <w:multiLevelType w:val="hybridMultilevel"/>
    <w:tmpl w:val="AD062D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2F6471"/>
    <w:multiLevelType w:val="hybridMultilevel"/>
    <w:tmpl w:val="1B328E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2F7E47"/>
    <w:multiLevelType w:val="hybridMultilevel"/>
    <w:tmpl w:val="F0B0290C"/>
    <w:lvl w:ilvl="0" w:tplc="89447C2A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7"/>
  </w:num>
  <w:num w:numId="4">
    <w:abstractNumId w:val="16"/>
  </w:num>
  <w:num w:numId="5">
    <w:abstractNumId w:val="10"/>
  </w:num>
  <w:num w:numId="6">
    <w:abstractNumId w:val="12"/>
  </w:num>
  <w:num w:numId="7">
    <w:abstractNumId w:val="1"/>
  </w:num>
  <w:num w:numId="8">
    <w:abstractNumId w:val="2"/>
  </w:num>
  <w:num w:numId="9">
    <w:abstractNumId w:val="9"/>
  </w:num>
  <w:num w:numId="10">
    <w:abstractNumId w:val="3"/>
  </w:num>
  <w:num w:numId="11">
    <w:abstractNumId w:val="11"/>
  </w:num>
  <w:num w:numId="12">
    <w:abstractNumId w:val="4"/>
  </w:num>
  <w:num w:numId="13">
    <w:abstractNumId w:val="14"/>
  </w:num>
  <w:num w:numId="14">
    <w:abstractNumId w:val="15"/>
  </w:num>
  <w:num w:numId="15">
    <w:abstractNumId w:val="0"/>
  </w:num>
  <w:num w:numId="16">
    <w:abstractNumId w:val="6"/>
  </w:num>
  <w:num w:numId="17">
    <w:abstractNumId w:val="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B9"/>
    <w:rsid w:val="00016E1E"/>
    <w:rsid w:val="000355FB"/>
    <w:rsid w:val="00051147"/>
    <w:rsid w:val="00057895"/>
    <w:rsid w:val="00066C73"/>
    <w:rsid w:val="000733D1"/>
    <w:rsid w:val="00081259"/>
    <w:rsid w:val="00085744"/>
    <w:rsid w:val="000C61FA"/>
    <w:rsid w:val="000F1FCC"/>
    <w:rsid w:val="000F3115"/>
    <w:rsid w:val="0011629F"/>
    <w:rsid w:val="00155874"/>
    <w:rsid w:val="001624D9"/>
    <w:rsid w:val="00167B73"/>
    <w:rsid w:val="0017649B"/>
    <w:rsid w:val="001820E1"/>
    <w:rsid w:val="00191E5F"/>
    <w:rsid w:val="001A733D"/>
    <w:rsid w:val="001B1B6D"/>
    <w:rsid w:val="001C4383"/>
    <w:rsid w:val="001D01B9"/>
    <w:rsid w:val="001D3D2B"/>
    <w:rsid w:val="001E5CBE"/>
    <w:rsid w:val="002102B9"/>
    <w:rsid w:val="0022081F"/>
    <w:rsid w:val="002440C0"/>
    <w:rsid w:val="0027248F"/>
    <w:rsid w:val="00294454"/>
    <w:rsid w:val="002A58A2"/>
    <w:rsid w:val="002C1A42"/>
    <w:rsid w:val="0030055C"/>
    <w:rsid w:val="003015DE"/>
    <w:rsid w:val="003242DF"/>
    <w:rsid w:val="0035672D"/>
    <w:rsid w:val="003A738E"/>
    <w:rsid w:val="003B3684"/>
    <w:rsid w:val="003C0E5F"/>
    <w:rsid w:val="003F3B33"/>
    <w:rsid w:val="004034A5"/>
    <w:rsid w:val="00451325"/>
    <w:rsid w:val="004657DB"/>
    <w:rsid w:val="00480313"/>
    <w:rsid w:val="00495AC8"/>
    <w:rsid w:val="004A76D1"/>
    <w:rsid w:val="004B07E8"/>
    <w:rsid w:val="004B50F5"/>
    <w:rsid w:val="004C0F12"/>
    <w:rsid w:val="004D434D"/>
    <w:rsid w:val="004D7A65"/>
    <w:rsid w:val="004F5952"/>
    <w:rsid w:val="00556578"/>
    <w:rsid w:val="00591258"/>
    <w:rsid w:val="005E0076"/>
    <w:rsid w:val="005E5D7C"/>
    <w:rsid w:val="006022D8"/>
    <w:rsid w:val="0060598B"/>
    <w:rsid w:val="00626780"/>
    <w:rsid w:val="00643273"/>
    <w:rsid w:val="00651673"/>
    <w:rsid w:val="00655BDC"/>
    <w:rsid w:val="00677A11"/>
    <w:rsid w:val="00693727"/>
    <w:rsid w:val="006D0F26"/>
    <w:rsid w:val="006D7BB2"/>
    <w:rsid w:val="006E2AD1"/>
    <w:rsid w:val="00705367"/>
    <w:rsid w:val="00705D6F"/>
    <w:rsid w:val="007210BC"/>
    <w:rsid w:val="007638DC"/>
    <w:rsid w:val="00777789"/>
    <w:rsid w:val="007A3F06"/>
    <w:rsid w:val="007B54B7"/>
    <w:rsid w:val="007D4BA7"/>
    <w:rsid w:val="007D4F0E"/>
    <w:rsid w:val="007D51E5"/>
    <w:rsid w:val="00807FDD"/>
    <w:rsid w:val="008112E1"/>
    <w:rsid w:val="00834129"/>
    <w:rsid w:val="00834A5D"/>
    <w:rsid w:val="00875ED1"/>
    <w:rsid w:val="008B4CB6"/>
    <w:rsid w:val="008E4B9F"/>
    <w:rsid w:val="00986BE4"/>
    <w:rsid w:val="009A03EC"/>
    <w:rsid w:val="009B61B7"/>
    <w:rsid w:val="00A02759"/>
    <w:rsid w:val="00A15C9B"/>
    <w:rsid w:val="00A27722"/>
    <w:rsid w:val="00A53021"/>
    <w:rsid w:val="00A77581"/>
    <w:rsid w:val="00A80B13"/>
    <w:rsid w:val="00A819B0"/>
    <w:rsid w:val="00A92A69"/>
    <w:rsid w:val="00AC3D08"/>
    <w:rsid w:val="00AC7E9E"/>
    <w:rsid w:val="00AD4594"/>
    <w:rsid w:val="00B068DC"/>
    <w:rsid w:val="00B076BB"/>
    <w:rsid w:val="00B34A7B"/>
    <w:rsid w:val="00B47D6E"/>
    <w:rsid w:val="00B5014E"/>
    <w:rsid w:val="00B77726"/>
    <w:rsid w:val="00B91724"/>
    <w:rsid w:val="00BA4B9A"/>
    <w:rsid w:val="00BB794E"/>
    <w:rsid w:val="00BC3884"/>
    <w:rsid w:val="00BF564D"/>
    <w:rsid w:val="00C2184D"/>
    <w:rsid w:val="00C236A0"/>
    <w:rsid w:val="00C85518"/>
    <w:rsid w:val="00C90D12"/>
    <w:rsid w:val="00CA5880"/>
    <w:rsid w:val="00CD539D"/>
    <w:rsid w:val="00CE45D0"/>
    <w:rsid w:val="00D12135"/>
    <w:rsid w:val="00D202B4"/>
    <w:rsid w:val="00D85217"/>
    <w:rsid w:val="00D908FA"/>
    <w:rsid w:val="00DD0FAA"/>
    <w:rsid w:val="00DD498B"/>
    <w:rsid w:val="00DF1A3B"/>
    <w:rsid w:val="00E077CE"/>
    <w:rsid w:val="00E21164"/>
    <w:rsid w:val="00E2343D"/>
    <w:rsid w:val="00E56839"/>
    <w:rsid w:val="00E5694D"/>
    <w:rsid w:val="00E63F50"/>
    <w:rsid w:val="00E66E8A"/>
    <w:rsid w:val="00E70DFF"/>
    <w:rsid w:val="00E75DD7"/>
    <w:rsid w:val="00E76D42"/>
    <w:rsid w:val="00E94745"/>
    <w:rsid w:val="00EA5035"/>
    <w:rsid w:val="00EB0C8B"/>
    <w:rsid w:val="00EC2EDB"/>
    <w:rsid w:val="00ED29F0"/>
    <w:rsid w:val="00EE3FCB"/>
    <w:rsid w:val="00EE5F73"/>
    <w:rsid w:val="00F16B23"/>
    <w:rsid w:val="00F46A8B"/>
    <w:rsid w:val="00F93DFA"/>
    <w:rsid w:val="00FA2F98"/>
    <w:rsid w:val="00FB007B"/>
    <w:rsid w:val="00FC7FF3"/>
    <w:rsid w:val="00FE1B8E"/>
    <w:rsid w:val="00FE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53E27-C0F2-4C55-A50D-BE948E75E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Frost, Vodafone</dc:creator>
  <cp:lastModifiedBy>Siva Subramani (Vodafone)</cp:lastModifiedBy>
  <cp:revision>2</cp:revision>
  <dcterms:created xsi:type="dcterms:W3CDTF">2016-08-12T16:08:00Z</dcterms:created>
  <dcterms:modified xsi:type="dcterms:W3CDTF">2016-08-12T16:08:00Z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-1205327156</vt:i4>
  </property>
  <property fmtid="{D5CDD505-2E9C-101B-9397-08002B2CF9AE}" pid="3" name="_NewReviewCycle">
    <vt:lpwstr/>
  </property>
  <property fmtid="{D5CDD505-2E9C-101B-9397-08002B2CF9AE}" pid="4" name="_EmailSubject">
    <vt:lpwstr>R1-167745.docx</vt:lpwstr>
  </property>
  <property fmtid="{D5CDD505-2E9C-101B-9397-08002B2CF9AE}" pid="5" name="_AuthorEmail">
    <vt:lpwstr>tim.frost@vodafone.com</vt:lpwstr>
  </property>
  <property fmtid="{D5CDD505-2E9C-101B-9397-08002B2CF9AE}" pid="6" name="_AuthorEmailDisplayName">
    <vt:lpwstr>Frost, Tim, Vodafone Group (tfrostf)</vt:lpwstr>
  </property>
  <property fmtid="{D5CDD505-2E9C-101B-9397-08002B2CF9AE}" pid="7" name="_PreviousAdHocReviewCycleID">
    <vt:i4>-1482919001</vt:i4>
  </property>
  <property fmtid="{D5CDD505-2E9C-101B-9397-08002B2CF9AE}" pid="8" name="_ReviewingToolsShownOnce">
    <vt:lpwstr/>
  </property>
</Properties>
</file>