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51E389" w14:textId="07A4C133"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bookmarkStart w:id="0" w:name="_GoBack"/>
      <w:bookmarkEnd w:id="0"/>
      <w:r w:rsidRPr="00446F9D">
        <w:t>TSG-RAN WG1 #</w:t>
      </w:r>
      <w:r w:rsidR="00C75368">
        <w:t>86</w:t>
      </w:r>
      <w:r w:rsidRPr="00446F9D">
        <w:tab/>
        <w:t>R1-</w:t>
      </w:r>
      <w:r>
        <w:t>16</w:t>
      </w:r>
      <w:r w:rsidR="002F4EDA">
        <w:t>7050</w:t>
      </w:r>
    </w:p>
    <w:p w14:paraId="4792CCEB" w14:textId="77777777" w:rsidR="00A85E54" w:rsidRPr="000833FA" w:rsidRDefault="00C75368" w:rsidP="00A85E54">
      <w:pPr>
        <w:pStyle w:val="Header"/>
        <w:rPr>
          <w:color w:val="000000"/>
        </w:rPr>
      </w:pPr>
      <w:r>
        <w:t>Gothenburg, Sweden, August 22 – 26, 2016</w:t>
      </w:r>
    </w:p>
    <w:p w14:paraId="65CC3E84" w14:textId="77777777" w:rsidR="00A85E54" w:rsidRPr="000833FA" w:rsidRDefault="00A85E54" w:rsidP="00A85E54">
      <w:pPr>
        <w:pStyle w:val="Header"/>
      </w:pPr>
    </w:p>
    <w:p w14:paraId="6787446A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4B587704" w14:textId="77777777"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037C51">
        <w:t xml:space="preserve">On </w:t>
      </w:r>
      <w:r w:rsidR="00E353CF">
        <w:t>symbol</w:t>
      </w:r>
      <w:r w:rsidR="00225474">
        <w:t xml:space="preserve"> scaling</w:t>
      </w:r>
    </w:p>
    <w:p w14:paraId="1BDAAC7F" w14:textId="5302FA78" w:rsidR="00FE5799" w:rsidRPr="0003368D" w:rsidRDefault="00FE5799" w:rsidP="00FE5799">
      <w:pPr>
        <w:pStyle w:val="Header"/>
        <w:tabs>
          <w:tab w:val="left" w:pos="1800"/>
        </w:tabs>
      </w:pPr>
      <w:r w:rsidRPr="00ED6711">
        <w:t>Agenda Item:</w:t>
      </w:r>
      <w:bookmarkStart w:id="2" w:name="Source"/>
      <w:bookmarkEnd w:id="2"/>
      <w:r w:rsidRPr="00ED6711">
        <w:tab/>
      </w:r>
      <w:r w:rsidR="00940F1D" w:rsidRPr="00ED6711">
        <w:t>8</w:t>
      </w:r>
      <w:r w:rsidR="00B205BF">
        <w:t>.1.3.2</w:t>
      </w:r>
    </w:p>
    <w:p w14:paraId="2F184806" w14:textId="77777777"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518FD762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1646B634" w14:textId="77777777" w:rsidR="00F8152C" w:rsidRDefault="00F8152C" w:rsidP="00F8152C">
      <w:pPr>
        <w:pStyle w:val="Heading1"/>
        <w:tabs>
          <w:tab w:val="clear" w:pos="4536"/>
          <w:tab w:val="num" w:pos="567"/>
        </w:tabs>
        <w:spacing w:before="180"/>
        <w:ind w:left="562" w:hanging="562"/>
      </w:pPr>
      <w:r>
        <w:t>Introduction</w:t>
      </w:r>
    </w:p>
    <w:p w14:paraId="31C89613" w14:textId="77777777" w:rsidR="00225474" w:rsidRDefault="00225474" w:rsidP="00225474">
      <w:pPr>
        <w:pStyle w:val="BodyText"/>
      </w:pPr>
      <w:r>
        <w:t>At RAN1#85, a scalable numerology with the subcarrier spacing given by</w:t>
      </w:r>
    </w:p>
    <w:p w14:paraId="77321EAE" w14:textId="77777777" w:rsidR="00225474" w:rsidRDefault="008D3EA9" w:rsidP="00225474">
      <w:pPr>
        <w:pStyle w:val="BodyText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sc</m:t>
              </m:r>
            </m:sub>
          </m:sSub>
          <m:r>
            <w:rPr>
              <w:rFonts w:ascii="Cambria Math" w:hAnsi="Cambria Math"/>
            </w:rPr>
            <m:t>=15 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m:t>kHz</m:t>
          </m:r>
        </m:oMath>
      </m:oMathPara>
    </w:p>
    <w:p w14:paraId="58CFF9DD" w14:textId="77777777" w:rsidR="00225474" w:rsidRDefault="00225474" w:rsidP="00225474">
      <w:pPr>
        <w:pStyle w:val="BodyText"/>
      </w:pPr>
      <w:proofErr w:type="gramStart"/>
      <w:r>
        <w:t>was</w:t>
      </w:r>
      <w:proofErr w:type="gramEnd"/>
      <w:r>
        <w:t xml:space="preserve"> agreed. Furthermore, for </w:t>
      </w:r>
      <w:r>
        <w:rPr>
          <w:i/>
        </w:rPr>
        <w:t>n</w:t>
      </w:r>
      <w:r>
        <w:t>=0, the OFDM symbol boundaries are aligned with the LTE for normal cyclic prefix. Hence, the first of the seven OFDM symbols in a 0.5 </w:t>
      </w:r>
      <w:proofErr w:type="spellStart"/>
      <w:r>
        <w:t>ms</w:t>
      </w:r>
      <w:proofErr w:type="spellEnd"/>
      <w:r>
        <w:t xml:space="preserve"> period has a somewhat longer cyclic prefix than the other six OFDM symbols as illustrated in </w:t>
      </w:r>
      <w:r>
        <w:fldChar w:fldCharType="begin"/>
      </w:r>
      <w:r>
        <w:instrText xml:space="preserve"> REF _Ref457848887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464DB6">
        <w:t xml:space="preserve">. </w:t>
      </w:r>
      <w:r w:rsidR="00464DB6">
        <w:tab/>
      </w:r>
    </w:p>
    <w:p w14:paraId="3DB1687B" w14:textId="77777777" w:rsidR="00225474" w:rsidRDefault="00225474" w:rsidP="00225474">
      <w:pPr>
        <w:pStyle w:val="BodyText"/>
        <w:keepNext/>
      </w:pPr>
      <w:r w:rsidRPr="00225474">
        <w:rPr>
          <w:noProof/>
          <w:lang w:val="sv-SE" w:eastAsia="sv-SE"/>
        </w:rPr>
        <w:drawing>
          <wp:inline distT="0" distB="0" distL="0" distR="0" wp14:anchorId="70C32D2C" wp14:editId="0AA8F6CF">
            <wp:extent cx="4286250" cy="10128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833" cy="101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1FE50" w14:textId="77777777" w:rsidR="00225474" w:rsidRPr="00AE3947" w:rsidRDefault="00225474" w:rsidP="00225474">
      <w:pPr>
        <w:pStyle w:val="Caption"/>
        <w:jc w:val="both"/>
      </w:pPr>
      <w:bookmarkStart w:id="4" w:name="_Ref4578488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F7EC8">
        <w:rPr>
          <w:noProof/>
        </w:rPr>
        <w:t>1</w:t>
      </w:r>
      <w:r>
        <w:fldChar w:fldCharType="end"/>
      </w:r>
      <w:bookmarkEnd w:id="4"/>
      <w:r>
        <w:t>: Cyclic prefix lengths at 15 </w:t>
      </w:r>
      <w:proofErr w:type="gramStart"/>
      <w:r>
        <w:t>KHz</w:t>
      </w:r>
      <w:proofErr w:type="gramEnd"/>
      <w:r>
        <w:t xml:space="preserve"> subcarrier spacing.</w:t>
      </w:r>
    </w:p>
    <w:p w14:paraId="198635C8" w14:textId="77777777" w:rsidR="006210D6" w:rsidRDefault="006210D6" w:rsidP="006210D6">
      <w:pPr>
        <w:pStyle w:val="Heading1"/>
        <w:tabs>
          <w:tab w:val="clear" w:pos="4536"/>
          <w:tab w:val="num" w:pos="567"/>
        </w:tabs>
        <w:spacing w:before="180"/>
        <w:ind w:left="562" w:hanging="562"/>
      </w:pPr>
      <w:r>
        <w:t>Discussion</w:t>
      </w:r>
    </w:p>
    <w:p w14:paraId="4CC9F0A7" w14:textId="46E1AC18" w:rsidR="00F31493" w:rsidRDefault="00F31493" w:rsidP="00F31493">
      <w:pPr>
        <w:pStyle w:val="BodyText"/>
      </w:pPr>
      <w:r>
        <w:t xml:space="preserve">The fact that the first OFDM symbol in </w:t>
      </w:r>
      <w:r w:rsidR="002370AC">
        <w:t>a 0.5</w:t>
      </w:r>
      <w:r>
        <w:t xml:space="preserve"> </w:t>
      </w:r>
      <w:proofErr w:type="spellStart"/>
      <w:r>
        <w:t>ms</w:t>
      </w:r>
      <w:proofErr w:type="spellEnd"/>
      <w:r>
        <w:t xml:space="preserve"> period (at 15 </w:t>
      </w:r>
      <w:proofErr w:type="gramStart"/>
      <w:r>
        <w:t>kHz</w:t>
      </w:r>
      <w:proofErr w:type="gramEnd"/>
      <w:r>
        <w:t>) has a slightly longer cyclic prefix raises the question how to scale the OFDM symbol boundaries for other numerologies. Two basic approaches can be envisioned:</w:t>
      </w:r>
    </w:p>
    <w:p w14:paraId="7A221CF1" w14:textId="77777777" w:rsidR="00F31493" w:rsidRDefault="00F31493" w:rsidP="00F31493">
      <w:pPr>
        <w:pStyle w:val="BodyText"/>
        <w:numPr>
          <w:ilvl w:val="0"/>
          <w:numId w:val="18"/>
        </w:numPr>
      </w:pPr>
      <w:r>
        <w:t>direct scaling of the LTE slot (left part of</w:t>
      </w:r>
      <w:r w:rsidR="002F6C15">
        <w:t xml:space="preserve"> </w:t>
      </w:r>
      <w:r w:rsidR="002F6C15">
        <w:fldChar w:fldCharType="begin"/>
      </w:r>
      <w:r w:rsidR="002F6C15">
        <w:instrText xml:space="preserve"> REF _Ref457849732 \h </w:instrText>
      </w:r>
      <w:r w:rsidR="002F6C15">
        <w:fldChar w:fldCharType="separate"/>
      </w:r>
      <w:r w:rsidR="002F6C15">
        <w:t xml:space="preserve">Figure </w:t>
      </w:r>
      <w:r w:rsidR="002F6C15">
        <w:rPr>
          <w:noProof/>
        </w:rPr>
        <w:t>2</w:t>
      </w:r>
      <w:r w:rsidR="002F6C15">
        <w:fldChar w:fldCharType="end"/>
      </w:r>
      <w:r w:rsidR="002F6C15">
        <w:t>), or</w:t>
      </w:r>
    </w:p>
    <w:p w14:paraId="09BD476F" w14:textId="77777777" w:rsidR="00F31493" w:rsidRDefault="00F31493" w:rsidP="00F31493">
      <w:pPr>
        <w:pStyle w:val="BodyText"/>
        <w:numPr>
          <w:ilvl w:val="0"/>
          <w:numId w:val="18"/>
        </w:numPr>
      </w:pPr>
      <w:proofErr w:type="gramStart"/>
      <w:r>
        <w:t>maintaining</w:t>
      </w:r>
      <w:proofErr w:type="gramEnd"/>
      <w:r>
        <w:t xml:space="preserve"> symbol boundaries a</w:t>
      </w:r>
      <w:r w:rsidR="002F6C15">
        <w:t xml:space="preserve">cross numerologies (right part of </w:t>
      </w:r>
      <w:r w:rsidR="002F6C15">
        <w:fldChar w:fldCharType="begin"/>
      </w:r>
      <w:r w:rsidR="002F6C15">
        <w:instrText xml:space="preserve"> REF _Ref457849732 \h </w:instrText>
      </w:r>
      <w:r w:rsidR="002F6C15">
        <w:fldChar w:fldCharType="separate"/>
      </w:r>
      <w:r w:rsidR="002F6C15">
        <w:t xml:space="preserve">Figure </w:t>
      </w:r>
      <w:r w:rsidR="002F6C15">
        <w:rPr>
          <w:noProof/>
        </w:rPr>
        <w:t>2</w:t>
      </w:r>
      <w:r w:rsidR="002F6C15">
        <w:fldChar w:fldCharType="end"/>
      </w:r>
      <w:r w:rsidR="002F6C15">
        <w:t>).</w:t>
      </w:r>
    </w:p>
    <w:p w14:paraId="0508C300" w14:textId="4E2828A7" w:rsidR="00F92636" w:rsidRDefault="002F6C15" w:rsidP="002F6C15">
      <w:pPr>
        <w:pStyle w:val="BodyText"/>
      </w:pPr>
      <w:r>
        <w:t xml:space="preserve">Note that scaling may go both upwards to higher subcarrier </w:t>
      </w:r>
      <w:proofErr w:type="spellStart"/>
      <w:r>
        <w:t>spacings</w:t>
      </w:r>
      <w:proofErr w:type="spellEnd"/>
      <w:r>
        <w:t xml:space="preserve"> (positive </w:t>
      </w:r>
      <w:r>
        <w:rPr>
          <w:i/>
        </w:rPr>
        <w:t>n</w:t>
      </w:r>
      <w:r>
        <w:t xml:space="preserve">) as well as downwards to lower subcarrier </w:t>
      </w:r>
      <w:proofErr w:type="spellStart"/>
      <w:r>
        <w:t>spacings</w:t>
      </w:r>
      <w:proofErr w:type="spellEnd"/>
      <w:r>
        <w:t xml:space="preserve"> (negative </w:t>
      </w:r>
      <w:r>
        <w:rPr>
          <w:i/>
        </w:rPr>
        <w:t>n</w:t>
      </w:r>
      <w:r>
        <w:t>) and the scheme adopted must support both alternatives.</w:t>
      </w:r>
      <w:r w:rsidR="00F92636">
        <w:t xml:space="preserve"> When moving upwards to higher subcarrier </w:t>
      </w:r>
      <w:proofErr w:type="spellStart"/>
      <w:r w:rsidR="00F92636">
        <w:t>spacings</w:t>
      </w:r>
      <w:proofErr w:type="spellEnd"/>
      <w:r w:rsidR="00F92636">
        <w:t xml:space="preserve">, each symbol in the original numerology is split into two. Similarly, when moving towards </w:t>
      </w:r>
      <w:proofErr w:type="gramStart"/>
      <w:r w:rsidR="00F92636">
        <w:t>a</w:t>
      </w:r>
      <w:r w:rsidR="00F02836">
        <w:t xml:space="preserve"> </w:t>
      </w:r>
      <w:r w:rsidR="00F92636">
        <w:t>lower</w:t>
      </w:r>
      <w:proofErr w:type="gramEnd"/>
      <w:r w:rsidR="00F92636">
        <w:t xml:space="preserve"> subcarrier spacing, two symbols are merged into one longer symbol.</w:t>
      </w:r>
    </w:p>
    <w:p w14:paraId="2C5F1FCD" w14:textId="112A0C80" w:rsidR="002F6C15" w:rsidRDefault="002F6C15" w:rsidP="002F6C15">
      <w:pPr>
        <w:pStyle w:val="BodyText"/>
      </w:pPr>
      <w:r>
        <w:t>Adopting a direct scaling of the LTE slot structure is straight forward to describe</w:t>
      </w:r>
      <w:r w:rsidR="00476B99">
        <w:t>; n</w:t>
      </w:r>
      <w:r w:rsidR="00975C20">
        <w:t>umerologies other than 15 </w:t>
      </w:r>
      <w:proofErr w:type="gramStart"/>
      <w:r w:rsidR="00975C20">
        <w:t>kHz</w:t>
      </w:r>
      <w:proofErr w:type="gramEnd"/>
      <w:r w:rsidR="00975C20">
        <w:t xml:space="preserve"> can simply be described as </w:t>
      </w:r>
      <w:r w:rsidR="002370AC">
        <w:t>scaling</w:t>
      </w:r>
      <w:r w:rsidR="00975C20">
        <w:t xml:space="preserve"> of an LTE slot. Seven OFDM symbols would in this case be exactly 0.25 </w:t>
      </w:r>
      <w:proofErr w:type="spellStart"/>
      <w:r w:rsidR="00975C20">
        <w:t>ms</w:t>
      </w:r>
      <w:proofErr w:type="spellEnd"/>
      <w:r w:rsidR="00975C20">
        <w:t xml:space="preserve"> long at </w:t>
      </w:r>
      <w:r w:rsidR="00FB4E7B">
        <w:t xml:space="preserve">30 </w:t>
      </w:r>
      <w:r w:rsidR="00975C20">
        <w:t>kHz, 0.125 </w:t>
      </w:r>
      <w:proofErr w:type="spellStart"/>
      <w:r w:rsidR="00975C20">
        <w:t>ms</w:t>
      </w:r>
      <w:proofErr w:type="spellEnd"/>
      <w:r w:rsidR="00975C20">
        <w:t xml:space="preserve"> long at 60 </w:t>
      </w:r>
      <w:proofErr w:type="gramStart"/>
      <w:r w:rsidR="00975C20">
        <w:t>kHz</w:t>
      </w:r>
      <w:proofErr w:type="gramEnd"/>
      <w:r w:rsidR="00975C20">
        <w:t>, etc.</w:t>
      </w:r>
    </w:p>
    <w:p w14:paraId="152E3909" w14:textId="0614F50C" w:rsidR="00476B99" w:rsidRDefault="00975C20" w:rsidP="00476B99">
      <w:pPr>
        <w:pStyle w:val="BodyText"/>
      </w:pPr>
      <w:r>
        <w:t xml:space="preserve">Maintaining symbol alignment across different numerologies provides the benefit of symbol boundaries being aligned between different numerologies. In the right part of </w:t>
      </w:r>
      <w:r>
        <w:fldChar w:fldCharType="begin"/>
      </w:r>
      <w:r>
        <w:instrText xml:space="preserve"> REF _Ref457849732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, each symbol is split in half when going to higher subcarrier </w:t>
      </w:r>
      <w:proofErr w:type="spellStart"/>
      <w:r>
        <w:t>spacings</w:t>
      </w:r>
      <w:proofErr w:type="spellEnd"/>
      <w:r>
        <w:t xml:space="preserve">, resulting in the first two symbols having longer cyclic prefix in a 0.5 </w:t>
      </w:r>
      <w:proofErr w:type="spellStart"/>
      <w:r>
        <w:t>ms</w:t>
      </w:r>
      <w:proofErr w:type="spellEnd"/>
      <w:r>
        <w:t xml:space="preserve"> period at 30 </w:t>
      </w:r>
      <w:proofErr w:type="gramStart"/>
      <w:r>
        <w:t>kHz</w:t>
      </w:r>
      <w:proofErr w:type="gramEnd"/>
      <w:r>
        <w:t xml:space="preserve"> (and four at 60 kHz, </w:t>
      </w:r>
      <w:proofErr w:type="spellStart"/>
      <w:r>
        <w:t>etc</w:t>
      </w:r>
      <w:proofErr w:type="spellEnd"/>
      <w:r>
        <w:t xml:space="preserve">). Alternatively, the longer cyclic prefix could be absorbed by the first symbol also for higher subcarrier </w:t>
      </w:r>
      <w:proofErr w:type="spellStart"/>
      <w:r>
        <w:t>spacings</w:t>
      </w:r>
      <w:proofErr w:type="spellEnd"/>
      <w:r>
        <w:t>.</w:t>
      </w:r>
      <w:r w:rsidR="000B4762">
        <w:t xml:space="preserve"> The two </w:t>
      </w:r>
      <w:r w:rsidR="0023104B">
        <w:t>alternatives</w:t>
      </w:r>
      <w:r w:rsidR="000B4762">
        <w:t xml:space="preserve"> for maintaining symbol alignment are illustrated in </w:t>
      </w:r>
      <w:r w:rsidR="000B4762">
        <w:fldChar w:fldCharType="begin"/>
      </w:r>
      <w:r w:rsidR="000B4762">
        <w:instrText xml:space="preserve"> REF _Ref458518691 \h </w:instrText>
      </w:r>
      <w:r w:rsidR="000B4762">
        <w:fldChar w:fldCharType="separate"/>
      </w:r>
      <w:r w:rsidR="000B4762">
        <w:t xml:space="preserve">Figure </w:t>
      </w:r>
      <w:r w:rsidR="000B4762">
        <w:rPr>
          <w:noProof/>
        </w:rPr>
        <w:t>3</w:t>
      </w:r>
      <w:r w:rsidR="000B4762">
        <w:fldChar w:fldCharType="end"/>
      </w:r>
      <w:r w:rsidR="000B4762">
        <w:t>.</w:t>
      </w:r>
      <w:r>
        <w:t xml:space="preserve"> </w:t>
      </w:r>
      <w:r w:rsidR="00476B99">
        <w:t xml:space="preserve">There will always be an integer number of OFDM symbols per 0.5 </w:t>
      </w:r>
      <w:proofErr w:type="spellStart"/>
      <w:r w:rsidR="00476B99">
        <w:t>ms</w:t>
      </w:r>
      <w:proofErr w:type="spellEnd"/>
      <w:r w:rsidR="00476B99">
        <w:t xml:space="preserve"> interval (for subcarrier </w:t>
      </w:r>
      <w:proofErr w:type="spellStart"/>
      <w:r w:rsidR="00476B99">
        <w:t>spacings</w:t>
      </w:r>
      <w:proofErr w:type="spellEnd"/>
      <w:r w:rsidR="00476B99">
        <w:t xml:space="preserve"> of 15 kHz or larger).</w:t>
      </w:r>
    </w:p>
    <w:p w14:paraId="2C0AA167" w14:textId="17FD4877" w:rsidR="00ED6711" w:rsidRDefault="00476B99" w:rsidP="002F6C15">
      <w:pPr>
        <w:pStyle w:val="BodyText"/>
      </w:pPr>
      <w:r>
        <w:t>Time-multiplexing of different numerologies</w:t>
      </w:r>
      <w:r w:rsidR="00ED6711">
        <w:t xml:space="preserve"> such that</w:t>
      </w:r>
      <w:r>
        <w:t>, as an example,</w:t>
      </w:r>
      <w:r w:rsidR="00ED6711">
        <w:t xml:space="preserve"> one OFDM symbol at 15 kHz can be replaced by two OFDM symbols at 30 kHz</w:t>
      </w:r>
      <w:r>
        <w:t xml:space="preserve">, is in principle possible for all the scaling approaches. </w:t>
      </w:r>
      <w:r w:rsidR="00ED6711">
        <w:t>How</w:t>
      </w:r>
      <w:r>
        <w:t>ever, in case of direct scaling</w:t>
      </w:r>
      <w:proofErr w:type="gramStart"/>
      <w:r>
        <w:t xml:space="preserve">, </w:t>
      </w:r>
      <w:r w:rsidR="00ED6711">
        <w:t xml:space="preserve"> </w:t>
      </w:r>
      <w:r>
        <w:t>the</w:t>
      </w:r>
      <w:proofErr w:type="gramEnd"/>
      <w:r>
        <w:t xml:space="preserve"> “OFDM symbol clock” for </w:t>
      </w:r>
      <w:r w:rsidR="00ED6711">
        <w:t xml:space="preserve">the two 30 kHz symbols on a </w:t>
      </w:r>
      <w:r>
        <w:t xml:space="preserve">15 kHz </w:t>
      </w:r>
      <w:r w:rsidR="00ED6711">
        <w:t>carrier part will</w:t>
      </w:r>
      <w:r>
        <w:t xml:space="preserve"> not be aligned with the “OFDM symbol clock” for a pure 30 kHz carrier part as illustrated in </w:t>
      </w:r>
      <w:r>
        <w:fldChar w:fldCharType="begin"/>
      </w:r>
      <w:r>
        <w:instrText xml:space="preserve"> REF _Ref458683802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. </w:t>
      </w:r>
      <w:r w:rsidR="00ED6711">
        <w:t>This complication is not present if the symbol bounda</w:t>
      </w:r>
      <w:r>
        <w:t>ries are aligned from the start. It is therefore proposed to maintain the symbol boundaries across different numerologies</w:t>
      </w:r>
      <w:r w:rsidR="00766F3B">
        <w:t xml:space="preserve"> to simplify implementation of multi-numerology capable equipment.</w:t>
      </w:r>
    </w:p>
    <w:p w14:paraId="1FB017D4" w14:textId="385F7318" w:rsidR="002F6C15" w:rsidRDefault="00F92636" w:rsidP="002F6C15">
      <w:pPr>
        <w:pStyle w:val="BodyText"/>
        <w:keepNext/>
      </w:pPr>
      <w:r w:rsidRPr="00F92636">
        <w:rPr>
          <w:noProof/>
          <w:lang w:val="sv-SE" w:eastAsia="sv-SE"/>
        </w:rPr>
        <w:lastRenderedPageBreak/>
        <w:drawing>
          <wp:inline distT="0" distB="0" distL="0" distR="0" wp14:anchorId="57131E52" wp14:editId="0862D07C">
            <wp:extent cx="5760720" cy="251681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16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EDE95" w14:textId="33E9FD66" w:rsidR="00F31493" w:rsidRDefault="002F6C15" w:rsidP="002F6C15">
      <w:pPr>
        <w:pStyle w:val="Caption"/>
        <w:jc w:val="both"/>
      </w:pPr>
      <w:bookmarkStart w:id="5" w:name="_Ref4578497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F7EC8">
        <w:rPr>
          <w:noProof/>
        </w:rPr>
        <w:t>2</w:t>
      </w:r>
      <w:r>
        <w:fldChar w:fldCharType="end"/>
      </w:r>
      <w:bookmarkEnd w:id="5"/>
      <w:r>
        <w:t>: Direct scaling of LTE slot (left), maintaining symbol alignment across numerologies (right).</w:t>
      </w:r>
      <w:r w:rsidR="00F92636" w:rsidRPr="00F92636">
        <w:t xml:space="preserve"> </w:t>
      </w:r>
      <w:r w:rsidR="00F92636">
        <w:t>Symbols with slightly longer CP are colored in light orange.</w:t>
      </w:r>
    </w:p>
    <w:p w14:paraId="31941EBF" w14:textId="78C94D8B" w:rsidR="000B4762" w:rsidRDefault="0023104B" w:rsidP="000B4762">
      <w:pPr>
        <w:keepNext/>
      </w:pPr>
      <w:r>
        <w:object w:dxaOrig="23922" w:dyaOrig="1128" w14:anchorId="2E9267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3.5pt;height:74pt" o:ole="">
            <v:imagedata r:id="rId11" o:title=""/>
          </v:shape>
          <o:OLEObject Type="Embed" ProgID="Excel.Sheet.12" ShapeID="_x0000_i1025" DrawAspect="Content" ObjectID="_1532518700" r:id="rId12"/>
        </w:object>
      </w:r>
    </w:p>
    <w:p w14:paraId="21ED6CD1" w14:textId="054283F8" w:rsidR="00F92636" w:rsidRDefault="000B4762" w:rsidP="00F92636">
      <w:pPr>
        <w:pStyle w:val="Caption"/>
      </w:pPr>
      <w:bookmarkStart w:id="6" w:name="_Ref4585186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F7EC8">
        <w:rPr>
          <w:noProof/>
        </w:rPr>
        <w:t>3</w:t>
      </w:r>
      <w:r>
        <w:fldChar w:fldCharType="end"/>
      </w:r>
      <w:bookmarkEnd w:id="6"/>
      <w:r>
        <w:t>: OFDM symbol lengths (</w:t>
      </w:r>
      <w:proofErr w:type="spellStart"/>
      <w:r>
        <w:t>incl</w:t>
      </w:r>
      <w:proofErr w:type="spellEnd"/>
      <w:r>
        <w:t xml:space="preserve"> CP) in multiples of LTE </w:t>
      </w:r>
      <w:proofErr w:type="spellStart"/>
      <w:r w:rsidRPr="002370AC">
        <w:rPr>
          <w:i/>
        </w:rPr>
        <w:t>T</w:t>
      </w:r>
      <w:r w:rsidRPr="002370AC">
        <w:rPr>
          <w:vertAlign w:val="subscript"/>
        </w:rPr>
        <w:t>s</w:t>
      </w:r>
      <w:proofErr w:type="spellEnd"/>
      <w:r>
        <w:t xml:space="preserve"> when maintaining symbol alignment across numerologies (open the excel object for a better view).</w:t>
      </w:r>
      <w:r w:rsidR="00F92636">
        <w:t xml:space="preserve"> Symbols with slightly longer CP are colored in light orange.</w:t>
      </w:r>
    </w:p>
    <w:p w14:paraId="5EFE9095" w14:textId="2A896345" w:rsidR="007F7EC8" w:rsidRDefault="00476B99" w:rsidP="007F7EC8">
      <w:pPr>
        <w:keepNext/>
      </w:pPr>
      <w:r w:rsidRPr="00476B99">
        <w:rPr>
          <w:noProof/>
          <w:lang w:val="sv-SE" w:eastAsia="sv-SE"/>
        </w:rPr>
        <w:drawing>
          <wp:inline distT="0" distB="0" distL="0" distR="0" wp14:anchorId="232CFA6B" wp14:editId="6EEF5A95">
            <wp:extent cx="5760720" cy="117877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78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17786" w14:textId="13F1299F" w:rsidR="007F7EC8" w:rsidRPr="007F7EC8" w:rsidRDefault="007F7EC8" w:rsidP="007F7EC8">
      <w:pPr>
        <w:pStyle w:val="Caption"/>
      </w:pPr>
      <w:bookmarkStart w:id="7" w:name="_Ref4586838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7"/>
      <w:r>
        <w:t xml:space="preserve">: </w:t>
      </w:r>
      <w:r w:rsidR="00476B99">
        <w:t>Example</w:t>
      </w:r>
      <w:r>
        <w:t xml:space="preserve"> of time-multiplexing different numerologies</w:t>
      </w:r>
      <w:r w:rsidR="00476B99">
        <w:t xml:space="preserve"> (one 15 kHz symbol replaced by two 30 </w:t>
      </w:r>
      <w:proofErr w:type="gramStart"/>
      <w:r w:rsidR="00476B99">
        <w:t>kHz</w:t>
      </w:r>
      <w:proofErr w:type="gramEnd"/>
      <w:r w:rsidR="00476B99">
        <w:t xml:space="preserve"> symbols).</w:t>
      </w:r>
    </w:p>
    <w:p w14:paraId="20FDC74F" w14:textId="77777777" w:rsidR="00793153" w:rsidRDefault="006210D6" w:rsidP="006210D6">
      <w:pPr>
        <w:pStyle w:val="Heading1"/>
        <w:tabs>
          <w:tab w:val="clear" w:pos="4536"/>
          <w:tab w:val="num" w:pos="567"/>
        </w:tabs>
        <w:spacing w:before="180"/>
        <w:ind w:left="562" w:hanging="562"/>
      </w:pPr>
      <w:r>
        <w:t>Conclusion</w:t>
      </w:r>
    </w:p>
    <w:p w14:paraId="3A91DBA6" w14:textId="77777777" w:rsidR="00766F3B" w:rsidRDefault="000B4762" w:rsidP="00ED6711">
      <w:pPr>
        <w:pStyle w:val="BodyText"/>
      </w:pPr>
      <w:r>
        <w:t xml:space="preserve">It is proposed to </w:t>
      </w:r>
    </w:p>
    <w:p w14:paraId="3049BC03" w14:textId="77777777" w:rsidR="00766F3B" w:rsidRDefault="00ED6711" w:rsidP="00766F3B">
      <w:pPr>
        <w:pStyle w:val="BodyText"/>
        <w:numPr>
          <w:ilvl w:val="0"/>
          <w:numId w:val="21"/>
        </w:numPr>
      </w:pPr>
      <w:r>
        <w:t xml:space="preserve">maintain symbol boundary alignment across different numerologies as illustrated in the right part of </w:t>
      </w:r>
      <w:r>
        <w:fldChar w:fldCharType="begin"/>
      </w:r>
      <w:r>
        <w:instrText xml:space="preserve"> REF _Ref457849732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 w:rsidR="00A200B1">
        <w:t xml:space="preserve"> </w:t>
      </w:r>
    </w:p>
    <w:p w14:paraId="2B6524D9" w14:textId="17BE8BBF" w:rsidR="00ED6711" w:rsidRDefault="00A200B1" w:rsidP="00766F3B">
      <w:pPr>
        <w:pStyle w:val="BodyText"/>
      </w:pPr>
      <w:proofErr w:type="gramStart"/>
      <w:r>
        <w:t>together</w:t>
      </w:r>
      <w:proofErr w:type="gramEnd"/>
      <w:r>
        <w:t xml:space="preserve"> with</w:t>
      </w:r>
    </w:p>
    <w:p w14:paraId="19F54F25" w14:textId="15ECFA5E" w:rsidR="00A200B1" w:rsidRDefault="00A200B1" w:rsidP="00A200B1">
      <w:pPr>
        <w:pStyle w:val="BodyText"/>
        <w:numPr>
          <w:ilvl w:val="0"/>
          <w:numId w:val="19"/>
        </w:numPr>
      </w:pPr>
      <w:r>
        <w:t xml:space="preserve">defining a </w:t>
      </w:r>
      <w:proofErr w:type="spellStart"/>
      <w:r>
        <w:t>subframe</w:t>
      </w:r>
      <w:proofErr w:type="spellEnd"/>
      <w:r>
        <w:t xml:space="preserve"> as 0.5 </w:t>
      </w:r>
      <w:proofErr w:type="spellStart"/>
      <w:r>
        <w:t>ms</w:t>
      </w:r>
      <w:proofErr w:type="spellEnd"/>
      <w:r>
        <w:t xml:space="preserve"> for subcarrier </w:t>
      </w:r>
      <w:proofErr w:type="spellStart"/>
      <w:r>
        <w:t>spacings</w:t>
      </w:r>
      <w:proofErr w:type="spellEnd"/>
      <w:r>
        <w:t xml:space="preserve"> of 15 kHz and higher </w:t>
      </w:r>
      <w:r>
        <w:fldChar w:fldCharType="begin"/>
      </w:r>
      <w:r>
        <w:instrText xml:space="preserve"> REF _Ref458676856 \r \h </w:instrText>
      </w:r>
      <w:r>
        <w:fldChar w:fldCharType="separate"/>
      </w:r>
      <w:r>
        <w:t>[2]</w:t>
      </w:r>
      <w:r>
        <w:fldChar w:fldCharType="end"/>
      </w:r>
      <w:r>
        <w:t>, and</w:t>
      </w:r>
    </w:p>
    <w:p w14:paraId="42D3D89F" w14:textId="26BFEBFD" w:rsidR="00225474" w:rsidRDefault="00A200B1" w:rsidP="00ED6711">
      <w:pPr>
        <w:pStyle w:val="BodyText"/>
        <w:numPr>
          <w:ilvl w:val="0"/>
          <w:numId w:val="19"/>
        </w:numPr>
      </w:pPr>
      <w:proofErr w:type="gramStart"/>
      <w:r>
        <w:t>allowing</w:t>
      </w:r>
      <w:proofErr w:type="gramEnd"/>
      <w:r>
        <w:t xml:space="preserve"> transmissions to start not only at the </w:t>
      </w:r>
      <w:proofErr w:type="spellStart"/>
      <w:r>
        <w:t>subframe</w:t>
      </w:r>
      <w:proofErr w:type="spellEnd"/>
      <w:r>
        <w:t xml:space="preserve"> boundaries </w:t>
      </w:r>
      <w:r>
        <w:fldChar w:fldCharType="begin"/>
      </w:r>
      <w:r>
        <w:instrText xml:space="preserve"> REF _Ref449604093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59D21D22" w14:textId="77777777" w:rsidR="00ED6711" w:rsidRDefault="00ED6711" w:rsidP="00ED6711">
      <w:pPr>
        <w:pStyle w:val="Heading1"/>
        <w:spacing w:before="180"/>
        <w:ind w:left="562" w:hanging="562"/>
      </w:pPr>
      <w:r>
        <w:t>References</w:t>
      </w:r>
    </w:p>
    <w:p w14:paraId="6CB47B57" w14:textId="7182E8D0" w:rsidR="00ED6711" w:rsidRPr="00536735" w:rsidRDefault="00ED6711" w:rsidP="00ED6711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8" w:name="_Ref445818173"/>
      <w:bookmarkStart w:id="9" w:name="_Ref449604093"/>
      <w:r>
        <w:t xml:space="preserve">R1-167047, </w:t>
      </w:r>
      <w:bookmarkEnd w:id="8"/>
      <w:r>
        <w:t>“</w:t>
      </w:r>
      <w:r w:rsidRPr="00ED6711">
        <w:t>On smallest schedulable unit</w:t>
      </w:r>
      <w:r>
        <w:t>”, Ericsson</w:t>
      </w:r>
      <w:bookmarkEnd w:id="9"/>
    </w:p>
    <w:p w14:paraId="6A854165" w14:textId="26594188" w:rsidR="00536735" w:rsidRPr="00425E34" w:rsidRDefault="00536735" w:rsidP="00ED6711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10" w:name="_Ref458676856"/>
      <w:r>
        <w:t xml:space="preserve">R1-167049, “On </w:t>
      </w:r>
      <w:proofErr w:type="spellStart"/>
      <w:r>
        <w:t>subframe</w:t>
      </w:r>
      <w:proofErr w:type="spellEnd"/>
      <w:r>
        <w:t xml:space="preserve"> scaling”, Ericsson</w:t>
      </w:r>
      <w:bookmarkEnd w:id="10"/>
    </w:p>
    <w:p w14:paraId="4CE4222D" w14:textId="77777777" w:rsidR="00ED6711" w:rsidRPr="00ED6711" w:rsidRDefault="00ED6711" w:rsidP="00ED6711">
      <w:pPr>
        <w:pStyle w:val="BodyText"/>
        <w:rPr>
          <w:lang w:val="it-IT"/>
        </w:rPr>
      </w:pPr>
    </w:p>
    <w:p w14:paraId="2D02CAB5" w14:textId="77777777" w:rsidR="001A4D85" w:rsidRDefault="001A4D85" w:rsidP="00225474">
      <w:pPr>
        <w:pStyle w:val="BodyText"/>
      </w:pPr>
    </w:p>
    <w:sectPr w:rsidR="001A4D85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3033FF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92F95" w14:textId="77777777" w:rsidR="008D3EA9" w:rsidRDefault="008D3EA9">
      <w:r>
        <w:separator/>
      </w:r>
    </w:p>
  </w:endnote>
  <w:endnote w:type="continuationSeparator" w:id="0">
    <w:p w14:paraId="4E347BF8" w14:textId="77777777" w:rsidR="008D3EA9" w:rsidRDefault="008D3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3C231C" w14:textId="77777777" w:rsidR="008D3EA9" w:rsidRDefault="008D3EA9">
      <w:r>
        <w:separator/>
      </w:r>
    </w:p>
  </w:footnote>
  <w:footnote w:type="continuationSeparator" w:id="0">
    <w:p w14:paraId="3423D223" w14:textId="77777777" w:rsidR="008D3EA9" w:rsidRDefault="008D3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98852" w14:textId="77777777" w:rsidR="004D4F57" w:rsidRDefault="008D3EA9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602C"/>
    <w:multiLevelType w:val="hybridMultilevel"/>
    <w:tmpl w:val="8F4243C2"/>
    <w:lvl w:ilvl="0" w:tplc="064E218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41412"/>
    <w:multiLevelType w:val="hybridMultilevel"/>
    <w:tmpl w:val="4822D382"/>
    <w:lvl w:ilvl="0" w:tplc="A02E94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80BEE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C8830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DEF2A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F0B72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0F4A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2E7F3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2A26C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A296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32C2378"/>
    <w:multiLevelType w:val="hybridMultilevel"/>
    <w:tmpl w:val="BDC0E2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438F5"/>
    <w:multiLevelType w:val="hybridMultilevel"/>
    <w:tmpl w:val="8E7476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0F0514"/>
    <w:multiLevelType w:val="hybridMultilevel"/>
    <w:tmpl w:val="9D487942"/>
    <w:lvl w:ilvl="0" w:tplc="FDE6EFC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5062FD"/>
    <w:multiLevelType w:val="hybridMultilevel"/>
    <w:tmpl w:val="8AFEA4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E55D56"/>
    <w:multiLevelType w:val="hybridMultilevel"/>
    <w:tmpl w:val="09904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337844"/>
    <w:multiLevelType w:val="hybridMultilevel"/>
    <w:tmpl w:val="48C2CD6A"/>
    <w:lvl w:ilvl="0" w:tplc="10D2917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849A74">
      <w:start w:val="46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75C8B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A01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5A31F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C216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C18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A08D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CCEC9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7907D3F"/>
    <w:multiLevelType w:val="hybridMultilevel"/>
    <w:tmpl w:val="5E80C7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907192"/>
    <w:multiLevelType w:val="hybridMultilevel"/>
    <w:tmpl w:val="664CE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E1234E"/>
    <w:multiLevelType w:val="hybridMultilevel"/>
    <w:tmpl w:val="4A0C18B8"/>
    <w:lvl w:ilvl="0" w:tplc="D07A6F8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0ABA0">
      <w:start w:val="2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BC28E4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1E42B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361AE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E2C2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23D3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2C5AC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1AF8A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7A1689F"/>
    <w:multiLevelType w:val="hybridMultilevel"/>
    <w:tmpl w:val="C570DA8E"/>
    <w:lvl w:ilvl="0" w:tplc="064E218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4536"/>
        </w:tabs>
        <w:ind w:left="4536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8"/>
  </w:num>
  <w:num w:numId="2">
    <w:abstractNumId w:val="7"/>
  </w:num>
  <w:num w:numId="3">
    <w:abstractNumId w:val="4"/>
  </w:num>
  <w:num w:numId="4">
    <w:abstractNumId w:val="9"/>
  </w:num>
  <w:num w:numId="5">
    <w:abstractNumId w:val="6"/>
  </w:num>
  <w:num w:numId="6">
    <w:abstractNumId w:val="3"/>
  </w:num>
  <w:num w:numId="7">
    <w:abstractNumId w:val="17"/>
  </w:num>
  <w:num w:numId="8">
    <w:abstractNumId w:val="18"/>
  </w:num>
  <w:num w:numId="9">
    <w:abstractNumId w:val="14"/>
  </w:num>
  <w:num w:numId="10">
    <w:abstractNumId w:val="13"/>
  </w:num>
  <w:num w:numId="11">
    <w:abstractNumId w:val="8"/>
  </w:num>
  <w:num w:numId="12">
    <w:abstractNumId w:val="0"/>
  </w:num>
  <w:num w:numId="13">
    <w:abstractNumId w:val="18"/>
  </w:num>
  <w:num w:numId="14">
    <w:abstractNumId w:val="15"/>
  </w:num>
  <w:num w:numId="15">
    <w:abstractNumId w:val="16"/>
  </w:num>
  <w:num w:numId="16">
    <w:abstractNumId w:val="12"/>
  </w:num>
  <w:num w:numId="17">
    <w:abstractNumId w:val="1"/>
  </w:num>
  <w:num w:numId="18">
    <w:abstractNumId w:val="10"/>
  </w:num>
  <w:num w:numId="19">
    <w:abstractNumId w:val="2"/>
  </w:num>
  <w:num w:numId="20">
    <w:abstractNumId w:val="11"/>
  </w:num>
  <w:num w:numId="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bert Baldemair">
    <w15:presenceInfo w15:providerId="AD" w15:userId="S-1-5-21-1538607324-3213881460-940295383-4899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17F8"/>
    <w:rsid w:val="00037C51"/>
    <w:rsid w:val="00084C23"/>
    <w:rsid w:val="00095971"/>
    <w:rsid w:val="000A258F"/>
    <w:rsid w:val="000B4762"/>
    <w:rsid w:val="000F4AF3"/>
    <w:rsid w:val="00112E18"/>
    <w:rsid w:val="00114B6A"/>
    <w:rsid w:val="00141448"/>
    <w:rsid w:val="00175D32"/>
    <w:rsid w:val="0017779E"/>
    <w:rsid w:val="00195FDC"/>
    <w:rsid w:val="001A4D85"/>
    <w:rsid w:val="001B4EFD"/>
    <w:rsid w:val="0021013F"/>
    <w:rsid w:val="00225474"/>
    <w:rsid w:val="0023104B"/>
    <w:rsid w:val="002370AC"/>
    <w:rsid w:val="00244EB4"/>
    <w:rsid w:val="0024523F"/>
    <w:rsid w:val="00264E3E"/>
    <w:rsid w:val="00290099"/>
    <w:rsid w:val="002A10FE"/>
    <w:rsid w:val="002F4EDA"/>
    <w:rsid w:val="002F6C15"/>
    <w:rsid w:val="00370FC8"/>
    <w:rsid w:val="00377B9E"/>
    <w:rsid w:val="003875A3"/>
    <w:rsid w:val="003D24B3"/>
    <w:rsid w:val="00422F7B"/>
    <w:rsid w:val="00463305"/>
    <w:rsid w:val="00464DB6"/>
    <w:rsid w:val="00476B99"/>
    <w:rsid w:val="00490C6E"/>
    <w:rsid w:val="004B57FD"/>
    <w:rsid w:val="004C6604"/>
    <w:rsid w:val="004F3A03"/>
    <w:rsid w:val="00505D01"/>
    <w:rsid w:val="005366D4"/>
    <w:rsid w:val="00536735"/>
    <w:rsid w:val="0054011B"/>
    <w:rsid w:val="0055264E"/>
    <w:rsid w:val="0058278C"/>
    <w:rsid w:val="005C439D"/>
    <w:rsid w:val="005D5C73"/>
    <w:rsid w:val="0061336B"/>
    <w:rsid w:val="006210D6"/>
    <w:rsid w:val="00660C2C"/>
    <w:rsid w:val="006A286A"/>
    <w:rsid w:val="007305FC"/>
    <w:rsid w:val="0075384C"/>
    <w:rsid w:val="00766F3B"/>
    <w:rsid w:val="00793153"/>
    <w:rsid w:val="007A01C0"/>
    <w:rsid w:val="007A7B94"/>
    <w:rsid w:val="007F6BE4"/>
    <w:rsid w:val="007F7EC8"/>
    <w:rsid w:val="0080582B"/>
    <w:rsid w:val="00834DE7"/>
    <w:rsid w:val="00835FF4"/>
    <w:rsid w:val="00887542"/>
    <w:rsid w:val="008B23D4"/>
    <w:rsid w:val="008D3EA9"/>
    <w:rsid w:val="00900918"/>
    <w:rsid w:val="00905998"/>
    <w:rsid w:val="00940F1D"/>
    <w:rsid w:val="009520B5"/>
    <w:rsid w:val="00975C20"/>
    <w:rsid w:val="009A6BB8"/>
    <w:rsid w:val="009B2E48"/>
    <w:rsid w:val="009B46C0"/>
    <w:rsid w:val="009E259F"/>
    <w:rsid w:val="00A200B1"/>
    <w:rsid w:val="00A47015"/>
    <w:rsid w:val="00A81AA1"/>
    <w:rsid w:val="00A85E54"/>
    <w:rsid w:val="00A97F1F"/>
    <w:rsid w:val="00AA13EF"/>
    <w:rsid w:val="00B205BF"/>
    <w:rsid w:val="00B30E35"/>
    <w:rsid w:val="00B368D9"/>
    <w:rsid w:val="00B96B6C"/>
    <w:rsid w:val="00BA202E"/>
    <w:rsid w:val="00BA2CDD"/>
    <w:rsid w:val="00BA76BC"/>
    <w:rsid w:val="00C11DBF"/>
    <w:rsid w:val="00C1560A"/>
    <w:rsid w:val="00C326A6"/>
    <w:rsid w:val="00C61496"/>
    <w:rsid w:val="00C75368"/>
    <w:rsid w:val="00C93774"/>
    <w:rsid w:val="00CA6DE0"/>
    <w:rsid w:val="00CE28B2"/>
    <w:rsid w:val="00CF2225"/>
    <w:rsid w:val="00CF67BE"/>
    <w:rsid w:val="00D02349"/>
    <w:rsid w:val="00D03119"/>
    <w:rsid w:val="00D04257"/>
    <w:rsid w:val="00D26287"/>
    <w:rsid w:val="00DA110D"/>
    <w:rsid w:val="00DA289B"/>
    <w:rsid w:val="00DB4258"/>
    <w:rsid w:val="00DE3421"/>
    <w:rsid w:val="00DF5C63"/>
    <w:rsid w:val="00E353CF"/>
    <w:rsid w:val="00E63D88"/>
    <w:rsid w:val="00E77A2E"/>
    <w:rsid w:val="00EC6CA5"/>
    <w:rsid w:val="00ED6711"/>
    <w:rsid w:val="00EE063C"/>
    <w:rsid w:val="00F02836"/>
    <w:rsid w:val="00F31493"/>
    <w:rsid w:val="00F37D49"/>
    <w:rsid w:val="00F434AA"/>
    <w:rsid w:val="00F621B3"/>
    <w:rsid w:val="00F8152C"/>
    <w:rsid w:val="00F92636"/>
    <w:rsid w:val="00FB4E7B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206CE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D5C73"/>
    <w:pPr>
      <w:spacing w:before="100" w:beforeAutospacing="1" w:after="100" w:afterAutospacing="1"/>
    </w:pPr>
    <w:rPr>
      <w:sz w:val="24"/>
      <w:lang w:val="sv-SE" w:eastAsia="sv-SE"/>
    </w:rPr>
  </w:style>
  <w:style w:type="table" w:styleId="TableGrid">
    <w:name w:val="Table Grid"/>
    <w:basedOn w:val="TableNormal"/>
    <w:uiPriority w:val="59"/>
    <w:rsid w:val="00660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D5C73"/>
    <w:pPr>
      <w:spacing w:before="100" w:beforeAutospacing="1" w:after="100" w:afterAutospacing="1"/>
    </w:pPr>
    <w:rPr>
      <w:sz w:val="24"/>
      <w:lang w:val="sv-SE" w:eastAsia="sv-SE"/>
    </w:rPr>
  </w:style>
  <w:style w:type="table" w:styleId="TableGrid">
    <w:name w:val="Table Grid"/>
    <w:basedOn w:val="TableNormal"/>
    <w:uiPriority w:val="59"/>
    <w:rsid w:val="00660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8770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40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299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8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192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541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21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1.xlsx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E80CC-CB77-40B2-A920-61597477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dcterms:created xsi:type="dcterms:W3CDTF">2016-08-12T12:52:00Z</dcterms:created>
  <dcterms:modified xsi:type="dcterms:W3CDTF">2016-08-12T12:52:00Z</dcterms:modified>
</cp:coreProperties>
</file>