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446F9D">
        <w:t>TSG-RAN WG1 #</w:t>
      </w:r>
      <w:r w:rsidR="00C75368">
        <w:t>86</w:t>
      </w:r>
      <w:r w:rsidRPr="00446F9D">
        <w:tab/>
        <w:t>R1-</w:t>
      </w:r>
      <w:r>
        <w:t>16</w:t>
      </w:r>
      <w:r w:rsidR="00B231EC">
        <w:t>7049</w:t>
      </w:r>
    </w:p>
    <w:p w:rsidR="00A85E54" w:rsidRPr="000833FA" w:rsidRDefault="00C75368" w:rsidP="00A85E54">
      <w:pPr>
        <w:pStyle w:val="Header"/>
        <w:rPr>
          <w:color w:val="000000"/>
        </w:rPr>
      </w:pPr>
      <w:r>
        <w:t>Gothenburg, Sweden, August 22 – 26, 2016</w:t>
      </w:r>
    </w:p>
    <w:p w:rsidR="00A85E54" w:rsidRPr="000833FA" w:rsidRDefault="00A85E54" w:rsidP="00A85E54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446255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037C51" w:rsidRPr="00446255">
        <w:t xml:space="preserve">On </w:t>
      </w:r>
      <w:proofErr w:type="spellStart"/>
      <w:r w:rsidR="00225474" w:rsidRPr="00446255">
        <w:t>subframe</w:t>
      </w:r>
      <w:proofErr w:type="spellEnd"/>
      <w:r w:rsidR="00225474" w:rsidRPr="00446255">
        <w:t xml:space="preserve"> scaling</w:t>
      </w:r>
    </w:p>
    <w:p w:rsidR="00FE5799" w:rsidRPr="00446255" w:rsidRDefault="00FE5799" w:rsidP="00FE5799">
      <w:pPr>
        <w:pStyle w:val="Header"/>
        <w:tabs>
          <w:tab w:val="left" w:pos="1800"/>
        </w:tabs>
      </w:pPr>
      <w:r w:rsidRPr="00446255">
        <w:t>Agenda Item:</w:t>
      </w:r>
      <w:bookmarkStart w:id="2" w:name="Source"/>
      <w:bookmarkEnd w:id="2"/>
      <w:r w:rsidRPr="00446255">
        <w:tab/>
      </w:r>
      <w:r w:rsidR="00B1084A" w:rsidRPr="00446255">
        <w:t>8</w:t>
      </w:r>
      <w:r w:rsidR="009A1068" w:rsidRPr="00446255">
        <w:t>.1.</w:t>
      </w:r>
      <w:r w:rsidR="005472A9">
        <w:t>3.2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446255">
        <w:t>Document</w:t>
      </w:r>
      <w:r w:rsidRPr="0003368D">
        <w:t xml:space="preserve">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8152C" w:rsidRDefault="00F8152C" w:rsidP="00F8152C">
      <w:pPr>
        <w:pStyle w:val="Heading1"/>
        <w:tabs>
          <w:tab w:val="clear" w:pos="4536"/>
          <w:tab w:val="num" w:pos="567"/>
        </w:tabs>
        <w:spacing w:before="180"/>
        <w:ind w:left="562" w:hanging="562"/>
      </w:pPr>
      <w:r>
        <w:t>Introduction</w:t>
      </w:r>
    </w:p>
    <w:p w:rsidR="00225474" w:rsidRDefault="00225474" w:rsidP="00225474">
      <w:pPr>
        <w:pStyle w:val="BodyText"/>
      </w:pPr>
      <w:r>
        <w:t>At RAN1#85, a scalable numerology with the subcarrier spacing given by</w:t>
      </w:r>
    </w:p>
    <w:p w:rsidR="00225474" w:rsidRDefault="000107A2" w:rsidP="00225474">
      <w:pPr>
        <w:pStyle w:val="BodyText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sc</m:t>
              </m:r>
            </m:sub>
          </m:sSub>
          <m:r>
            <w:rPr>
              <w:rFonts w:ascii="Cambria Math" w:hAnsi="Cambria Math"/>
            </w:rPr>
            <m:t>=15 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>kHz</m:t>
          </m:r>
        </m:oMath>
      </m:oMathPara>
    </w:p>
    <w:p w:rsidR="00225474" w:rsidRDefault="00225474" w:rsidP="00225474">
      <w:pPr>
        <w:pStyle w:val="BodyText"/>
      </w:pPr>
      <w:proofErr w:type="gramStart"/>
      <w:r>
        <w:t>was</w:t>
      </w:r>
      <w:proofErr w:type="gramEnd"/>
      <w:r>
        <w:t xml:space="preserve"> agreed. Furthermore, for </w:t>
      </w:r>
      <w:r>
        <w:rPr>
          <w:i/>
        </w:rPr>
        <w:t>n</w:t>
      </w:r>
      <w:r>
        <w:t>=0, the OFDM symbol boundaries are aligned with the LTE for normal cyclic prefix. Hence, the first of the seven OFDM symbols in a 0.5 </w:t>
      </w:r>
      <w:proofErr w:type="spellStart"/>
      <w:r>
        <w:t>ms</w:t>
      </w:r>
      <w:proofErr w:type="spellEnd"/>
      <w:r>
        <w:t xml:space="preserve"> period has a somewhat longer cyclic prefix than the other six OFDM symbols as illustrated in </w:t>
      </w:r>
      <w:r>
        <w:fldChar w:fldCharType="begin"/>
      </w:r>
      <w:r>
        <w:instrText xml:space="preserve"> REF _Ref457848887 \h </w:instrText>
      </w:r>
      <w:r>
        <w:fldChar w:fldCharType="separate"/>
      </w:r>
      <w:r w:rsidR="0010556D">
        <w:t xml:space="preserve">Figure </w:t>
      </w:r>
      <w:r w:rsidR="0010556D">
        <w:rPr>
          <w:noProof/>
        </w:rPr>
        <w:t>1</w:t>
      </w:r>
      <w:r>
        <w:fldChar w:fldCharType="end"/>
      </w:r>
      <w:r w:rsidR="00464DB6">
        <w:t xml:space="preserve">. </w:t>
      </w:r>
      <w:r w:rsidR="00464DB6">
        <w:tab/>
      </w:r>
    </w:p>
    <w:p w:rsidR="00225474" w:rsidRDefault="00225474" w:rsidP="00225474">
      <w:pPr>
        <w:pStyle w:val="BodyText"/>
        <w:keepNext/>
      </w:pPr>
      <w:r w:rsidRPr="00225474">
        <w:rPr>
          <w:noProof/>
          <w:lang w:val="sv-SE" w:eastAsia="sv-SE"/>
        </w:rPr>
        <w:drawing>
          <wp:inline distT="0" distB="0" distL="0" distR="0" wp14:anchorId="4C92A2A6" wp14:editId="30768F80">
            <wp:extent cx="4286250" cy="10128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833" cy="101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474" w:rsidRPr="00AE3947" w:rsidRDefault="00225474" w:rsidP="00225474">
      <w:pPr>
        <w:pStyle w:val="Caption"/>
        <w:jc w:val="both"/>
      </w:pPr>
      <w:bookmarkStart w:id="4" w:name="_Ref4578488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0556D">
        <w:rPr>
          <w:noProof/>
        </w:rPr>
        <w:t>1</w:t>
      </w:r>
      <w:r>
        <w:fldChar w:fldCharType="end"/>
      </w:r>
      <w:bookmarkEnd w:id="4"/>
      <w:r>
        <w:t>: Cyclic prefix lengths at 15 </w:t>
      </w:r>
      <w:proofErr w:type="gramStart"/>
      <w:r>
        <w:t>KHz</w:t>
      </w:r>
      <w:proofErr w:type="gramEnd"/>
      <w:r>
        <w:t xml:space="preserve"> subcarrier spacing.</w:t>
      </w:r>
    </w:p>
    <w:p w:rsidR="006210D6" w:rsidRDefault="006210D6" w:rsidP="006210D6">
      <w:pPr>
        <w:pStyle w:val="Heading1"/>
        <w:tabs>
          <w:tab w:val="clear" w:pos="4536"/>
          <w:tab w:val="num" w:pos="567"/>
        </w:tabs>
        <w:spacing w:before="180"/>
        <w:ind w:left="562" w:hanging="562"/>
      </w:pPr>
      <w:r>
        <w:t>Discussion</w:t>
      </w:r>
    </w:p>
    <w:p w:rsidR="0010556D" w:rsidRDefault="0010556D" w:rsidP="0010556D">
      <w:pPr>
        <w:pStyle w:val="BodyText"/>
      </w:pPr>
      <w:r>
        <w:t>Assuming for the sake of discussion that, for 15 </w:t>
      </w:r>
      <w:proofErr w:type="gramStart"/>
      <w:r>
        <w:t>kHz</w:t>
      </w:r>
      <w:proofErr w:type="gramEnd"/>
      <w:r>
        <w:t xml:space="preserve">, a </w:t>
      </w:r>
      <w:proofErr w:type="spellStart"/>
      <w:r>
        <w:t>subframe</w:t>
      </w:r>
      <w:proofErr w:type="spellEnd"/>
      <w:r>
        <w:t xml:space="preserve"> is defined as 0.5 </w:t>
      </w:r>
      <w:proofErr w:type="spellStart"/>
      <w:r>
        <w:t>ms</w:t>
      </w:r>
      <w:proofErr w:type="spellEnd"/>
      <w:r>
        <w:t xml:space="preserve"> (7 OFDM symbols). Two different approaches can be foreseen when defining the term ‘</w:t>
      </w:r>
      <w:proofErr w:type="spellStart"/>
      <w:r>
        <w:t>subframe</w:t>
      </w:r>
      <w:proofErr w:type="spellEnd"/>
      <w:r>
        <w:t xml:space="preserve">’ for numerologies with larger subcarrier </w:t>
      </w:r>
      <w:proofErr w:type="spellStart"/>
      <w:r>
        <w:t>spacings</w:t>
      </w:r>
      <w:proofErr w:type="spellEnd"/>
      <w:r>
        <w:t>:</w:t>
      </w:r>
    </w:p>
    <w:p w:rsidR="0010556D" w:rsidRDefault="0010556D" w:rsidP="0010556D">
      <w:pPr>
        <w:pStyle w:val="BodyText"/>
        <w:numPr>
          <w:ilvl w:val="0"/>
          <w:numId w:val="18"/>
        </w:numPr>
      </w:pPr>
      <w:r>
        <w:t xml:space="preserve">direct scaling of the </w:t>
      </w:r>
      <w:proofErr w:type="spellStart"/>
      <w:r>
        <w:t>subframe</w:t>
      </w:r>
      <w:proofErr w:type="spellEnd"/>
      <w:r>
        <w:t xml:space="preserve"> (left part of </w:t>
      </w:r>
      <w:r>
        <w:fldChar w:fldCharType="begin"/>
      </w:r>
      <w:r>
        <w:instrText xml:space="preserve"> REF _Ref458682442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), or</w:t>
      </w:r>
    </w:p>
    <w:p w:rsidR="0010556D" w:rsidRDefault="0010556D" w:rsidP="0010556D">
      <w:pPr>
        <w:pStyle w:val="BodyText"/>
        <w:numPr>
          <w:ilvl w:val="0"/>
          <w:numId w:val="18"/>
        </w:numPr>
      </w:pPr>
      <w:proofErr w:type="gramStart"/>
      <w:r>
        <w:t>maintaining</w:t>
      </w:r>
      <w:proofErr w:type="gramEnd"/>
      <w:r>
        <w:t xml:space="preserve"> the </w:t>
      </w:r>
      <w:proofErr w:type="spellStart"/>
      <w:r>
        <w:t>subframe</w:t>
      </w:r>
      <w:proofErr w:type="spellEnd"/>
      <w:r>
        <w:t xml:space="preserve"> duration  (right part of </w:t>
      </w:r>
      <w:r>
        <w:fldChar w:fldCharType="begin"/>
      </w:r>
      <w:r>
        <w:instrText xml:space="preserve"> REF _Ref458682442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).</w:t>
      </w:r>
    </w:p>
    <w:p w:rsidR="0010556D" w:rsidRDefault="0010556D" w:rsidP="0010556D">
      <w:pPr>
        <w:pStyle w:val="BodyText"/>
      </w:pPr>
      <w:r>
        <w:t>Note that the term ‘</w:t>
      </w:r>
      <w:proofErr w:type="spellStart"/>
      <w:r>
        <w:t>subframe</w:t>
      </w:r>
      <w:proofErr w:type="spellEnd"/>
      <w:r>
        <w:t xml:space="preserve">’ herein does not necessarily imply that transmissions always must be aligned with a </w:t>
      </w:r>
      <w:proofErr w:type="spellStart"/>
      <w:r>
        <w:t>subframe</w:t>
      </w:r>
      <w:proofErr w:type="spellEnd"/>
      <w:r>
        <w:t xml:space="preserve"> as discussed in </w:t>
      </w:r>
      <w:r>
        <w:fldChar w:fldCharType="begin"/>
      </w:r>
      <w:r>
        <w:instrText xml:space="preserve"> REF _Ref449604093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:rsidR="0010556D" w:rsidRPr="0010556D" w:rsidRDefault="0010556D" w:rsidP="0010556D">
      <w:pPr>
        <w:pStyle w:val="BodyText"/>
      </w:pPr>
      <w:r>
        <w:t xml:space="preserve">Maintaining the </w:t>
      </w:r>
      <w:proofErr w:type="spellStart"/>
      <w:r>
        <w:t>subframe</w:t>
      </w:r>
      <w:proofErr w:type="spellEnd"/>
      <w:r>
        <w:t xml:space="preserve"> duration when moving up to higher subcarrier </w:t>
      </w:r>
      <w:proofErr w:type="spellStart"/>
      <w:r>
        <w:t>spacings</w:t>
      </w:r>
      <w:proofErr w:type="spellEnd"/>
      <w:r>
        <w:t xml:space="preserve"> fits well with maintaining the symbol boundaries across </w:t>
      </w:r>
      <w:proofErr w:type="spellStart"/>
      <w:r>
        <w:t>nuemrologies</w:t>
      </w:r>
      <w:proofErr w:type="spellEnd"/>
      <w:r>
        <w:t xml:space="preserve"> as discussed in </w:t>
      </w:r>
      <w:r>
        <w:fldChar w:fldCharType="begin"/>
      </w:r>
      <w:r>
        <w:instrText xml:space="preserve"> REF _Ref458682688 \r \h </w:instrText>
      </w:r>
      <w:r>
        <w:fldChar w:fldCharType="separate"/>
      </w:r>
      <w:r>
        <w:t>[2]</w:t>
      </w:r>
      <w:r>
        <w:fldChar w:fldCharType="end"/>
      </w:r>
      <w:r w:rsidR="005472A9">
        <w:t xml:space="preserve"> but can also be used when the symbol durations scale with the subcarrier spacing. A direct scaling of the </w:t>
      </w:r>
      <w:proofErr w:type="spellStart"/>
      <w:r w:rsidR="005472A9">
        <w:t>subframe</w:t>
      </w:r>
      <w:proofErr w:type="spellEnd"/>
      <w:r w:rsidR="005472A9">
        <w:t xml:space="preserve"> duration, on the other hand, would result in slightly different </w:t>
      </w:r>
      <w:proofErr w:type="spellStart"/>
      <w:r w:rsidR="005472A9">
        <w:t>subframe</w:t>
      </w:r>
      <w:proofErr w:type="spellEnd"/>
      <w:r w:rsidR="005472A9">
        <w:t xml:space="preserve"> lengths unless the symbol duration is also scaled.</w:t>
      </w:r>
    </w:p>
    <w:p w:rsidR="0010556D" w:rsidRDefault="0010556D" w:rsidP="00A0491A">
      <w:pPr>
        <w:pStyle w:val="BodyText"/>
      </w:pPr>
    </w:p>
    <w:p w:rsidR="0010556D" w:rsidRDefault="0010556D" w:rsidP="0010556D">
      <w:pPr>
        <w:pStyle w:val="BodyText"/>
        <w:keepNext/>
      </w:pPr>
      <w:r w:rsidRPr="0010556D">
        <w:rPr>
          <w:noProof/>
          <w:lang w:val="sv-SE" w:eastAsia="sv-SE"/>
        </w:rPr>
        <w:drawing>
          <wp:inline distT="0" distB="0" distL="0" distR="0" wp14:anchorId="3792698C" wp14:editId="06E7E9F8">
            <wp:extent cx="5760720" cy="2067120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6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56D" w:rsidRPr="00A0491A" w:rsidRDefault="0010556D" w:rsidP="0010556D">
      <w:pPr>
        <w:pStyle w:val="Caption"/>
        <w:jc w:val="both"/>
      </w:pPr>
      <w:bookmarkStart w:id="5" w:name="_Ref4586824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: </w:t>
      </w:r>
      <w:proofErr w:type="spellStart"/>
      <w:r>
        <w:t>Subframe</w:t>
      </w:r>
      <w:proofErr w:type="spellEnd"/>
      <w:r>
        <w:t xml:space="preserve"> scaling.</w:t>
      </w:r>
    </w:p>
    <w:p w:rsidR="00793153" w:rsidRDefault="006210D6" w:rsidP="006210D6">
      <w:pPr>
        <w:pStyle w:val="Heading1"/>
        <w:tabs>
          <w:tab w:val="clear" w:pos="4536"/>
          <w:tab w:val="num" w:pos="567"/>
        </w:tabs>
        <w:spacing w:before="180"/>
        <w:ind w:left="562" w:hanging="562"/>
      </w:pPr>
      <w:r>
        <w:lastRenderedPageBreak/>
        <w:t>Conclusion</w:t>
      </w:r>
    </w:p>
    <w:p w:rsidR="00786298" w:rsidRDefault="005472A9" w:rsidP="005472A9">
      <w:pPr>
        <w:pStyle w:val="BodyText"/>
      </w:pPr>
      <w:r>
        <w:t xml:space="preserve">It is proposed to </w:t>
      </w:r>
    </w:p>
    <w:p w:rsidR="00786298" w:rsidRDefault="005472A9" w:rsidP="00786298">
      <w:pPr>
        <w:pStyle w:val="BodyText"/>
        <w:numPr>
          <w:ilvl w:val="0"/>
          <w:numId w:val="21"/>
        </w:numPr>
      </w:pPr>
      <w:r>
        <w:t xml:space="preserve">adopt a </w:t>
      </w:r>
      <w:r w:rsidR="00786298">
        <w:t xml:space="preserve">common </w:t>
      </w:r>
      <w:proofErr w:type="spellStart"/>
      <w:r>
        <w:t>subframe</w:t>
      </w:r>
      <w:proofErr w:type="spellEnd"/>
      <w:r>
        <w:t xml:space="preserve"> length </w:t>
      </w:r>
      <w:r w:rsidR="00786298">
        <w:t>(</w:t>
      </w:r>
      <w:r>
        <w:t xml:space="preserve">of 0.5 </w:t>
      </w:r>
      <w:proofErr w:type="spellStart"/>
      <w:r>
        <w:t>ms</w:t>
      </w:r>
      <w:proofErr w:type="spellEnd"/>
      <w:r w:rsidR="00786298">
        <w:t>)</w:t>
      </w:r>
      <w:r>
        <w:t xml:space="preserve"> </w:t>
      </w:r>
      <w:r w:rsidR="00786298">
        <w:t xml:space="preserve">across numerologies </w:t>
      </w:r>
      <w:r>
        <w:t xml:space="preserve">for subcarrier </w:t>
      </w:r>
      <w:proofErr w:type="spellStart"/>
      <w:r>
        <w:t>spacings</w:t>
      </w:r>
      <w:proofErr w:type="spellEnd"/>
      <w:r>
        <w:t xml:space="preserve"> of 15 kHz and higher, </w:t>
      </w:r>
    </w:p>
    <w:p w:rsidR="005472A9" w:rsidRDefault="005472A9" w:rsidP="00786298">
      <w:pPr>
        <w:pStyle w:val="BodyText"/>
      </w:pPr>
      <w:r>
        <w:t>together with</w:t>
      </w:r>
    </w:p>
    <w:p w:rsidR="005472A9" w:rsidRDefault="005472A9" w:rsidP="005472A9">
      <w:pPr>
        <w:pStyle w:val="BodyText"/>
        <w:numPr>
          <w:ilvl w:val="0"/>
          <w:numId w:val="20"/>
        </w:numPr>
      </w:pPr>
      <w:r>
        <w:t xml:space="preserve">maintaining symbol alignment across numerologies </w:t>
      </w:r>
      <w:r>
        <w:fldChar w:fldCharType="begin"/>
      </w:r>
      <w:r>
        <w:instrText xml:space="preserve"> REF _Ref458682688 \r \h </w:instrText>
      </w:r>
      <w:r>
        <w:fldChar w:fldCharType="separate"/>
      </w:r>
      <w:r>
        <w:t>[2]</w:t>
      </w:r>
      <w:r>
        <w:fldChar w:fldCharType="end"/>
      </w:r>
      <w:r>
        <w:t>, and</w:t>
      </w:r>
    </w:p>
    <w:p w:rsidR="005472A9" w:rsidRPr="005472A9" w:rsidRDefault="005472A9" w:rsidP="005472A9">
      <w:pPr>
        <w:pStyle w:val="BodyText"/>
        <w:numPr>
          <w:ilvl w:val="0"/>
          <w:numId w:val="20"/>
        </w:numPr>
      </w:pPr>
      <w:proofErr w:type="gramStart"/>
      <w:r>
        <w:t>allowing</w:t>
      </w:r>
      <w:proofErr w:type="gramEnd"/>
      <w:r>
        <w:t xml:space="preserve"> transmissions to start not only at the </w:t>
      </w:r>
      <w:proofErr w:type="spellStart"/>
      <w:r>
        <w:t>subframe</w:t>
      </w:r>
      <w:proofErr w:type="spellEnd"/>
      <w:r>
        <w:t xml:space="preserve"> boundaries </w:t>
      </w:r>
      <w:r>
        <w:fldChar w:fldCharType="begin"/>
      </w:r>
      <w:r>
        <w:instrText xml:space="preserve"> REF _Ref449604093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:rsidR="0010556D" w:rsidRDefault="0010556D" w:rsidP="0010556D">
      <w:pPr>
        <w:pStyle w:val="Heading1"/>
        <w:spacing w:before="180"/>
        <w:ind w:left="562" w:hanging="562"/>
      </w:pPr>
      <w:r>
        <w:t>References</w:t>
      </w:r>
    </w:p>
    <w:p w:rsidR="0010556D" w:rsidRPr="0010556D" w:rsidRDefault="0010556D" w:rsidP="0010556D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6" w:name="_Ref445818173"/>
      <w:bookmarkStart w:id="7" w:name="_Ref449604093"/>
      <w:r>
        <w:t xml:space="preserve">R1-167047, </w:t>
      </w:r>
      <w:bookmarkEnd w:id="6"/>
      <w:r>
        <w:t>“</w:t>
      </w:r>
      <w:r w:rsidRPr="00ED6711">
        <w:t>On smallest schedulable unit</w:t>
      </w:r>
      <w:r>
        <w:t>”, Ericsson</w:t>
      </w:r>
      <w:bookmarkEnd w:id="7"/>
    </w:p>
    <w:p w:rsidR="0010556D" w:rsidRPr="00536735" w:rsidRDefault="0010556D" w:rsidP="0010556D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8" w:name="_Ref458682688"/>
      <w:r>
        <w:rPr>
          <w:szCs w:val="20"/>
          <w:lang w:val="it-IT"/>
        </w:rPr>
        <w:t>R1-167050, “</w:t>
      </w:r>
      <w:r w:rsidRPr="0010556D">
        <w:rPr>
          <w:szCs w:val="20"/>
          <w:lang w:val="it-IT"/>
        </w:rPr>
        <w:t>On symbol scaling</w:t>
      </w:r>
      <w:r>
        <w:rPr>
          <w:szCs w:val="20"/>
          <w:lang w:val="it-IT"/>
        </w:rPr>
        <w:t>”, Ericsson</w:t>
      </w:r>
      <w:bookmarkEnd w:id="8"/>
    </w:p>
    <w:p w:rsidR="0010556D" w:rsidRPr="0010556D" w:rsidRDefault="0010556D" w:rsidP="0010556D">
      <w:pPr>
        <w:pStyle w:val="BodyText"/>
        <w:rPr>
          <w:lang w:val="it-IT"/>
        </w:rPr>
      </w:pPr>
    </w:p>
    <w:p w:rsidR="00225474" w:rsidRPr="00225474" w:rsidRDefault="00225474" w:rsidP="00225474">
      <w:pPr>
        <w:pStyle w:val="BodyText"/>
      </w:pPr>
    </w:p>
    <w:sectPr w:rsidR="00225474" w:rsidRPr="002254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7A2" w:rsidRDefault="000107A2">
      <w:r>
        <w:separator/>
      </w:r>
    </w:p>
  </w:endnote>
  <w:endnote w:type="continuationSeparator" w:id="0">
    <w:p w:rsidR="000107A2" w:rsidRDefault="0001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7A2" w:rsidRDefault="000107A2">
      <w:r>
        <w:separator/>
      </w:r>
    </w:p>
  </w:footnote>
  <w:footnote w:type="continuationSeparator" w:id="0">
    <w:p w:rsidR="000107A2" w:rsidRDefault="00010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0107A2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602C"/>
    <w:multiLevelType w:val="hybridMultilevel"/>
    <w:tmpl w:val="8F4243C2"/>
    <w:lvl w:ilvl="0" w:tplc="064E21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41412"/>
    <w:multiLevelType w:val="hybridMultilevel"/>
    <w:tmpl w:val="4822D382"/>
    <w:lvl w:ilvl="0" w:tplc="A02E94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80BEE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8830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DEF2A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F0B72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0F4A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2E7F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2A26C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A296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0F0514"/>
    <w:multiLevelType w:val="hybridMultilevel"/>
    <w:tmpl w:val="9D487942"/>
    <w:lvl w:ilvl="0" w:tplc="FDE6EFC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5062FD"/>
    <w:multiLevelType w:val="hybridMultilevel"/>
    <w:tmpl w:val="8AFEA4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E55D56"/>
    <w:multiLevelType w:val="hybridMultilevel"/>
    <w:tmpl w:val="09904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337844"/>
    <w:multiLevelType w:val="hybridMultilevel"/>
    <w:tmpl w:val="48C2CD6A"/>
    <w:lvl w:ilvl="0" w:tplc="10D2917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49A74">
      <w:start w:val="46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75C8B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A01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5A31F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C216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C18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A08D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CCEC9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7907D3F"/>
    <w:multiLevelType w:val="hybridMultilevel"/>
    <w:tmpl w:val="5E80C7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240419"/>
    <w:multiLevelType w:val="hybridMultilevel"/>
    <w:tmpl w:val="A80438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07192"/>
    <w:multiLevelType w:val="hybridMultilevel"/>
    <w:tmpl w:val="664CE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E1234E"/>
    <w:multiLevelType w:val="hybridMultilevel"/>
    <w:tmpl w:val="4A0C18B8"/>
    <w:lvl w:ilvl="0" w:tplc="D07A6F8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0ABA0">
      <w:start w:val="2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BC28E4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1E42B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361AE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E2C2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23D3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2C5AC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1AF8A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7A1689F"/>
    <w:multiLevelType w:val="hybridMultilevel"/>
    <w:tmpl w:val="C570DA8E"/>
    <w:lvl w:ilvl="0" w:tplc="064E21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4536"/>
        </w:tabs>
        <w:ind w:left="4536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8">
    <w:nsid w:val="7EE86991"/>
    <w:multiLevelType w:val="hybridMultilevel"/>
    <w:tmpl w:val="49BAB9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16"/>
  </w:num>
  <w:num w:numId="8">
    <w:abstractNumId w:val="17"/>
  </w:num>
  <w:num w:numId="9">
    <w:abstractNumId w:val="13"/>
  </w:num>
  <w:num w:numId="10">
    <w:abstractNumId w:val="11"/>
  </w:num>
  <w:num w:numId="11">
    <w:abstractNumId w:val="6"/>
  </w:num>
  <w:num w:numId="12">
    <w:abstractNumId w:val="0"/>
  </w:num>
  <w:num w:numId="13">
    <w:abstractNumId w:val="17"/>
  </w:num>
  <w:num w:numId="14">
    <w:abstractNumId w:val="14"/>
  </w:num>
  <w:num w:numId="15">
    <w:abstractNumId w:val="15"/>
  </w:num>
  <w:num w:numId="16">
    <w:abstractNumId w:val="10"/>
  </w:num>
  <w:num w:numId="17">
    <w:abstractNumId w:val="1"/>
  </w:num>
  <w:num w:numId="18">
    <w:abstractNumId w:val="12"/>
  </w:num>
  <w:num w:numId="19">
    <w:abstractNumId w:val="8"/>
  </w:num>
  <w:num w:numId="20">
    <w:abstractNumId w:val="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100D0"/>
    <w:rsid w:val="000107A2"/>
    <w:rsid w:val="000217F8"/>
    <w:rsid w:val="00037C51"/>
    <w:rsid w:val="00084C23"/>
    <w:rsid w:val="00095971"/>
    <w:rsid w:val="000A258F"/>
    <w:rsid w:val="000F4AF3"/>
    <w:rsid w:val="0010556D"/>
    <w:rsid w:val="00112E18"/>
    <w:rsid w:val="00114B6A"/>
    <w:rsid w:val="00141448"/>
    <w:rsid w:val="00175D32"/>
    <w:rsid w:val="0017779E"/>
    <w:rsid w:val="00195FDC"/>
    <w:rsid w:val="0021013F"/>
    <w:rsid w:val="00225474"/>
    <w:rsid w:val="00264E3E"/>
    <w:rsid w:val="00290099"/>
    <w:rsid w:val="002A10FE"/>
    <w:rsid w:val="002A6DEA"/>
    <w:rsid w:val="002D4AF0"/>
    <w:rsid w:val="00370FC8"/>
    <w:rsid w:val="00377B9E"/>
    <w:rsid w:val="003875A3"/>
    <w:rsid w:val="00397433"/>
    <w:rsid w:val="003D24B3"/>
    <w:rsid w:val="00422F7B"/>
    <w:rsid w:val="00446255"/>
    <w:rsid w:val="00463305"/>
    <w:rsid w:val="00464DB6"/>
    <w:rsid w:val="00490C6E"/>
    <w:rsid w:val="004B57FD"/>
    <w:rsid w:val="004C6604"/>
    <w:rsid w:val="004F3A03"/>
    <w:rsid w:val="004F6D60"/>
    <w:rsid w:val="00505D01"/>
    <w:rsid w:val="0054011B"/>
    <w:rsid w:val="005472A9"/>
    <w:rsid w:val="0055264E"/>
    <w:rsid w:val="0058278C"/>
    <w:rsid w:val="005C439D"/>
    <w:rsid w:val="005D5C73"/>
    <w:rsid w:val="0061336B"/>
    <w:rsid w:val="006210D6"/>
    <w:rsid w:val="006A286A"/>
    <w:rsid w:val="00747E3C"/>
    <w:rsid w:val="0075384C"/>
    <w:rsid w:val="007672EE"/>
    <w:rsid w:val="00786298"/>
    <w:rsid w:val="00793153"/>
    <w:rsid w:val="007A01C0"/>
    <w:rsid w:val="007A7B94"/>
    <w:rsid w:val="007F6BE4"/>
    <w:rsid w:val="00834DE7"/>
    <w:rsid w:val="00835FF4"/>
    <w:rsid w:val="00887542"/>
    <w:rsid w:val="008B23D4"/>
    <w:rsid w:val="00905998"/>
    <w:rsid w:val="009A1068"/>
    <w:rsid w:val="009A6BB8"/>
    <w:rsid w:val="009B2E48"/>
    <w:rsid w:val="00A0491A"/>
    <w:rsid w:val="00A47015"/>
    <w:rsid w:val="00A81AA1"/>
    <w:rsid w:val="00A85E54"/>
    <w:rsid w:val="00AA13EF"/>
    <w:rsid w:val="00B1084A"/>
    <w:rsid w:val="00B231EC"/>
    <w:rsid w:val="00B30E35"/>
    <w:rsid w:val="00B368D9"/>
    <w:rsid w:val="00B96B6C"/>
    <w:rsid w:val="00BA2CDD"/>
    <w:rsid w:val="00BA76BC"/>
    <w:rsid w:val="00C11DBF"/>
    <w:rsid w:val="00C1560A"/>
    <w:rsid w:val="00C326A6"/>
    <w:rsid w:val="00C61496"/>
    <w:rsid w:val="00C75368"/>
    <w:rsid w:val="00C93774"/>
    <w:rsid w:val="00CA6DE0"/>
    <w:rsid w:val="00CE28B2"/>
    <w:rsid w:val="00CF2225"/>
    <w:rsid w:val="00CF67BE"/>
    <w:rsid w:val="00D02349"/>
    <w:rsid w:val="00D03119"/>
    <w:rsid w:val="00D04257"/>
    <w:rsid w:val="00D2217F"/>
    <w:rsid w:val="00D26287"/>
    <w:rsid w:val="00DA110D"/>
    <w:rsid w:val="00DA289B"/>
    <w:rsid w:val="00DB4258"/>
    <w:rsid w:val="00DE3421"/>
    <w:rsid w:val="00E63D88"/>
    <w:rsid w:val="00EB37B0"/>
    <w:rsid w:val="00EC6CA5"/>
    <w:rsid w:val="00EE063C"/>
    <w:rsid w:val="00F0495D"/>
    <w:rsid w:val="00F37D49"/>
    <w:rsid w:val="00F434AA"/>
    <w:rsid w:val="00F621B3"/>
    <w:rsid w:val="00F8152C"/>
    <w:rsid w:val="00F830B8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D5C73"/>
    <w:pPr>
      <w:spacing w:before="100" w:beforeAutospacing="1" w:after="100" w:afterAutospacing="1"/>
    </w:pPr>
    <w:rPr>
      <w:sz w:val="24"/>
      <w:lang w:val="sv-SE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D5C73"/>
    <w:pPr>
      <w:spacing w:before="100" w:beforeAutospacing="1" w:after="100" w:afterAutospacing="1"/>
    </w:pPr>
    <w:rPr>
      <w:sz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8770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40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299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8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192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541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21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1A863-A55B-4F66-B3AE-D703D07D5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2016-08-12T12:51:00Z</dcterms:created>
  <dcterms:modified xsi:type="dcterms:W3CDTF">2016-08-12T12:51:00Z</dcterms:modified>
</cp:coreProperties>
</file>