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E8E44" w14:textId="1B56ACBD"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446F9D">
        <w:t>TSG-RAN WG1 #</w:t>
      </w:r>
      <w:r w:rsidR="001D2B2A">
        <w:t>86</w:t>
      </w:r>
      <w:r w:rsidRPr="00446F9D">
        <w:tab/>
        <w:t>R1-</w:t>
      </w:r>
      <w:r>
        <w:t>16</w:t>
      </w:r>
      <w:r w:rsidR="00184C8A">
        <w:t>7048</w:t>
      </w:r>
    </w:p>
    <w:p w14:paraId="1B04BC58" w14:textId="77777777" w:rsidR="00A85E54" w:rsidRPr="000833FA" w:rsidRDefault="001D2B2A" w:rsidP="00A85E54">
      <w:pPr>
        <w:pStyle w:val="Header"/>
        <w:rPr>
          <w:color w:val="000000"/>
        </w:rPr>
      </w:pPr>
      <w:r>
        <w:t>Gothenburg, Sweden, August 22 – 26, 2016</w:t>
      </w:r>
    </w:p>
    <w:p w14:paraId="1FBA3631" w14:textId="77777777" w:rsidR="00A85E54" w:rsidRPr="000833FA" w:rsidRDefault="00A85E54" w:rsidP="00A85E54">
      <w:pPr>
        <w:pStyle w:val="Header"/>
      </w:pPr>
    </w:p>
    <w:p w14:paraId="45BDAE72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18DA318B" w14:textId="77777777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037C51">
        <w:t xml:space="preserve">On </w:t>
      </w:r>
      <w:proofErr w:type="spellStart"/>
      <w:r w:rsidR="00037C51">
        <w:t>subframe</w:t>
      </w:r>
      <w:proofErr w:type="spellEnd"/>
      <w:r w:rsidR="00037C51">
        <w:t xml:space="preserve"> description</w:t>
      </w:r>
    </w:p>
    <w:p w14:paraId="05AB6B14" w14:textId="197387FC" w:rsidR="00FE5799" w:rsidRPr="0003368D" w:rsidRDefault="00FE5799" w:rsidP="00FE5799">
      <w:pPr>
        <w:pStyle w:val="Header"/>
        <w:tabs>
          <w:tab w:val="left" w:pos="1800"/>
        </w:tabs>
      </w:pPr>
      <w:r w:rsidRPr="00F04261">
        <w:t>Agenda Item:</w:t>
      </w:r>
      <w:bookmarkStart w:id="2" w:name="Source"/>
      <w:bookmarkEnd w:id="2"/>
      <w:r w:rsidRPr="00F04261">
        <w:tab/>
      </w:r>
      <w:r w:rsidR="00F07A88" w:rsidRPr="00F04261">
        <w:t>8</w:t>
      </w:r>
      <w:r w:rsidR="00AB0DBC">
        <w:t>.1.3</w:t>
      </w:r>
      <w:r w:rsidR="00037C51" w:rsidRPr="00F04261">
        <w:t>.2</w:t>
      </w:r>
    </w:p>
    <w:p w14:paraId="1C379FFB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1D011F20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4F13D847" w14:textId="77777777" w:rsidR="00827227" w:rsidRDefault="00827227" w:rsidP="00FE5799">
      <w:pPr>
        <w:pStyle w:val="Heading1"/>
        <w:spacing w:before="180"/>
        <w:ind w:left="562" w:hanging="562"/>
      </w:pPr>
      <w:r>
        <w:t>Introduction</w:t>
      </w:r>
    </w:p>
    <w:p w14:paraId="475D0AD6" w14:textId="77777777" w:rsidR="00827227" w:rsidRPr="00827227" w:rsidRDefault="00827227" w:rsidP="00827227">
      <w:pPr>
        <w:pStyle w:val="BodyText"/>
      </w:pPr>
      <w:r>
        <w:t>To describe the structure of the transmitted signal in NR it is beneficial to define a time unit such as ‘</w:t>
      </w:r>
      <w:proofErr w:type="spellStart"/>
      <w:r>
        <w:t>subframe</w:t>
      </w:r>
      <w:proofErr w:type="spellEnd"/>
      <w:r>
        <w:t xml:space="preserve">’. </w:t>
      </w:r>
      <w:r w:rsidRPr="00217DE9">
        <w:t xml:space="preserve">Preferably, the same </w:t>
      </w:r>
      <w:proofErr w:type="spellStart"/>
      <w:r w:rsidRPr="00217DE9">
        <w:t>subframe</w:t>
      </w:r>
      <w:proofErr w:type="spellEnd"/>
      <w:r w:rsidRPr="00217DE9">
        <w:t xml:space="preserve"> structure can be used for paired as well as unpaired spectrum, and for half as well as full duplex.</w:t>
      </w:r>
      <w:r>
        <w:t xml:space="preserve"> How to describe such a frame structure in the final specifications are discussed in the following.</w:t>
      </w:r>
    </w:p>
    <w:p w14:paraId="577594EC" w14:textId="77777777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54DF1220" w14:textId="77777777" w:rsidR="00CF2225" w:rsidRDefault="00304706" w:rsidP="00BA76BC">
      <w:pPr>
        <w:pStyle w:val="BodyText"/>
      </w:pPr>
      <w:r>
        <w:t>During</w:t>
      </w:r>
      <w:r w:rsidR="00037C51">
        <w:t xml:space="preserve"> the discussion of the </w:t>
      </w:r>
      <w:proofErr w:type="spellStart"/>
      <w:r w:rsidR="00037C51">
        <w:t>subframe</w:t>
      </w:r>
      <w:proofErr w:type="spellEnd"/>
      <w:r w:rsidR="00037C51">
        <w:t xml:space="preserve"> structure for TDD, a </w:t>
      </w:r>
      <w:r w:rsidR="00037C51">
        <w:rPr>
          <w:i/>
        </w:rPr>
        <w:t>single</w:t>
      </w:r>
      <w:r w:rsidR="00037C51">
        <w:t xml:space="preserve"> </w:t>
      </w:r>
      <w:proofErr w:type="spellStart"/>
      <w:r w:rsidR="00037C51">
        <w:t>subframe</w:t>
      </w:r>
      <w:proofErr w:type="spellEnd"/>
      <w:r w:rsidR="00037C51">
        <w:t xml:space="preserve"> structure is often used as illustrated in </w:t>
      </w:r>
      <w:r w:rsidR="00037C51">
        <w:fldChar w:fldCharType="begin"/>
      </w:r>
      <w:r w:rsidR="00037C51">
        <w:instrText xml:space="preserve"> REF _Ref454977199 \h </w:instrText>
      </w:r>
      <w:r w:rsidR="00037C51">
        <w:fldChar w:fldCharType="separate"/>
      </w:r>
      <w:r w:rsidR="00037C51">
        <w:t xml:space="preserve">Figure </w:t>
      </w:r>
      <w:r w:rsidR="00037C51">
        <w:rPr>
          <w:noProof/>
        </w:rPr>
        <w:t>1</w:t>
      </w:r>
      <w:r w:rsidR="00037C51">
        <w:fldChar w:fldCharType="end"/>
      </w:r>
      <w:r w:rsidR="00037C51">
        <w:t xml:space="preserve">. However, </w:t>
      </w:r>
      <w:r>
        <w:t>although</w:t>
      </w:r>
      <w:r w:rsidR="00037C51">
        <w:t xml:space="preserve"> this structure </w:t>
      </w:r>
      <w:r w:rsidR="00CF2225">
        <w:t>might appear simple, it is cumbersome to describe the timing relations between uplink and downlink using this structure.</w:t>
      </w:r>
      <w:r w:rsidR="00BA76BC">
        <w:t xml:space="preserve"> For example, does the </w:t>
      </w:r>
      <w:proofErr w:type="spellStart"/>
      <w:r w:rsidR="00BA76BC">
        <w:t>subframe</w:t>
      </w:r>
      <w:proofErr w:type="spellEnd"/>
      <w:r w:rsidR="00BA76BC">
        <w:t xml:space="preserve"> structure </w:t>
      </w:r>
      <w:r w:rsidR="00163DEE">
        <w:t>illustrate</w:t>
      </w:r>
      <w:r w:rsidR="00BA76BC">
        <w:t xml:space="preserve"> the situation at the </w:t>
      </w:r>
      <w:proofErr w:type="spellStart"/>
      <w:r w:rsidR="00BA76BC">
        <w:t>eNodeB</w:t>
      </w:r>
      <w:proofErr w:type="spellEnd"/>
      <w:r w:rsidR="00BA76BC">
        <w:t>, the UE, or somewhere between the two</w:t>
      </w:r>
      <w:r w:rsidR="00827227">
        <w:t xml:space="preserve"> (the timing relation between uplink and downlink differs between these cases)</w:t>
      </w:r>
      <w:r w:rsidR="00BA76BC">
        <w:t>?</w:t>
      </w:r>
      <w:r w:rsidR="00163DEE">
        <w:t xml:space="preserve"> How are timing advance values not being a multiple of the OFDM symbol duration handled, especially if different OFDM subcarrier </w:t>
      </w:r>
      <w:proofErr w:type="spellStart"/>
      <w:r w:rsidR="00163DEE">
        <w:t>spacings</w:t>
      </w:r>
      <w:proofErr w:type="spellEnd"/>
      <w:r w:rsidR="00163DEE">
        <w:t xml:space="preserve"> are used in DL and UL?</w:t>
      </w:r>
      <w:r w:rsidR="00BA76BC">
        <w:t xml:space="preserve"> It may also lead to the (unnecessary) definition of additional </w:t>
      </w:r>
      <w:proofErr w:type="spellStart"/>
      <w:r w:rsidR="00BA76BC">
        <w:t>subframe</w:t>
      </w:r>
      <w:proofErr w:type="spellEnd"/>
      <w:r w:rsidR="00BA76BC">
        <w:t xml:space="preserve"> types with a guard period not only in the middle but a</w:t>
      </w:r>
      <w:r w:rsidR="00827227">
        <w:t xml:space="preserve">lso at the end of the </w:t>
      </w:r>
      <w:proofErr w:type="spellStart"/>
      <w:r w:rsidR="00827227">
        <w:t>subframe</w:t>
      </w:r>
      <w:proofErr w:type="spellEnd"/>
      <w:r w:rsidR="00827227">
        <w:t xml:space="preserve"> </w:t>
      </w:r>
      <w:r w:rsidR="00BA76BC">
        <w:t>to create</w:t>
      </w:r>
      <w:r w:rsidR="00CF2225">
        <w:t xml:space="preserve"> the guard time necessary between an uplink transmission and a downlink transmission in the next </w:t>
      </w:r>
      <w:proofErr w:type="spellStart"/>
      <w:r w:rsidR="00CF2225">
        <w:t>subframe</w:t>
      </w:r>
      <w:proofErr w:type="spellEnd"/>
      <w:r w:rsidR="00CF2225">
        <w:t xml:space="preserve">. </w:t>
      </w:r>
      <w:r w:rsidR="00827227">
        <w:t xml:space="preserve">Finally, bidirectional </w:t>
      </w:r>
      <w:proofErr w:type="spellStart"/>
      <w:r w:rsidR="00827227">
        <w:t>subframes</w:t>
      </w:r>
      <w:proofErr w:type="spellEnd"/>
      <w:r w:rsidR="00827227">
        <w:t xml:space="preserve"> are ambiguous and not directly applicable to situations such as FDD when the uplink and downlink transmissions take place at different frequencies, neither does it </w:t>
      </w:r>
      <w:r w:rsidR="001B0F12">
        <w:t>result in a simple description in the case of future extension to so-called ‘full-duplex TDD’.</w:t>
      </w:r>
    </w:p>
    <w:p w14:paraId="0CC74127" w14:textId="77777777" w:rsidR="00037C51" w:rsidRPr="00037C51" w:rsidRDefault="00722ED5" w:rsidP="00722ED5">
      <w:pPr>
        <w:pStyle w:val="BodyText"/>
        <w:keepNext/>
      </w:pPr>
      <w:r w:rsidRPr="00722ED5">
        <w:rPr>
          <w:noProof/>
          <w:lang w:val="sv-SE" w:eastAsia="sv-SE"/>
        </w:rPr>
        <w:drawing>
          <wp:inline distT="0" distB="0" distL="0" distR="0" wp14:anchorId="6A79D5F6" wp14:editId="5F123F78">
            <wp:extent cx="5772150" cy="53781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537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ED5">
        <w:t xml:space="preserve"> </w:t>
      </w:r>
      <w:bookmarkStart w:id="4" w:name="_Ref454977199"/>
      <w:r w:rsidR="00037C51">
        <w:t xml:space="preserve">Figure </w:t>
      </w:r>
      <w:r w:rsidR="00037C51">
        <w:fldChar w:fldCharType="begin"/>
      </w:r>
      <w:r w:rsidR="00037C51">
        <w:instrText xml:space="preserve"> SEQ Figure \* ARABIC </w:instrText>
      </w:r>
      <w:r w:rsidR="00037C51">
        <w:fldChar w:fldCharType="separate"/>
      </w:r>
      <w:r w:rsidR="00D04257">
        <w:rPr>
          <w:noProof/>
        </w:rPr>
        <w:t>1</w:t>
      </w:r>
      <w:r w:rsidR="00037C51">
        <w:fldChar w:fldCharType="end"/>
      </w:r>
      <w:bookmarkEnd w:id="4"/>
      <w:r w:rsidR="00037C51">
        <w:t>:</w:t>
      </w:r>
      <w:r w:rsidR="00BA76BC">
        <w:t xml:space="preserve"> ‘Sloppy’ description of TDD </w:t>
      </w:r>
      <w:proofErr w:type="spellStart"/>
      <w:r w:rsidR="00BA76BC">
        <w:t>subframe</w:t>
      </w:r>
      <w:proofErr w:type="spellEnd"/>
      <w:r w:rsidR="00BA76BC">
        <w:t xml:space="preserve"> structure.</w:t>
      </w:r>
    </w:p>
    <w:p w14:paraId="531B1B61" w14:textId="77777777" w:rsidR="00BA76BC" w:rsidRDefault="00CF2225" w:rsidP="00CF2225">
      <w:pPr>
        <w:pStyle w:val="BodyText"/>
      </w:pPr>
      <w:r>
        <w:t xml:space="preserve">A better way to describe the </w:t>
      </w:r>
      <w:proofErr w:type="spellStart"/>
      <w:r>
        <w:t>subframe</w:t>
      </w:r>
      <w:proofErr w:type="spellEnd"/>
      <w:r>
        <w:t xml:space="preserve"> structure is to separate uplink and downlink, see </w:t>
      </w:r>
      <w:r w:rsidR="00304706">
        <w:fldChar w:fldCharType="begin"/>
      </w:r>
      <w:r w:rsidR="00304706">
        <w:instrText xml:space="preserve"> REF _Ref457465422 \h </w:instrText>
      </w:r>
      <w:r w:rsidR="00304706">
        <w:fldChar w:fldCharType="separate"/>
      </w:r>
      <w:r w:rsidR="00304706">
        <w:t xml:space="preserve">Figure </w:t>
      </w:r>
      <w:r w:rsidR="00304706">
        <w:rPr>
          <w:noProof/>
        </w:rPr>
        <w:t>2</w:t>
      </w:r>
      <w:r w:rsidR="00304706">
        <w:fldChar w:fldCharType="end"/>
      </w:r>
      <w:r>
        <w:t>. This way, the timing relations between uplink and downlink can be described without affecting the struc</w:t>
      </w:r>
      <w:r w:rsidR="00BA76BC">
        <w:t xml:space="preserve">ture of the respective </w:t>
      </w:r>
      <w:proofErr w:type="spellStart"/>
      <w:r w:rsidR="00BA76BC">
        <w:t>subframe</w:t>
      </w:r>
      <w:proofErr w:type="spellEnd"/>
      <w:r w:rsidR="00BA76BC">
        <w:t xml:space="preserve">. It is also the approach used </w:t>
      </w:r>
      <w:r w:rsidR="00304706">
        <w:t>in Section 8 of 36.211</w:t>
      </w:r>
      <w:r w:rsidR="00BA76BC">
        <w:t xml:space="preserve">. </w:t>
      </w:r>
    </w:p>
    <w:p w14:paraId="51F64A81" w14:textId="77777777" w:rsidR="00BA76BC" w:rsidRDefault="00722ED5" w:rsidP="00722ED5">
      <w:pPr>
        <w:pStyle w:val="BodyText"/>
        <w:keepNext/>
      </w:pPr>
      <w:r w:rsidRPr="00722ED5">
        <w:rPr>
          <w:noProof/>
          <w:lang w:val="sv-SE" w:eastAsia="sv-SE"/>
        </w:rPr>
        <w:drawing>
          <wp:inline distT="0" distB="0" distL="0" distR="0" wp14:anchorId="5A19B728" wp14:editId="27946E32">
            <wp:extent cx="5772150" cy="13070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130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ED5">
        <w:t xml:space="preserve"> </w:t>
      </w:r>
      <w:bookmarkStart w:id="5" w:name="_Ref457465422"/>
      <w:r w:rsidR="00BA76BC">
        <w:t xml:space="preserve">Figure </w:t>
      </w:r>
      <w:r w:rsidR="00BA76BC">
        <w:fldChar w:fldCharType="begin"/>
      </w:r>
      <w:r w:rsidR="00BA76BC">
        <w:instrText xml:space="preserve"> SEQ Figure \* ARABIC </w:instrText>
      </w:r>
      <w:r w:rsidR="00BA76BC">
        <w:fldChar w:fldCharType="separate"/>
      </w:r>
      <w:r w:rsidR="00D04257">
        <w:rPr>
          <w:noProof/>
        </w:rPr>
        <w:t>2</w:t>
      </w:r>
      <w:r w:rsidR="00BA76BC">
        <w:fldChar w:fldCharType="end"/>
      </w:r>
      <w:bookmarkEnd w:id="5"/>
      <w:r w:rsidR="00BA76BC">
        <w:t xml:space="preserve">: ‘Specification perspective’ of TDD </w:t>
      </w:r>
      <w:proofErr w:type="spellStart"/>
      <w:proofErr w:type="gramStart"/>
      <w:r w:rsidR="00BA76BC">
        <w:t>subframe</w:t>
      </w:r>
      <w:proofErr w:type="spellEnd"/>
      <w:proofErr w:type="gramEnd"/>
      <w:r w:rsidR="00BA76BC">
        <w:t xml:space="preserve"> structure.</w:t>
      </w:r>
    </w:p>
    <w:p w14:paraId="709510C6" w14:textId="36B60D55" w:rsidR="00CF2225" w:rsidRDefault="00BA76BC" w:rsidP="00CF2225">
      <w:pPr>
        <w:pStyle w:val="BodyText"/>
      </w:pPr>
      <w:r>
        <w:t xml:space="preserve">For example, using two </w:t>
      </w:r>
      <w:r w:rsidR="004019F6">
        <w:t>‘transmission unit’ types</w:t>
      </w:r>
      <w:r>
        <w:t xml:space="preserve">, </w:t>
      </w:r>
    </w:p>
    <w:p w14:paraId="21B17AEF" w14:textId="4B204E39" w:rsidR="00BA76BC" w:rsidRDefault="00BA76BC" w:rsidP="00BA76BC">
      <w:pPr>
        <w:pStyle w:val="ListParagraph"/>
        <w:numPr>
          <w:ilvl w:val="0"/>
          <w:numId w:val="7"/>
        </w:numPr>
      </w:pPr>
      <w:r>
        <w:t xml:space="preserve">a downlink </w:t>
      </w:r>
      <w:r w:rsidR="004019F6">
        <w:t>transmission unit</w:t>
      </w:r>
      <w:r>
        <w:t xml:space="preserve"> with transmissions starting at the beginning of the </w:t>
      </w:r>
      <w:r w:rsidR="004019F6">
        <w:t>unit</w:t>
      </w:r>
      <w:r>
        <w:t>, and</w:t>
      </w:r>
    </w:p>
    <w:p w14:paraId="30C5F82B" w14:textId="2CB8CA3B" w:rsidR="00BA76BC" w:rsidRDefault="00BA76BC" w:rsidP="00BA76BC">
      <w:pPr>
        <w:pStyle w:val="ListParagraph"/>
        <w:numPr>
          <w:ilvl w:val="0"/>
          <w:numId w:val="7"/>
        </w:numPr>
      </w:pPr>
      <w:r>
        <w:t xml:space="preserve">an uplink </w:t>
      </w:r>
      <w:r w:rsidR="004019F6">
        <w:t>transmission unit</w:t>
      </w:r>
      <w:r>
        <w:t xml:space="preserve"> with transmissions ending at the end of a </w:t>
      </w:r>
      <w:r w:rsidR="004019F6">
        <w:t>unit</w:t>
      </w:r>
      <w:r>
        <w:t>,</w:t>
      </w:r>
    </w:p>
    <w:p w14:paraId="35CE5F31" w14:textId="650D9E82" w:rsidR="00BA76BC" w:rsidRDefault="00BA76BC" w:rsidP="004920E3">
      <w:proofErr w:type="gramStart"/>
      <w:r>
        <w:t>transmissions</w:t>
      </w:r>
      <w:proofErr w:type="gramEnd"/>
      <w:r>
        <w:t xml:space="preserve"> spanning one or more </w:t>
      </w:r>
      <w:r w:rsidR="004019F6">
        <w:t>units</w:t>
      </w:r>
      <w:r>
        <w:t xml:space="preserve"> can be composed as shown in </w:t>
      </w:r>
      <w:r w:rsidR="00D04257">
        <w:fldChar w:fldCharType="begin"/>
      </w:r>
      <w:r w:rsidR="00D04257">
        <w:instrText xml:space="preserve"> REF _Ref454978968 \h </w:instrText>
      </w:r>
      <w:r w:rsidR="00D04257">
        <w:fldChar w:fldCharType="separate"/>
      </w:r>
      <w:r w:rsidR="00D04257">
        <w:t xml:space="preserve">Figure </w:t>
      </w:r>
      <w:r w:rsidR="00D04257">
        <w:rPr>
          <w:noProof/>
        </w:rPr>
        <w:t>3</w:t>
      </w:r>
      <w:r w:rsidR="00D04257">
        <w:fldChar w:fldCharType="end"/>
      </w:r>
      <w:r>
        <w:t>.</w:t>
      </w:r>
      <w:r w:rsidR="006A2FD9" w:rsidRPr="006A2FD9">
        <w:t xml:space="preserve"> </w:t>
      </w:r>
      <w:r w:rsidR="006A2FD9">
        <w:t xml:space="preserve">Note that there is </w:t>
      </w:r>
      <w:r w:rsidR="006A2FD9">
        <w:rPr>
          <w:i/>
        </w:rPr>
        <w:t>no</w:t>
      </w:r>
      <w:r w:rsidR="006A2FD9">
        <w:t xml:space="preserve"> </w:t>
      </w:r>
      <w:r w:rsidR="006A2FD9" w:rsidRPr="006A2FD9">
        <w:t>functional</w:t>
      </w:r>
      <w:r w:rsidR="006A2FD9">
        <w:t xml:space="preserve"> difference between the two approaches – it is only two different ways of describing the </w:t>
      </w:r>
      <w:r w:rsidR="006A2FD9" w:rsidRPr="006A2FD9">
        <w:rPr>
          <w:i/>
        </w:rPr>
        <w:t>same</w:t>
      </w:r>
      <w:r w:rsidR="006A2FD9">
        <w:t xml:space="preserve"> technical behavior. The latter description, however, is </w:t>
      </w:r>
      <w:r w:rsidR="00163DEE">
        <w:t>simpler</w:t>
      </w:r>
      <w:r w:rsidR="006A2FD9">
        <w:t xml:space="preserve"> and directly applicable also to FDD as shown in </w:t>
      </w:r>
      <w:r w:rsidR="006A2FD9">
        <w:fldChar w:fldCharType="begin"/>
      </w:r>
      <w:r w:rsidR="006A2FD9">
        <w:instrText xml:space="preserve"> REF _Ref454978968 \h </w:instrText>
      </w:r>
      <w:r w:rsidR="006A2FD9">
        <w:fldChar w:fldCharType="separate"/>
      </w:r>
      <w:r w:rsidR="006A2FD9">
        <w:t xml:space="preserve">Figure </w:t>
      </w:r>
      <w:r w:rsidR="006A2FD9">
        <w:rPr>
          <w:noProof/>
        </w:rPr>
        <w:t>3</w:t>
      </w:r>
      <w:r w:rsidR="006A2FD9">
        <w:fldChar w:fldCharType="end"/>
      </w:r>
      <w:r w:rsidR="004920E3">
        <w:t xml:space="preserve">. </w:t>
      </w:r>
    </w:p>
    <w:p w14:paraId="49269EE9" w14:textId="77777777" w:rsidR="00D04257" w:rsidRDefault="00D04257" w:rsidP="00D04257">
      <w:pPr>
        <w:pStyle w:val="BodyText"/>
        <w:keepNext/>
      </w:pPr>
      <w:r w:rsidRPr="00D04257">
        <w:rPr>
          <w:noProof/>
          <w:lang w:val="sv-SE" w:eastAsia="sv-SE"/>
        </w:rPr>
        <w:lastRenderedPageBreak/>
        <w:drawing>
          <wp:inline distT="0" distB="0" distL="0" distR="0" wp14:anchorId="045446E4" wp14:editId="30303A53">
            <wp:extent cx="5760720" cy="22850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8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B2EC1" w14:textId="77777777" w:rsidR="00BA76BC" w:rsidRDefault="00D04257" w:rsidP="00D04257">
      <w:pPr>
        <w:pStyle w:val="Caption"/>
        <w:jc w:val="both"/>
      </w:pPr>
      <w:bookmarkStart w:id="6" w:name="_Ref4549789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>
        <w:t>: Examples of TDD and FDD transmissions.</w:t>
      </w:r>
    </w:p>
    <w:p w14:paraId="672D8158" w14:textId="77777777" w:rsidR="00FE5799" w:rsidRDefault="00FE5799" w:rsidP="00BA76BC">
      <w:pPr>
        <w:pStyle w:val="Heading1"/>
        <w:spacing w:before="180"/>
        <w:ind w:left="562" w:hanging="562"/>
      </w:pPr>
      <w:r>
        <w:t>Conclusion</w:t>
      </w:r>
    </w:p>
    <w:p w14:paraId="57C80800" w14:textId="77777777" w:rsidR="001B0F12" w:rsidRPr="001B0F12" w:rsidRDefault="001B0F12" w:rsidP="001B0F12">
      <w:pPr>
        <w:pStyle w:val="BodyText"/>
      </w:pPr>
      <w:r>
        <w:t xml:space="preserve">It is recommended to adopt a ‘specification-friendly’ </w:t>
      </w:r>
      <w:r w:rsidR="006A2FD9">
        <w:t>approach</w:t>
      </w:r>
      <w:r>
        <w:t xml:space="preserve"> with </w:t>
      </w:r>
      <w:r w:rsidR="006A2FD9">
        <w:t xml:space="preserve">separate </w:t>
      </w:r>
      <w:proofErr w:type="spellStart"/>
      <w:r w:rsidR="006A2FD9">
        <w:t>subframe</w:t>
      </w:r>
      <w:proofErr w:type="spellEnd"/>
      <w:r w:rsidR="006A2FD9">
        <w:t xml:space="preserve"> description of the uplink and downlink parts.</w:t>
      </w:r>
    </w:p>
    <w:p w14:paraId="2FE7CB95" w14:textId="77777777" w:rsidR="00BA76BC" w:rsidRPr="00BA76BC" w:rsidRDefault="00BA76BC" w:rsidP="00BA76BC">
      <w:pPr>
        <w:pStyle w:val="BodyText"/>
      </w:pPr>
    </w:p>
    <w:sectPr w:rsidR="00BA76BC" w:rsidRPr="00BA76B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644C65B" w15:done="0"/>
  <w15:commentEx w15:paraId="777A787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410C5" w14:textId="77777777" w:rsidR="000C3509" w:rsidRDefault="000C3509">
      <w:r>
        <w:separator/>
      </w:r>
    </w:p>
  </w:endnote>
  <w:endnote w:type="continuationSeparator" w:id="0">
    <w:p w14:paraId="1491B694" w14:textId="77777777" w:rsidR="000C3509" w:rsidRDefault="000C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EBC09" w14:textId="77777777" w:rsidR="000C3509" w:rsidRDefault="000C3509">
      <w:r>
        <w:separator/>
      </w:r>
    </w:p>
  </w:footnote>
  <w:footnote w:type="continuationSeparator" w:id="0">
    <w:p w14:paraId="51DFADAE" w14:textId="77777777" w:rsidR="000C3509" w:rsidRDefault="000C3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C4915" w14:textId="77777777" w:rsidR="004D4F57" w:rsidRDefault="000C3509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ert Baldemair">
    <w15:presenceInfo w15:providerId="AD" w15:userId="S-1-5-21-1538607324-3213881460-940295383-4899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37C51"/>
    <w:rsid w:val="000475C0"/>
    <w:rsid w:val="000A258F"/>
    <w:rsid w:val="000C3509"/>
    <w:rsid w:val="0010560B"/>
    <w:rsid w:val="00112E18"/>
    <w:rsid w:val="00114B6A"/>
    <w:rsid w:val="00141448"/>
    <w:rsid w:val="00163DEE"/>
    <w:rsid w:val="00175D32"/>
    <w:rsid w:val="00184C8A"/>
    <w:rsid w:val="00197E95"/>
    <w:rsid w:val="001B0F12"/>
    <w:rsid w:val="001D2B2A"/>
    <w:rsid w:val="0021013F"/>
    <w:rsid w:val="00211F8D"/>
    <w:rsid w:val="00217DE9"/>
    <w:rsid w:val="00231F06"/>
    <w:rsid w:val="00290099"/>
    <w:rsid w:val="00304706"/>
    <w:rsid w:val="00372C32"/>
    <w:rsid w:val="003875A3"/>
    <w:rsid w:val="004019F6"/>
    <w:rsid w:val="00422F7B"/>
    <w:rsid w:val="004343F1"/>
    <w:rsid w:val="004920E3"/>
    <w:rsid w:val="004B57FD"/>
    <w:rsid w:val="0055264E"/>
    <w:rsid w:val="005C439D"/>
    <w:rsid w:val="0061336B"/>
    <w:rsid w:val="006717C5"/>
    <w:rsid w:val="006A286A"/>
    <w:rsid w:val="006A2FD9"/>
    <w:rsid w:val="006C7BB6"/>
    <w:rsid w:val="00722ED5"/>
    <w:rsid w:val="0075384C"/>
    <w:rsid w:val="007A01C0"/>
    <w:rsid w:val="00827227"/>
    <w:rsid w:val="00834DE7"/>
    <w:rsid w:val="008B23D4"/>
    <w:rsid w:val="00945F7F"/>
    <w:rsid w:val="009A6BB8"/>
    <w:rsid w:val="009B2E48"/>
    <w:rsid w:val="009D752B"/>
    <w:rsid w:val="00A47015"/>
    <w:rsid w:val="00A56EB6"/>
    <w:rsid w:val="00A70649"/>
    <w:rsid w:val="00A81AA1"/>
    <w:rsid w:val="00A85E54"/>
    <w:rsid w:val="00AA13EF"/>
    <w:rsid w:val="00AB0DBC"/>
    <w:rsid w:val="00B368D9"/>
    <w:rsid w:val="00BA2CDD"/>
    <w:rsid w:val="00BA76BC"/>
    <w:rsid w:val="00C1560A"/>
    <w:rsid w:val="00C326A6"/>
    <w:rsid w:val="00C3339F"/>
    <w:rsid w:val="00C61496"/>
    <w:rsid w:val="00C93774"/>
    <w:rsid w:val="00CE28B2"/>
    <w:rsid w:val="00CF2225"/>
    <w:rsid w:val="00CF67BE"/>
    <w:rsid w:val="00D02349"/>
    <w:rsid w:val="00D03119"/>
    <w:rsid w:val="00D04257"/>
    <w:rsid w:val="00D102DE"/>
    <w:rsid w:val="00D11A2D"/>
    <w:rsid w:val="00DA110D"/>
    <w:rsid w:val="00DE3421"/>
    <w:rsid w:val="00E63D88"/>
    <w:rsid w:val="00E65BB9"/>
    <w:rsid w:val="00F04261"/>
    <w:rsid w:val="00F07A88"/>
    <w:rsid w:val="00F37D49"/>
    <w:rsid w:val="00F97361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9045F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6ADC0-4192-4D1C-8BB6-897716C8D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2016-08-12T12:51:00Z</dcterms:created>
  <dcterms:modified xsi:type="dcterms:W3CDTF">2016-08-12T12:51:00Z</dcterms:modified>
</cp:coreProperties>
</file>