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8E6BFE" w14:textId="6334B03F" w:rsidR="00A85E54" w:rsidRPr="00446F9D" w:rsidRDefault="00A85E54" w:rsidP="00A85E54">
      <w:pPr>
        <w:pStyle w:val="Header"/>
        <w:tabs>
          <w:tab w:val="clear" w:pos="4536"/>
        </w:tabs>
        <w:rPr>
          <w:i/>
        </w:rPr>
      </w:pPr>
      <w:r w:rsidRPr="00446F9D">
        <w:t>TSG-RAN WG1 #</w:t>
      </w:r>
      <w:r w:rsidR="00C75368">
        <w:t>86</w:t>
      </w:r>
      <w:r w:rsidRPr="00446F9D">
        <w:tab/>
        <w:t>R1-</w:t>
      </w:r>
      <w:r w:rsidR="00F05A99">
        <w:t>167047</w:t>
      </w:r>
    </w:p>
    <w:p w14:paraId="6DD1B8DA" w14:textId="77777777" w:rsidR="00A85E54" w:rsidRPr="000833FA" w:rsidRDefault="00C75368" w:rsidP="00A85E54">
      <w:pPr>
        <w:pStyle w:val="Header"/>
        <w:rPr>
          <w:color w:val="000000"/>
        </w:rPr>
      </w:pPr>
      <w:r>
        <w:t>Gothenburg, Sweden, August 22 – 26, 2016</w:t>
      </w:r>
    </w:p>
    <w:p w14:paraId="21AD6B46" w14:textId="77777777" w:rsidR="00A85E54" w:rsidRPr="000833FA" w:rsidRDefault="00A85E54" w:rsidP="00A85E54">
      <w:pPr>
        <w:pStyle w:val="Header"/>
      </w:pPr>
    </w:p>
    <w:p w14:paraId="14F91B73" w14:textId="77777777" w:rsidR="00FE5799" w:rsidRPr="0003368D" w:rsidRDefault="00FE5799" w:rsidP="00FE5799">
      <w:pPr>
        <w:pStyle w:val="Header"/>
        <w:tabs>
          <w:tab w:val="clear" w:pos="4536"/>
          <w:tab w:val="left" w:pos="1800"/>
        </w:tabs>
        <w:ind w:left="1800" w:hanging="1800"/>
      </w:pPr>
      <w:r w:rsidRPr="0003368D">
        <w:t>Source:</w:t>
      </w:r>
      <w:r w:rsidRPr="0003368D">
        <w:tab/>
        <w:t>Ericsson</w:t>
      </w:r>
    </w:p>
    <w:p w14:paraId="339EB50A" w14:textId="77777777" w:rsidR="00FE5799" w:rsidRPr="00F64D4A" w:rsidRDefault="00FE5799" w:rsidP="00FE5799">
      <w:pPr>
        <w:pStyle w:val="Header"/>
        <w:tabs>
          <w:tab w:val="clear" w:pos="4536"/>
          <w:tab w:val="left" w:pos="1800"/>
        </w:tabs>
      </w:pPr>
      <w:r w:rsidRPr="0003368D">
        <w:t>Title:</w:t>
      </w:r>
      <w:bookmarkStart w:id="0" w:name="Title"/>
      <w:bookmarkEnd w:id="0"/>
      <w:r w:rsidRPr="0003368D">
        <w:tab/>
      </w:r>
      <w:r w:rsidR="00037C51">
        <w:t xml:space="preserve">On </w:t>
      </w:r>
      <w:r w:rsidR="00505D01">
        <w:t xml:space="preserve">smallest </w:t>
      </w:r>
      <w:r w:rsidR="008427A9">
        <w:t>schedulable</w:t>
      </w:r>
      <w:r w:rsidR="00505D01">
        <w:t xml:space="preserve"> unit</w:t>
      </w:r>
    </w:p>
    <w:p w14:paraId="6A940531" w14:textId="4AB0C864" w:rsidR="00FE5799" w:rsidRPr="0003368D" w:rsidRDefault="00FE5799" w:rsidP="00FE5799">
      <w:pPr>
        <w:pStyle w:val="Header"/>
        <w:tabs>
          <w:tab w:val="left" w:pos="1800"/>
        </w:tabs>
      </w:pPr>
      <w:r w:rsidRPr="00A342BC">
        <w:t>Agenda Item:</w:t>
      </w:r>
      <w:bookmarkStart w:id="1" w:name="Source"/>
      <w:bookmarkEnd w:id="1"/>
      <w:r w:rsidRPr="00A342BC">
        <w:tab/>
      </w:r>
      <w:r w:rsidR="00507EDA" w:rsidRPr="00A342BC">
        <w:t>8</w:t>
      </w:r>
      <w:r w:rsidR="00037C51" w:rsidRPr="00A342BC">
        <w:t>.1.</w:t>
      </w:r>
      <w:r w:rsidR="00CA6F21" w:rsidRPr="00A342BC">
        <w:t>3</w:t>
      </w:r>
      <w:r w:rsidR="00037C51" w:rsidRPr="00A342BC">
        <w:t>.2</w:t>
      </w:r>
    </w:p>
    <w:p w14:paraId="4B980A5B" w14:textId="77777777" w:rsidR="00FE5799" w:rsidRPr="0003368D" w:rsidRDefault="00FE5799" w:rsidP="00FE5799">
      <w:pPr>
        <w:pStyle w:val="Header"/>
        <w:tabs>
          <w:tab w:val="left" w:pos="1800"/>
        </w:tabs>
      </w:pPr>
      <w:r w:rsidRPr="0003368D">
        <w:t>Document for:</w:t>
      </w:r>
      <w:r w:rsidRPr="0003368D">
        <w:tab/>
      </w:r>
      <w:bookmarkStart w:id="2" w:name="DocumentFor"/>
      <w:bookmarkEnd w:id="2"/>
      <w:r w:rsidRPr="0003368D">
        <w:t xml:space="preserve">Discussion </w:t>
      </w:r>
      <w:r>
        <w:t>and Decision</w:t>
      </w:r>
    </w:p>
    <w:p w14:paraId="22D231EE" w14:textId="77777777" w:rsidR="00FE5799" w:rsidRPr="002100D2" w:rsidRDefault="00FE5799" w:rsidP="00FE5799">
      <w:pPr>
        <w:pBdr>
          <w:bottom w:val="single" w:sz="4" w:space="1" w:color="auto"/>
        </w:pBdr>
        <w:tabs>
          <w:tab w:val="left" w:pos="2552"/>
        </w:tabs>
      </w:pPr>
    </w:p>
    <w:p w14:paraId="74D24E60" w14:textId="77777777" w:rsidR="0017779E" w:rsidRDefault="0017779E" w:rsidP="00FE5799">
      <w:pPr>
        <w:pStyle w:val="Heading1"/>
        <w:spacing w:before="180"/>
        <w:ind w:left="562" w:hanging="562"/>
      </w:pPr>
      <w:r>
        <w:t>Introduction</w:t>
      </w:r>
    </w:p>
    <w:p w14:paraId="4315ADB0" w14:textId="21E5EA6A" w:rsidR="00505D01" w:rsidRPr="00505D01" w:rsidRDefault="008427A9" w:rsidP="00505D01">
      <w:pPr>
        <w:pStyle w:val="BodyText"/>
      </w:pPr>
      <w:r>
        <w:t>Transmissions in NR will, similarly to LTE, be scheduled as a baseline (although contention-b</w:t>
      </w:r>
      <w:r w:rsidR="007F69F6">
        <w:t>ased or “pre-scheduled” mode-</w:t>
      </w:r>
      <w:bookmarkStart w:id="3" w:name="_GoBack"/>
      <w:bookmarkEnd w:id="3"/>
      <w:r w:rsidR="007F69F6">
        <w:t>of-</w:t>
      </w:r>
      <w:r>
        <w:t xml:space="preserve">operations are preferably supported in addition). </w:t>
      </w:r>
      <w:r w:rsidR="00505D01">
        <w:t xml:space="preserve">In LTE, transmissions are organized in </w:t>
      </w:r>
      <w:proofErr w:type="spellStart"/>
      <w:r w:rsidR="00505D01">
        <w:t>subframes</w:t>
      </w:r>
      <w:proofErr w:type="spellEnd"/>
      <w:r w:rsidR="00505D01">
        <w:t xml:space="preserve"> and one </w:t>
      </w:r>
      <w:proofErr w:type="spellStart"/>
      <w:r w:rsidR="00505D01">
        <w:t>subframe</w:t>
      </w:r>
      <w:proofErr w:type="spellEnd"/>
      <w:r w:rsidR="00505D01">
        <w:t xml:space="preserve"> is thus the smallest schedulable unit in the time domain in LTE (at least prior to the ongoing low-latency work for LTE). For NR, the definition of a </w:t>
      </w:r>
      <w:proofErr w:type="spellStart"/>
      <w:r w:rsidR="00505D01">
        <w:t>subframe</w:t>
      </w:r>
      <w:proofErr w:type="spellEnd"/>
      <w:r w:rsidR="00CA6DE0">
        <w:t xml:space="preserve"> (if any)</w:t>
      </w:r>
      <w:r w:rsidR="00505D01">
        <w:t xml:space="preserve"> is still open.</w:t>
      </w:r>
    </w:p>
    <w:p w14:paraId="31B519AC" w14:textId="77777777" w:rsidR="00FE5799" w:rsidRDefault="00037C51" w:rsidP="00FE5799">
      <w:pPr>
        <w:pStyle w:val="Heading1"/>
        <w:spacing w:before="180"/>
        <w:ind w:left="562" w:hanging="562"/>
      </w:pPr>
      <w:r>
        <w:t>Discussion</w:t>
      </w:r>
    </w:p>
    <w:p w14:paraId="0BA6A212" w14:textId="5009F7C9" w:rsidR="00CA6DE0" w:rsidRDefault="00CA6DE0" w:rsidP="00CA6DE0">
      <w:pPr>
        <w:pStyle w:val="BodyText"/>
      </w:pPr>
      <w:r>
        <w:t xml:space="preserve">In </w:t>
      </w:r>
      <w:r w:rsidR="00E4355F">
        <w:t>principle</w:t>
      </w:r>
      <w:r>
        <w:t>, transmissions can start at a given time instant aligned to a time scale with a ‘tic’ every OFDM symbol. Expressed differently, the smallest time granularity when a transmission may start is given by the OFDM symbol duration. If a ‘</w:t>
      </w:r>
      <w:proofErr w:type="spellStart"/>
      <w:r>
        <w:t>subframe</w:t>
      </w:r>
      <w:proofErr w:type="spellEnd"/>
      <w:r>
        <w:t xml:space="preserve">’ is defined it is likely to correspond to multiple OFDM symbols </w:t>
      </w:r>
      <w:r w:rsidR="006D53D6">
        <w:t>with a ‘</w:t>
      </w:r>
      <w:proofErr w:type="spellStart"/>
      <w:r w:rsidR="006D53D6">
        <w:t>subframe</w:t>
      </w:r>
      <w:proofErr w:type="spellEnd"/>
      <w:r w:rsidR="006D53D6">
        <w:t>’ starting</w:t>
      </w:r>
      <w:r>
        <w:t xml:space="preserve"> every </w:t>
      </w:r>
      <w:r>
        <w:rPr>
          <w:i/>
        </w:rPr>
        <w:t>n</w:t>
      </w:r>
      <w:proofErr w:type="gramStart"/>
      <w:r>
        <w:t>:th</w:t>
      </w:r>
      <w:proofErr w:type="gramEnd"/>
      <w:r>
        <w:t xml:space="preserve"> OFDM symbol</w:t>
      </w:r>
      <w:r w:rsidR="00882815">
        <w:t xml:space="preserve">. To simplify the discussion, the term ‘transmission unit’ is used </w:t>
      </w:r>
      <w:r w:rsidR="006D53D6">
        <w:t xml:space="preserve">in the following </w:t>
      </w:r>
      <w:r w:rsidR="00882815">
        <w:t>to describe the interval during which the transmission takes place while ‘</w:t>
      </w:r>
      <w:proofErr w:type="spellStart"/>
      <w:r w:rsidR="00882815">
        <w:t>subframe</w:t>
      </w:r>
      <w:proofErr w:type="spellEnd"/>
      <w:r w:rsidR="00882815">
        <w:t xml:space="preserve">’ denotes the regular time structure starting at every </w:t>
      </w:r>
      <w:r w:rsidR="00882815">
        <w:rPr>
          <w:i/>
        </w:rPr>
        <w:t>n</w:t>
      </w:r>
      <w:r w:rsidR="00882815">
        <w:t>:th OFDM symbol.</w:t>
      </w:r>
    </w:p>
    <w:p w14:paraId="12A44410" w14:textId="77777777" w:rsidR="00CA6DE0" w:rsidRDefault="00CA6DE0" w:rsidP="00CA6DE0">
      <w:pPr>
        <w:pStyle w:val="BodyText"/>
      </w:pPr>
      <w:r>
        <w:t>A relevant question is whether transmissions may start</w:t>
      </w:r>
    </w:p>
    <w:p w14:paraId="42D3E424" w14:textId="6D2E81D4" w:rsidR="00CA6DE0" w:rsidRDefault="00CA6DE0" w:rsidP="00CA6DE0">
      <w:pPr>
        <w:pStyle w:val="BodyText"/>
        <w:numPr>
          <w:ilvl w:val="0"/>
          <w:numId w:val="10"/>
        </w:numPr>
      </w:pPr>
      <w:r>
        <w:t>only a</w:t>
      </w:r>
      <w:r w:rsidR="00927A4E">
        <w:t>t</w:t>
      </w:r>
      <w:r>
        <w:t xml:space="preserve"> the start of a </w:t>
      </w:r>
      <w:proofErr w:type="spellStart"/>
      <w:r>
        <w:t>subframe</w:t>
      </w:r>
      <w:proofErr w:type="spellEnd"/>
      <w:r>
        <w:t xml:space="preserve">, </w:t>
      </w:r>
      <w:r w:rsidR="006D53D6">
        <w:t>i.e. a</w:t>
      </w:r>
      <w:r w:rsidR="00882815">
        <w:t xml:space="preserve"> ‘</w:t>
      </w:r>
      <w:r w:rsidR="008427A9">
        <w:t>transmission</w:t>
      </w:r>
      <w:r w:rsidR="00882815">
        <w:t xml:space="preserve"> unit’ is </w:t>
      </w:r>
      <w:r w:rsidR="006D53D6">
        <w:t>aligned</w:t>
      </w:r>
      <w:r w:rsidR="00882815">
        <w:t xml:space="preserve"> to </w:t>
      </w:r>
      <w:r w:rsidR="006D53D6">
        <w:t xml:space="preserve">a </w:t>
      </w:r>
      <w:r w:rsidR="00882815">
        <w:t>‘</w:t>
      </w:r>
      <w:proofErr w:type="spellStart"/>
      <w:r w:rsidR="00882815">
        <w:t>subframe</w:t>
      </w:r>
      <w:proofErr w:type="spellEnd"/>
      <w:r w:rsidR="00882815">
        <w:t>’</w:t>
      </w:r>
      <w:r w:rsidR="001B530F">
        <w:t xml:space="preserve"> (top of </w:t>
      </w:r>
      <w:r w:rsidR="001B530F">
        <w:fldChar w:fldCharType="begin"/>
      </w:r>
      <w:r w:rsidR="001B530F">
        <w:instrText xml:space="preserve"> REF _Ref458413102 \h </w:instrText>
      </w:r>
      <w:r w:rsidR="001B530F">
        <w:fldChar w:fldCharType="separate"/>
      </w:r>
      <w:r w:rsidR="001B530F">
        <w:t xml:space="preserve">Figure </w:t>
      </w:r>
      <w:r w:rsidR="001B530F">
        <w:rPr>
          <w:noProof/>
        </w:rPr>
        <w:t>1</w:t>
      </w:r>
      <w:r w:rsidR="001B530F">
        <w:fldChar w:fldCharType="end"/>
      </w:r>
      <w:r w:rsidR="001B530F">
        <w:t>)</w:t>
      </w:r>
      <w:r w:rsidR="00882815">
        <w:t xml:space="preserve">, </w:t>
      </w:r>
      <w:r>
        <w:t>or</w:t>
      </w:r>
    </w:p>
    <w:p w14:paraId="55E41A1C" w14:textId="30D6D5CD" w:rsidR="00CA6DE0" w:rsidRDefault="006D53D6" w:rsidP="00CA6DE0">
      <w:pPr>
        <w:pStyle w:val="BodyText"/>
        <w:numPr>
          <w:ilvl w:val="0"/>
          <w:numId w:val="10"/>
        </w:numPr>
      </w:pPr>
      <w:proofErr w:type="gramStart"/>
      <w:r>
        <w:t>at</w:t>
      </w:r>
      <w:proofErr w:type="gramEnd"/>
      <w:r>
        <w:t xml:space="preserve"> ‘any’ OFDM symbol, i.e. a</w:t>
      </w:r>
      <w:r w:rsidR="00882815">
        <w:t xml:space="preserve"> ‘</w:t>
      </w:r>
      <w:r w:rsidR="008427A9">
        <w:t>transmission</w:t>
      </w:r>
      <w:r w:rsidR="00882815">
        <w:t xml:space="preserve"> unit’ is not </w:t>
      </w:r>
      <w:r>
        <w:t xml:space="preserve">necessary aligned to </w:t>
      </w:r>
      <w:r w:rsidR="00882815">
        <w:t>a ‘</w:t>
      </w:r>
      <w:proofErr w:type="spellStart"/>
      <w:r w:rsidR="00882815">
        <w:t>subframe</w:t>
      </w:r>
      <w:proofErr w:type="spellEnd"/>
      <w:r w:rsidR="00882815">
        <w:t>’</w:t>
      </w:r>
      <w:r w:rsidR="001B530F">
        <w:t xml:space="preserve"> (bottom of </w:t>
      </w:r>
      <w:r w:rsidR="001B530F">
        <w:fldChar w:fldCharType="begin"/>
      </w:r>
      <w:r w:rsidR="001B530F">
        <w:instrText xml:space="preserve"> REF _Ref458413102 \h </w:instrText>
      </w:r>
      <w:r w:rsidR="001B530F">
        <w:fldChar w:fldCharType="separate"/>
      </w:r>
      <w:r w:rsidR="001B530F">
        <w:t xml:space="preserve">Figure </w:t>
      </w:r>
      <w:r w:rsidR="001B530F">
        <w:rPr>
          <w:noProof/>
        </w:rPr>
        <w:t>1</w:t>
      </w:r>
      <w:r w:rsidR="001B530F">
        <w:fldChar w:fldCharType="end"/>
      </w:r>
      <w:r w:rsidR="001B530F">
        <w:t>)</w:t>
      </w:r>
      <w:r w:rsidR="00CA6DE0">
        <w:t>.</w:t>
      </w:r>
    </w:p>
    <w:p w14:paraId="2ACA86A1" w14:textId="77777777" w:rsidR="00E4355F" w:rsidRPr="00882815" w:rsidRDefault="00E4355F" w:rsidP="00E4355F">
      <w:pPr>
        <w:pStyle w:val="BodyText"/>
      </w:pPr>
      <w:r>
        <w:t>In the following, the consequences of adopting one or the other of these two approaches are discussed.</w:t>
      </w:r>
      <w:r w:rsidR="00882815">
        <w:t xml:space="preserve"> </w:t>
      </w:r>
    </w:p>
    <w:p w14:paraId="369B9BE4" w14:textId="77777777" w:rsidR="0054011B" w:rsidRDefault="0054011B" w:rsidP="0054011B">
      <w:pPr>
        <w:pStyle w:val="BodyText"/>
      </w:pPr>
    </w:p>
    <w:p w14:paraId="0AB845A9" w14:textId="77777777" w:rsidR="0054011B" w:rsidRDefault="00CC6C24" w:rsidP="0054011B">
      <w:pPr>
        <w:pStyle w:val="BodyText"/>
        <w:keepNext/>
      </w:pPr>
      <w:r w:rsidRPr="00CC6C24">
        <w:rPr>
          <w:noProof/>
          <w:lang w:val="sv-SE" w:eastAsia="sv-SE"/>
        </w:rPr>
        <w:drawing>
          <wp:inline distT="0" distB="0" distL="0" distR="0" wp14:anchorId="2E49ED30" wp14:editId="651D06AE">
            <wp:extent cx="5465445" cy="2360295"/>
            <wp:effectExtent l="0" t="0" r="1905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5445" cy="2360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C6C24">
        <w:t xml:space="preserve"> </w:t>
      </w:r>
    </w:p>
    <w:p w14:paraId="5A5510FA" w14:textId="77777777" w:rsidR="0054011B" w:rsidRDefault="0054011B" w:rsidP="0054011B">
      <w:pPr>
        <w:pStyle w:val="Caption"/>
        <w:jc w:val="both"/>
      </w:pPr>
      <w:bookmarkStart w:id="4" w:name="_Ref45841310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882815">
        <w:rPr>
          <w:noProof/>
        </w:rPr>
        <w:t>1</w:t>
      </w:r>
      <w:r>
        <w:fldChar w:fldCharType="end"/>
      </w:r>
      <w:bookmarkEnd w:id="4"/>
      <w:r>
        <w:t xml:space="preserve">: </w:t>
      </w:r>
      <w:proofErr w:type="spellStart"/>
      <w:r w:rsidR="001B530F">
        <w:t>Subframes</w:t>
      </w:r>
      <w:proofErr w:type="spellEnd"/>
      <w:r w:rsidR="001B530F">
        <w:t xml:space="preserve"> and transmission intervals.</w:t>
      </w:r>
    </w:p>
    <w:p w14:paraId="0C792396" w14:textId="77777777" w:rsidR="00CA6DE0" w:rsidRDefault="004C6604" w:rsidP="004C6604">
      <w:pPr>
        <w:pStyle w:val="Heading2"/>
      </w:pPr>
      <w:r>
        <w:t xml:space="preserve">Transmission starts at </w:t>
      </w:r>
      <w:proofErr w:type="spellStart"/>
      <w:r w:rsidR="00E4355F">
        <w:t>subframe</w:t>
      </w:r>
      <w:proofErr w:type="spellEnd"/>
      <w:r w:rsidR="00E4355F">
        <w:t xml:space="preserve"> boundaries only</w:t>
      </w:r>
    </w:p>
    <w:p w14:paraId="1E56E006" w14:textId="77777777" w:rsidR="00CA6DE0" w:rsidRDefault="00CA6DE0" w:rsidP="00CA6DE0">
      <w:pPr>
        <w:pStyle w:val="BodyText"/>
      </w:pPr>
      <w:r>
        <w:t xml:space="preserve">In the </w:t>
      </w:r>
      <w:r w:rsidR="00E4355F">
        <w:t>first</w:t>
      </w:r>
      <w:r>
        <w:t xml:space="preserve"> case, which is similar to LTE</w:t>
      </w:r>
      <w:r w:rsidR="00E4355F">
        <w:t xml:space="preserve"> Rel-8</w:t>
      </w:r>
      <w:r>
        <w:t xml:space="preserve">, transmissions may start only at </w:t>
      </w:r>
      <w:proofErr w:type="spellStart"/>
      <w:r w:rsidR="001B530F">
        <w:t>subframe</w:t>
      </w:r>
      <w:proofErr w:type="spellEnd"/>
      <w:r w:rsidR="001B530F">
        <w:t xml:space="preserve"> boundaries, i.e. the transmission unit is identical to a </w:t>
      </w:r>
      <w:proofErr w:type="spellStart"/>
      <w:r w:rsidR="001B530F">
        <w:t>subframe</w:t>
      </w:r>
      <w:proofErr w:type="spellEnd"/>
      <w:r>
        <w:t>.</w:t>
      </w:r>
      <w:r w:rsidR="00F621B3">
        <w:t xml:space="preserve"> To allow for sufficient low latency, </w:t>
      </w:r>
      <w:r w:rsidR="00F621B3">
        <w:rPr>
          <w:i/>
        </w:rPr>
        <w:t>n</w:t>
      </w:r>
      <w:r w:rsidR="00F621B3">
        <w:t xml:space="preserve"> need to be relatively small, i.e. the basic </w:t>
      </w:r>
      <w:proofErr w:type="spellStart"/>
      <w:r w:rsidR="00F621B3">
        <w:t>subframe</w:t>
      </w:r>
      <w:proofErr w:type="spellEnd"/>
      <w:r w:rsidR="00F621B3">
        <w:t xml:space="preserve"> duration needs to be short. Services not requiring low latency may use an aggr</w:t>
      </w:r>
      <w:r w:rsidR="001B530F">
        <w:t xml:space="preserve">egation of multiple </w:t>
      </w:r>
      <w:proofErr w:type="spellStart"/>
      <w:r w:rsidR="001B530F">
        <w:t>subframes</w:t>
      </w:r>
      <w:proofErr w:type="spellEnd"/>
      <w:r w:rsidR="00F621B3">
        <w:t xml:space="preserve"> as shown in </w:t>
      </w:r>
      <w:r w:rsidR="00F621B3">
        <w:fldChar w:fldCharType="begin"/>
      </w:r>
      <w:r w:rsidR="00F621B3">
        <w:instrText xml:space="preserve"> REF _Ref457581844 \h </w:instrText>
      </w:r>
      <w:r w:rsidR="00F621B3">
        <w:fldChar w:fldCharType="separate"/>
      </w:r>
      <w:r w:rsidR="00882815">
        <w:t xml:space="preserve">Figure </w:t>
      </w:r>
      <w:r w:rsidR="00882815">
        <w:rPr>
          <w:noProof/>
        </w:rPr>
        <w:t>2</w:t>
      </w:r>
      <w:r w:rsidR="00F621B3">
        <w:fldChar w:fldCharType="end"/>
      </w:r>
      <w:r w:rsidR="00F621B3">
        <w:t xml:space="preserve"> to reduce the control signaling overhead. Efficient operation in unlicensed spectrum also calls for </w:t>
      </w:r>
      <w:proofErr w:type="gramStart"/>
      <w:r w:rsidR="00F621B3">
        <w:t>a short</w:t>
      </w:r>
      <w:proofErr w:type="gramEnd"/>
      <w:r w:rsidR="00F621B3">
        <w:t xml:space="preserve"> </w:t>
      </w:r>
      <w:proofErr w:type="spellStart"/>
      <w:r w:rsidR="00F621B3">
        <w:t>subfr</w:t>
      </w:r>
      <w:r w:rsidR="001B530F">
        <w:t>a</w:t>
      </w:r>
      <w:r w:rsidR="00F621B3">
        <w:t>me</w:t>
      </w:r>
      <w:proofErr w:type="spellEnd"/>
      <w:r w:rsidR="00F621B3">
        <w:t xml:space="preserve"> duration in this case as it is beneficial to start transmission as soon as possible after the listen-before-talk procedure </w:t>
      </w:r>
      <w:r w:rsidR="00B96B6C">
        <w:t>declares</w:t>
      </w:r>
      <w:r w:rsidR="00F621B3">
        <w:t xml:space="preserve"> the channel to be available. </w:t>
      </w:r>
    </w:p>
    <w:p w14:paraId="05DD184E" w14:textId="77777777" w:rsidR="0058278C" w:rsidRDefault="0058278C" w:rsidP="00CA6DE0">
      <w:pPr>
        <w:pStyle w:val="BodyText"/>
      </w:pPr>
      <w:r>
        <w:t xml:space="preserve">The shortest possible </w:t>
      </w:r>
      <w:proofErr w:type="spellStart"/>
      <w:r>
        <w:t>subframe</w:t>
      </w:r>
      <w:proofErr w:type="spellEnd"/>
      <w:r>
        <w:t xml:space="preserve"> duration (if equal-length </w:t>
      </w:r>
      <w:proofErr w:type="spellStart"/>
      <w:r>
        <w:t>subframes</w:t>
      </w:r>
      <w:proofErr w:type="spellEnd"/>
      <w:r>
        <w:t xml:space="preserve"> are desired) </w:t>
      </w:r>
      <w:proofErr w:type="gramStart"/>
      <w:r>
        <w:t>is</w:t>
      </w:r>
      <w:proofErr w:type="gramEnd"/>
      <w:r>
        <w:t xml:space="preserve"> 7 OFDM symbols</w:t>
      </w:r>
      <w:r w:rsidR="001B530F">
        <w:t xml:space="preserve">, </w:t>
      </w:r>
      <w:r w:rsidR="008427A9">
        <w:t>implying</w:t>
      </w:r>
      <w:r w:rsidR="001B530F">
        <w:t xml:space="preserve"> the shortest transmission unit being 7 OFDM symbols</w:t>
      </w:r>
      <w:r>
        <w:t xml:space="preserve">. At 15 kHz subcarrier spacing this corresponds to 0.5 </w:t>
      </w:r>
      <w:proofErr w:type="spellStart"/>
      <w:r>
        <w:t>ms</w:t>
      </w:r>
      <w:proofErr w:type="spellEnd"/>
      <w:r>
        <w:t xml:space="preserve"> </w:t>
      </w:r>
      <w:r>
        <w:lastRenderedPageBreak/>
        <w:t>and a relevant question is whether this is short enough for low-latency services.</w:t>
      </w:r>
      <w:r w:rsidR="00463305">
        <w:t xml:space="preserve"> In the LTE work </w:t>
      </w:r>
      <w:r w:rsidR="001B530F">
        <w:t xml:space="preserve">item </w:t>
      </w:r>
      <w:r w:rsidR="00463305">
        <w:t xml:space="preserve">on latency reduction </w:t>
      </w:r>
      <w:r w:rsidR="001B530F">
        <w:t>an even smaller time unit than ‘</w:t>
      </w:r>
      <w:proofErr w:type="spellStart"/>
      <w:r w:rsidR="001B530F">
        <w:t>subframe</w:t>
      </w:r>
      <w:proofErr w:type="spellEnd"/>
      <w:r w:rsidR="001B530F">
        <w:t xml:space="preserve">’ </w:t>
      </w:r>
      <w:r w:rsidR="00463305">
        <w:t xml:space="preserve">has been found </w:t>
      </w:r>
      <w:r w:rsidR="001B530F">
        <w:t xml:space="preserve">beneficial and a ‘transmission unit’ (or </w:t>
      </w:r>
      <w:proofErr w:type="spellStart"/>
      <w:r w:rsidR="001B530F">
        <w:t>sTTI</w:t>
      </w:r>
      <w:proofErr w:type="spellEnd"/>
      <w:r w:rsidR="001B530F">
        <w:t xml:space="preserve"> as the term used in LTE) </w:t>
      </w:r>
      <w:r w:rsidR="00463305">
        <w:t xml:space="preserve">of 2 OFDM symbols </w:t>
      </w:r>
      <w:r w:rsidR="001B530F">
        <w:t>is assumed</w:t>
      </w:r>
      <w:r w:rsidR="004C6604">
        <w:t>, in essence moving away from the ‘</w:t>
      </w:r>
      <w:proofErr w:type="spellStart"/>
      <w:r w:rsidR="004C6604">
        <w:t>subframe</w:t>
      </w:r>
      <w:proofErr w:type="spellEnd"/>
      <w:r w:rsidR="004C6604">
        <w:t xml:space="preserve">’ </w:t>
      </w:r>
      <w:r w:rsidR="0054011B">
        <w:t>being</w:t>
      </w:r>
      <w:r w:rsidR="004C6604">
        <w:t xml:space="preserve"> the smallest </w:t>
      </w:r>
      <w:r w:rsidR="008427A9">
        <w:t>schedulable</w:t>
      </w:r>
      <w:r w:rsidR="004C6604">
        <w:t xml:space="preserve"> time unit</w:t>
      </w:r>
      <w:r w:rsidR="00463305">
        <w:t>.</w:t>
      </w:r>
      <w:r w:rsidR="001B530F">
        <w:t xml:space="preserve"> Restricting NR to stick with 7 OFDM symbol long </w:t>
      </w:r>
      <w:proofErr w:type="spellStart"/>
      <w:r w:rsidR="001B530F">
        <w:t>subframes</w:t>
      </w:r>
      <w:proofErr w:type="spellEnd"/>
      <w:r w:rsidR="001B530F">
        <w:t xml:space="preserve"> may therefore be disadvantageous in comparison with LTE.</w:t>
      </w:r>
      <w:r>
        <w:t xml:space="preserve"> Using </w:t>
      </w:r>
      <w:r w:rsidR="008427A9">
        <w:t>higher</w:t>
      </w:r>
      <w:r>
        <w:t xml:space="preserve"> subcarrier spacing is of course one possibility to shorten the </w:t>
      </w:r>
      <w:proofErr w:type="spellStart"/>
      <w:r>
        <w:t>subframe</w:t>
      </w:r>
      <w:proofErr w:type="spellEnd"/>
      <w:r>
        <w:t xml:space="preserve"> duration, but as the </w:t>
      </w:r>
      <w:r w:rsidR="00B96B6C">
        <w:t>cyclic</w:t>
      </w:r>
      <w:r>
        <w:t xml:space="preserve"> prefix length is reduced proportionally, it may not be a feasible option in all deployment </w:t>
      </w:r>
      <w:r w:rsidR="00B96B6C">
        <w:t>scenarios</w:t>
      </w:r>
      <w:r>
        <w:t>.</w:t>
      </w:r>
    </w:p>
    <w:p w14:paraId="0DFA1ED0" w14:textId="77777777" w:rsidR="00F621B3" w:rsidRDefault="008A6DAB" w:rsidP="00F621B3">
      <w:pPr>
        <w:pStyle w:val="BodyText"/>
        <w:keepNext/>
      </w:pPr>
      <w:r w:rsidRPr="008A6DAB">
        <w:rPr>
          <w:noProof/>
          <w:lang w:val="sv-SE" w:eastAsia="sv-SE"/>
        </w:rPr>
        <w:drawing>
          <wp:inline distT="0" distB="0" distL="0" distR="0" wp14:anchorId="25961C8D" wp14:editId="0AD210D0">
            <wp:extent cx="5426320" cy="1277006"/>
            <wp:effectExtent l="0" t="0" r="317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0929" cy="12780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A6DAB">
        <w:t xml:space="preserve">  </w:t>
      </w:r>
    </w:p>
    <w:p w14:paraId="4F7CC710" w14:textId="77777777" w:rsidR="00F621B3" w:rsidRDefault="00F621B3" w:rsidP="00F621B3">
      <w:pPr>
        <w:pStyle w:val="Caption"/>
        <w:jc w:val="both"/>
      </w:pPr>
      <w:bookmarkStart w:id="5" w:name="_Ref45758184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882815">
        <w:rPr>
          <w:noProof/>
        </w:rPr>
        <w:t>2</w:t>
      </w:r>
      <w:r>
        <w:fldChar w:fldCharType="end"/>
      </w:r>
      <w:bookmarkEnd w:id="5"/>
      <w:r>
        <w:t xml:space="preserve">: Short </w:t>
      </w:r>
      <w:proofErr w:type="spellStart"/>
      <w:r>
        <w:t>subframes</w:t>
      </w:r>
      <w:proofErr w:type="spellEnd"/>
      <w:r>
        <w:t xml:space="preserve"> with aggregation.</w:t>
      </w:r>
    </w:p>
    <w:p w14:paraId="00ED7ED1" w14:textId="77777777" w:rsidR="004C6604" w:rsidRDefault="004C6604" w:rsidP="004C6604">
      <w:pPr>
        <w:pStyle w:val="Heading2"/>
      </w:pPr>
      <w:r>
        <w:t>Transmission starts</w:t>
      </w:r>
      <w:r w:rsidR="00E4355F">
        <w:t xml:space="preserve"> at any OFDM symbol</w:t>
      </w:r>
    </w:p>
    <w:p w14:paraId="3226CEC6" w14:textId="77777777" w:rsidR="0054011B" w:rsidRDefault="004C6604" w:rsidP="004C6604">
      <w:pPr>
        <w:pStyle w:val="BodyText"/>
      </w:pPr>
      <w:r>
        <w:t xml:space="preserve">Another alternative is to allow </w:t>
      </w:r>
      <w:r w:rsidR="00411F3B">
        <w:t xml:space="preserve">the transmission unit </w:t>
      </w:r>
      <w:r>
        <w:t xml:space="preserve">to start at </w:t>
      </w:r>
      <w:r w:rsidR="00411F3B">
        <w:t>‘any’ OFDM symbol</w:t>
      </w:r>
      <w:r>
        <w:t xml:space="preserve">, i.e. </w:t>
      </w:r>
      <w:r w:rsidR="00411F3B">
        <w:t xml:space="preserve">a </w:t>
      </w:r>
      <w:r>
        <w:t xml:space="preserve">not only at </w:t>
      </w:r>
      <w:proofErr w:type="spellStart"/>
      <w:r>
        <w:t>subframe</w:t>
      </w:r>
      <w:proofErr w:type="spellEnd"/>
      <w:r>
        <w:t xml:space="preserve"> boundaries</w:t>
      </w:r>
      <w:r w:rsidR="00411F3B">
        <w:t>, to better serve low-latency services</w:t>
      </w:r>
      <w:r>
        <w:t xml:space="preserve">. </w:t>
      </w:r>
      <w:r w:rsidR="00411F3B">
        <w:t xml:space="preserve">For many services, e.g. MBB, a transmission unit coinciding with a </w:t>
      </w:r>
      <w:proofErr w:type="spellStart"/>
      <w:r w:rsidR="00411F3B">
        <w:t>subframe</w:t>
      </w:r>
      <w:proofErr w:type="spellEnd"/>
      <w:r w:rsidR="00411F3B">
        <w:t xml:space="preserve"> is sufficient</w:t>
      </w:r>
      <w:r w:rsidR="00C377E6">
        <w:t xml:space="preserve"> and a </w:t>
      </w:r>
      <w:proofErr w:type="spellStart"/>
      <w:r w:rsidR="00C377E6">
        <w:t>subframe</w:t>
      </w:r>
      <w:proofErr w:type="spellEnd"/>
      <w:r w:rsidR="00C377E6">
        <w:t xml:space="preserve"> length of 7 OFDM symbols (or </w:t>
      </w:r>
      <w:r w:rsidR="00927A4E">
        <w:t xml:space="preserve">maybe </w:t>
      </w:r>
      <w:r w:rsidR="00C377E6">
        <w:t xml:space="preserve">even 14 OFDM symbols) is appropriate. </w:t>
      </w:r>
      <w:r w:rsidR="00EC6CA5">
        <w:t xml:space="preserve">Services requiring very low latency can instead be allowed to start at </w:t>
      </w:r>
      <w:r w:rsidR="00C377E6">
        <w:t>‘any’ OFDM symbol</w:t>
      </w:r>
      <w:r w:rsidR="00EC6CA5">
        <w:t xml:space="preserve"> using a</w:t>
      </w:r>
      <w:r w:rsidR="00C377E6">
        <w:t xml:space="preserve"> transmission unit </w:t>
      </w:r>
      <w:r w:rsidR="00EC6CA5">
        <w:t xml:space="preserve">shorter than a </w:t>
      </w:r>
      <w:proofErr w:type="spellStart"/>
      <w:r w:rsidR="00EC6CA5">
        <w:t>subframe</w:t>
      </w:r>
      <w:proofErr w:type="spellEnd"/>
      <w:r w:rsidR="00EC6CA5">
        <w:t xml:space="preserve"> as illustrated in </w:t>
      </w:r>
      <w:r w:rsidR="00EC6CA5">
        <w:fldChar w:fldCharType="begin"/>
      </w:r>
      <w:r w:rsidR="00EC6CA5">
        <w:instrText xml:space="preserve"> REF _Ref457644988 \h </w:instrText>
      </w:r>
      <w:r w:rsidR="00EC6CA5">
        <w:fldChar w:fldCharType="separate"/>
      </w:r>
      <w:r w:rsidR="00882815">
        <w:t xml:space="preserve">Figure </w:t>
      </w:r>
      <w:r w:rsidR="00882815">
        <w:rPr>
          <w:noProof/>
        </w:rPr>
        <w:t>3</w:t>
      </w:r>
      <w:r w:rsidR="00EC6CA5">
        <w:fldChar w:fldCharType="end"/>
      </w:r>
      <w:r w:rsidR="0054011B">
        <w:t xml:space="preserve">. </w:t>
      </w:r>
      <w:r w:rsidR="00EC6CA5">
        <w:t>This could also be seen as a generalization of the approach taken in the LTE latency reduction work</w:t>
      </w:r>
      <w:r w:rsidR="00C377E6">
        <w:t xml:space="preserve"> item</w:t>
      </w:r>
      <w:r w:rsidR="00EC6CA5">
        <w:t>.</w:t>
      </w:r>
    </w:p>
    <w:p w14:paraId="15D75A46" w14:textId="77777777" w:rsidR="00EC6CA5" w:rsidRDefault="00EC6CA5" w:rsidP="004C6604">
      <w:pPr>
        <w:pStyle w:val="BodyText"/>
      </w:pPr>
      <w:r>
        <w:t xml:space="preserve">The possibility to start </w:t>
      </w:r>
      <w:r w:rsidR="008427A9">
        <w:t>transmissions</w:t>
      </w:r>
      <w:r>
        <w:t xml:space="preserve"> not only at </w:t>
      </w:r>
      <w:proofErr w:type="spellStart"/>
      <w:r w:rsidR="00C377E6">
        <w:t>subframe</w:t>
      </w:r>
      <w:proofErr w:type="spellEnd"/>
      <w:r w:rsidR="00C377E6">
        <w:t xml:space="preserve"> boundaries</w:t>
      </w:r>
      <w:r>
        <w:t xml:space="preserve"> but at a finer granularity can also be beneficial for operation in </w:t>
      </w:r>
      <w:r w:rsidR="008427A9">
        <w:t>unlicensed</w:t>
      </w:r>
      <w:r>
        <w:t xml:space="preserve"> spectrum, allowing transmissions to start ‘</w:t>
      </w:r>
      <w:r w:rsidR="008427A9">
        <w:t>immediately</w:t>
      </w:r>
      <w:r>
        <w:t>’ a</w:t>
      </w:r>
      <w:r w:rsidR="00C377E6">
        <w:t>f</w:t>
      </w:r>
      <w:r>
        <w:t xml:space="preserve">ter the LBT operation. In the LAA work, partial </w:t>
      </w:r>
      <w:proofErr w:type="spellStart"/>
      <w:r>
        <w:t>subframes</w:t>
      </w:r>
      <w:proofErr w:type="spellEnd"/>
      <w:r>
        <w:t xml:space="preserve"> was introduced for this reason and a </w:t>
      </w:r>
      <w:r w:rsidR="00C377E6">
        <w:t xml:space="preserve">transmission unit shorter than a </w:t>
      </w:r>
      <w:proofErr w:type="spellStart"/>
      <w:r w:rsidR="00C377E6">
        <w:t>subframe</w:t>
      </w:r>
      <w:proofErr w:type="spellEnd"/>
      <w:r w:rsidR="00C377E6">
        <w:t xml:space="preserve"> </w:t>
      </w:r>
      <w:r>
        <w:t xml:space="preserve">can </w:t>
      </w:r>
      <w:r w:rsidR="00C377E6">
        <w:t xml:space="preserve">also </w:t>
      </w:r>
      <w:r>
        <w:t>be seen as a generalization of this approach.</w:t>
      </w:r>
    </w:p>
    <w:p w14:paraId="01AEF455" w14:textId="5C6079AC" w:rsidR="004C6604" w:rsidRDefault="00EC6CA5" w:rsidP="004C6604">
      <w:pPr>
        <w:pStyle w:val="BodyText"/>
      </w:pPr>
      <w:r>
        <w:t xml:space="preserve">To limit complexity, </w:t>
      </w:r>
      <w:r w:rsidR="00C377E6">
        <w:t xml:space="preserve">support for a transmission unit not identical to a </w:t>
      </w:r>
      <w:proofErr w:type="spellStart"/>
      <w:r w:rsidR="008427A9">
        <w:t>subframe</w:t>
      </w:r>
      <w:proofErr w:type="spellEnd"/>
      <w:r w:rsidR="00C377E6">
        <w:t xml:space="preserve"> </w:t>
      </w:r>
      <w:r>
        <w:t xml:space="preserve">could be a UE capability. One could also envision other restrictions for shorter </w:t>
      </w:r>
      <w:r w:rsidR="00C377E6">
        <w:t xml:space="preserve">transmission </w:t>
      </w:r>
      <w:r>
        <w:t>unit</w:t>
      </w:r>
      <w:r w:rsidR="00C377E6">
        <w:t>s</w:t>
      </w:r>
      <w:r>
        <w:t>, e.g. limited support for the highest data rates, most advanced multi-antenna schemes, etc.</w:t>
      </w:r>
      <w:r w:rsidR="003D24B3">
        <w:t xml:space="preserve"> </w:t>
      </w:r>
    </w:p>
    <w:p w14:paraId="2FE001E3" w14:textId="77777777" w:rsidR="004C6604" w:rsidRDefault="004C6604" w:rsidP="004C6604">
      <w:pPr>
        <w:pStyle w:val="BodyText"/>
      </w:pPr>
    </w:p>
    <w:p w14:paraId="3FB5289D" w14:textId="48334132" w:rsidR="004C6604" w:rsidRDefault="00927A78" w:rsidP="004C6604">
      <w:pPr>
        <w:pStyle w:val="BodyText"/>
        <w:keepNext/>
      </w:pPr>
      <w:r w:rsidRPr="00927A78">
        <w:rPr>
          <w:noProof/>
          <w:lang w:val="sv-SE" w:eastAsia="sv-SE"/>
        </w:rPr>
        <w:drawing>
          <wp:inline distT="0" distB="0" distL="0" distR="0" wp14:anchorId="79006B78" wp14:editId="20CF905B">
            <wp:extent cx="3536830" cy="1758901"/>
            <wp:effectExtent l="0" t="0" r="698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6769" cy="1758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A6DAB" w:rsidRPr="008A6DAB">
        <w:t xml:space="preserve"> </w:t>
      </w:r>
    </w:p>
    <w:p w14:paraId="23E3D848" w14:textId="77777777" w:rsidR="004C6604" w:rsidRDefault="004C6604" w:rsidP="004C6604">
      <w:pPr>
        <w:pStyle w:val="Caption"/>
        <w:jc w:val="both"/>
      </w:pPr>
      <w:bookmarkStart w:id="6" w:name="_Ref45764498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882815">
        <w:rPr>
          <w:noProof/>
        </w:rPr>
        <w:t>3</w:t>
      </w:r>
      <w:r>
        <w:fldChar w:fldCharType="end"/>
      </w:r>
      <w:bookmarkEnd w:id="6"/>
      <w:r>
        <w:t>: Transmissions may start at any OFDM symbol boundary.</w:t>
      </w:r>
    </w:p>
    <w:p w14:paraId="76ECF7A7" w14:textId="77777777" w:rsidR="00FE5799" w:rsidRDefault="00FE5799" w:rsidP="00BA76BC">
      <w:pPr>
        <w:pStyle w:val="Heading1"/>
        <w:spacing w:before="180"/>
        <w:ind w:left="562" w:hanging="562"/>
      </w:pPr>
      <w:r>
        <w:t>Conclusion</w:t>
      </w:r>
    </w:p>
    <w:p w14:paraId="351FC897" w14:textId="77777777" w:rsidR="00212F40" w:rsidRDefault="00EC6CA5" w:rsidP="00EC6CA5">
      <w:pPr>
        <w:pStyle w:val="BodyText"/>
      </w:pPr>
      <w:r>
        <w:t xml:space="preserve">It is proposed to adopt approach 2 above, i.e. </w:t>
      </w:r>
    </w:p>
    <w:p w14:paraId="5C156BCF" w14:textId="77777777" w:rsidR="00212F40" w:rsidRDefault="00EC6CA5" w:rsidP="00212F40">
      <w:pPr>
        <w:pStyle w:val="BodyText"/>
        <w:numPr>
          <w:ilvl w:val="0"/>
          <w:numId w:val="12"/>
        </w:numPr>
      </w:pPr>
      <w:r>
        <w:t xml:space="preserve">to have a structure that allows </w:t>
      </w:r>
      <w:r w:rsidR="00DA4AD2">
        <w:t>(</w:t>
      </w:r>
      <w:r w:rsidR="00377B9E">
        <w:t>latency-critical</w:t>
      </w:r>
      <w:r w:rsidR="00DA4AD2">
        <w:t>)</w:t>
      </w:r>
      <w:r w:rsidR="00377B9E">
        <w:t xml:space="preserve"> transmissions to start at a fine</w:t>
      </w:r>
      <w:r w:rsidR="00E4355F">
        <w:t>r</w:t>
      </w:r>
      <w:r w:rsidR="00377B9E">
        <w:t xml:space="preserve"> time granularity than the basic </w:t>
      </w:r>
      <w:proofErr w:type="spellStart"/>
      <w:r w:rsidR="00377B9E">
        <w:t>subframe</w:t>
      </w:r>
      <w:proofErr w:type="spellEnd"/>
      <w:r w:rsidR="00377B9E">
        <w:t xml:space="preserve"> duration</w:t>
      </w:r>
      <w:r w:rsidR="00212F40">
        <w:t>,</w:t>
      </w:r>
      <w:r w:rsidR="00A342BC">
        <w:t xml:space="preserve"> and </w:t>
      </w:r>
    </w:p>
    <w:p w14:paraId="7BE5B607" w14:textId="771BFDB8" w:rsidR="00EC6CA5" w:rsidRDefault="00A342BC" w:rsidP="00212F40">
      <w:pPr>
        <w:pStyle w:val="BodyText"/>
        <w:numPr>
          <w:ilvl w:val="0"/>
          <w:numId w:val="12"/>
        </w:numPr>
      </w:pPr>
      <w:proofErr w:type="gramStart"/>
      <w:r>
        <w:t>to</w:t>
      </w:r>
      <w:proofErr w:type="gramEnd"/>
      <w:r>
        <w:t xml:space="preserve"> </w:t>
      </w:r>
      <w:r w:rsidR="00212F40">
        <w:t>allow for</w:t>
      </w:r>
      <w:r>
        <w:t xml:space="preserve"> a transmission unit</w:t>
      </w:r>
      <w:r w:rsidR="00DA4AD2">
        <w:t xml:space="preserve"> </w:t>
      </w:r>
      <w:r w:rsidR="00212F40">
        <w:t>shorter than</w:t>
      </w:r>
      <w:r w:rsidR="00DA4AD2">
        <w:t xml:space="preserve"> the </w:t>
      </w:r>
      <w:proofErr w:type="spellStart"/>
      <w:r w:rsidR="00DA4AD2">
        <w:t>subframe</w:t>
      </w:r>
      <w:proofErr w:type="spellEnd"/>
      <w:r w:rsidR="00DA4AD2">
        <w:t xml:space="preserve"> length</w:t>
      </w:r>
      <w:r w:rsidR="00377B9E">
        <w:t>.</w:t>
      </w:r>
    </w:p>
    <w:p w14:paraId="36852E31" w14:textId="77777777" w:rsidR="00BA76BC" w:rsidRPr="00BA76BC" w:rsidRDefault="00BA76BC" w:rsidP="00BA76BC">
      <w:pPr>
        <w:pStyle w:val="BodyText"/>
      </w:pPr>
    </w:p>
    <w:sectPr w:rsidR="00BA76BC" w:rsidRPr="00BA76BC">
      <w:head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76A3F85E" w15:done="0"/>
  <w15:commentEx w15:paraId="3D03C62C" w15:done="0"/>
  <w15:commentEx w15:paraId="54D64B11" w15:done="0"/>
  <w15:commentEx w15:paraId="3C0AB726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A4CAB9" w14:textId="77777777" w:rsidR="00875233" w:rsidRDefault="00875233">
      <w:r>
        <w:separator/>
      </w:r>
    </w:p>
  </w:endnote>
  <w:endnote w:type="continuationSeparator" w:id="0">
    <w:p w14:paraId="77951753" w14:textId="77777777" w:rsidR="00875233" w:rsidRDefault="008752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B0D32B" w14:textId="77777777" w:rsidR="00875233" w:rsidRDefault="00875233">
      <w:r>
        <w:separator/>
      </w:r>
    </w:p>
  </w:footnote>
  <w:footnote w:type="continuationSeparator" w:id="0">
    <w:p w14:paraId="352492F2" w14:textId="77777777" w:rsidR="00875233" w:rsidRDefault="008752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705863" w14:textId="77777777" w:rsidR="004D4F57" w:rsidRDefault="00875233" w:rsidP="00A61E6C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425437"/>
    <w:multiLevelType w:val="hybridMultilevel"/>
    <w:tmpl w:val="0874A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725448"/>
    <w:multiLevelType w:val="hybridMultilevel"/>
    <w:tmpl w:val="1EE21B8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9E642E"/>
    <w:multiLevelType w:val="hybridMultilevel"/>
    <w:tmpl w:val="FFF2A17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6A73E9"/>
    <w:multiLevelType w:val="hybridMultilevel"/>
    <w:tmpl w:val="F63E3D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B00FCB"/>
    <w:multiLevelType w:val="hybridMultilevel"/>
    <w:tmpl w:val="29586B84"/>
    <w:lvl w:ilvl="0" w:tplc="04090001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F0F0514"/>
    <w:multiLevelType w:val="hybridMultilevel"/>
    <w:tmpl w:val="9D487942"/>
    <w:lvl w:ilvl="0" w:tplc="FDE6EFCA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85F6313"/>
    <w:multiLevelType w:val="hybridMultilevel"/>
    <w:tmpl w:val="3EC6927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7907D3F"/>
    <w:multiLevelType w:val="hybridMultilevel"/>
    <w:tmpl w:val="5E80C7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6907192"/>
    <w:multiLevelType w:val="hybridMultilevel"/>
    <w:tmpl w:val="664CEE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C06632B"/>
    <w:multiLevelType w:val="hybridMultilevel"/>
    <w:tmpl w:val="5DCCE1E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ED18BC"/>
    <w:multiLevelType w:val="multilevel"/>
    <w:tmpl w:val="32FEA0A4"/>
    <w:lvl w:ilvl="0">
      <w:start w:val="1"/>
      <w:numFmt w:val="decimal"/>
      <w:pStyle w:val="Heading1"/>
      <w:lvlText w:val="%1."/>
      <w:lvlJc w:val="left"/>
      <w:pPr>
        <w:tabs>
          <w:tab w:val="num" w:pos="4536"/>
        </w:tabs>
        <w:ind w:left="4536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10"/>
  </w:num>
  <w:num w:numId="2">
    <w:abstractNumId w:val="4"/>
  </w:num>
  <w:num w:numId="3">
    <w:abstractNumId w:val="2"/>
  </w:num>
  <w:num w:numId="4">
    <w:abstractNumId w:val="6"/>
  </w:num>
  <w:num w:numId="5">
    <w:abstractNumId w:val="3"/>
  </w:num>
  <w:num w:numId="6">
    <w:abstractNumId w:val="0"/>
  </w:num>
  <w:num w:numId="7">
    <w:abstractNumId w:val="9"/>
  </w:num>
  <w:num w:numId="8">
    <w:abstractNumId w:val="10"/>
  </w:num>
  <w:num w:numId="9">
    <w:abstractNumId w:val="8"/>
  </w:num>
  <w:num w:numId="10">
    <w:abstractNumId w:val="7"/>
  </w:num>
  <w:num w:numId="11">
    <w:abstractNumId w:val="5"/>
  </w:num>
  <w:num w:numId="1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obert Baldemair">
    <w15:presenceInfo w15:providerId="AD" w15:userId="S-1-5-21-1538607324-3213881460-940295383-48999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5799"/>
    <w:rsid w:val="00007F17"/>
    <w:rsid w:val="000217F8"/>
    <w:rsid w:val="00037C51"/>
    <w:rsid w:val="000A258F"/>
    <w:rsid w:val="000F4AF3"/>
    <w:rsid w:val="00112E18"/>
    <w:rsid w:val="00114B6A"/>
    <w:rsid w:val="001154D8"/>
    <w:rsid w:val="00117274"/>
    <w:rsid w:val="00141448"/>
    <w:rsid w:val="00161C14"/>
    <w:rsid w:val="00175D32"/>
    <w:rsid w:val="0017779E"/>
    <w:rsid w:val="00182ED3"/>
    <w:rsid w:val="00195FDC"/>
    <w:rsid w:val="001B530F"/>
    <w:rsid w:val="0021013F"/>
    <w:rsid w:val="00212F40"/>
    <w:rsid w:val="00216327"/>
    <w:rsid w:val="00290099"/>
    <w:rsid w:val="002E4E57"/>
    <w:rsid w:val="00377B9E"/>
    <w:rsid w:val="003875A3"/>
    <w:rsid w:val="00393C6A"/>
    <w:rsid w:val="003D24B3"/>
    <w:rsid w:val="003D6652"/>
    <w:rsid w:val="00411F3B"/>
    <w:rsid w:val="00422F7B"/>
    <w:rsid w:val="0042736F"/>
    <w:rsid w:val="00463305"/>
    <w:rsid w:val="00477AC1"/>
    <w:rsid w:val="004B57FD"/>
    <w:rsid w:val="004C4789"/>
    <w:rsid w:val="004C6604"/>
    <w:rsid w:val="004F3A03"/>
    <w:rsid w:val="00505D01"/>
    <w:rsid w:val="00507EDA"/>
    <w:rsid w:val="0054011B"/>
    <w:rsid w:val="0055264E"/>
    <w:rsid w:val="0058278C"/>
    <w:rsid w:val="005C439D"/>
    <w:rsid w:val="0061336B"/>
    <w:rsid w:val="006577E9"/>
    <w:rsid w:val="006A286A"/>
    <w:rsid w:val="006D53D6"/>
    <w:rsid w:val="007114ED"/>
    <w:rsid w:val="0075384C"/>
    <w:rsid w:val="00773CEF"/>
    <w:rsid w:val="00776075"/>
    <w:rsid w:val="007A01C0"/>
    <w:rsid w:val="007A7B94"/>
    <w:rsid w:val="007F69F6"/>
    <w:rsid w:val="00834DE7"/>
    <w:rsid w:val="00835FF4"/>
    <w:rsid w:val="008427A9"/>
    <w:rsid w:val="00875233"/>
    <w:rsid w:val="00882815"/>
    <w:rsid w:val="008A2D42"/>
    <w:rsid w:val="008A6DAB"/>
    <w:rsid w:val="008B23D4"/>
    <w:rsid w:val="008E6030"/>
    <w:rsid w:val="00927A4E"/>
    <w:rsid w:val="00927A78"/>
    <w:rsid w:val="009A6BB8"/>
    <w:rsid w:val="009B2E48"/>
    <w:rsid w:val="00A342BC"/>
    <w:rsid w:val="00A47015"/>
    <w:rsid w:val="00A81AA1"/>
    <w:rsid w:val="00A85E54"/>
    <w:rsid w:val="00A92BDC"/>
    <w:rsid w:val="00AA13EF"/>
    <w:rsid w:val="00B368D9"/>
    <w:rsid w:val="00B96B6C"/>
    <w:rsid w:val="00BA2CDD"/>
    <w:rsid w:val="00BA76BC"/>
    <w:rsid w:val="00C11DBF"/>
    <w:rsid w:val="00C1560A"/>
    <w:rsid w:val="00C326A6"/>
    <w:rsid w:val="00C377E6"/>
    <w:rsid w:val="00C61496"/>
    <w:rsid w:val="00C75368"/>
    <w:rsid w:val="00C93774"/>
    <w:rsid w:val="00CA6DE0"/>
    <w:rsid w:val="00CA6F21"/>
    <w:rsid w:val="00CC6C24"/>
    <w:rsid w:val="00CE28B2"/>
    <w:rsid w:val="00CF2225"/>
    <w:rsid w:val="00CF67BE"/>
    <w:rsid w:val="00D02349"/>
    <w:rsid w:val="00D03119"/>
    <w:rsid w:val="00D04257"/>
    <w:rsid w:val="00DA110D"/>
    <w:rsid w:val="00DA4AD2"/>
    <w:rsid w:val="00DE3421"/>
    <w:rsid w:val="00DF3EE8"/>
    <w:rsid w:val="00E4355F"/>
    <w:rsid w:val="00E63D88"/>
    <w:rsid w:val="00EC6CA5"/>
    <w:rsid w:val="00EF24F8"/>
    <w:rsid w:val="00F05A99"/>
    <w:rsid w:val="00F37D49"/>
    <w:rsid w:val="00F621B3"/>
    <w:rsid w:val="00FD6BED"/>
    <w:rsid w:val="00FE5799"/>
    <w:rsid w:val="00FF6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2BD59DB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5799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FE5799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FE5799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E5799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FE5799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FE579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FE5799"/>
    <w:rPr>
      <w:rFonts w:ascii="Helvetica" w:eastAsia="MS Mincho" w:hAnsi="Helvetica" w:cs="Arial"/>
      <w:b/>
      <w:bCs/>
      <w:kern w:val="32"/>
      <w:sz w:val="28"/>
      <w:szCs w:val="32"/>
      <w:lang w:val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FE5799"/>
    <w:rPr>
      <w:rFonts w:ascii="Helvetica" w:eastAsia="MS Mincho" w:hAnsi="Helvetica" w:cs="Arial"/>
      <w:b/>
      <w:bCs/>
      <w:iCs/>
      <w:sz w:val="20"/>
      <w:szCs w:val="28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E5799"/>
    <w:rPr>
      <w:rFonts w:ascii="Arial" w:eastAsia="MS Mincho" w:hAnsi="Arial" w:cs="Arial"/>
      <w:b/>
      <w:bCs/>
      <w:sz w:val="26"/>
      <w:szCs w:val="26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E5799"/>
    <w:rPr>
      <w:rFonts w:ascii="Times New Roman" w:eastAsia="MS Mincho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FE5799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aliases w:val="bt"/>
    <w:basedOn w:val="Normal"/>
    <w:link w:val="BodyTextChar"/>
    <w:rsid w:val="00FE5799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E5799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E57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E5799"/>
    <w:rPr>
      <w:rFonts w:ascii="Arial" w:eastAsia="MS Mincho" w:hAnsi="Arial" w:cs="Times New Roman"/>
      <w:b/>
      <w:sz w:val="20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9009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0099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para">
    <w:name w:val="para"/>
    <w:basedOn w:val="Normal"/>
    <w:next w:val="para-ind"/>
    <w:autoRedefine/>
    <w:rsid w:val="00C61496"/>
    <w:pPr>
      <w:keepNext/>
    </w:pPr>
    <w:rPr>
      <w:sz w:val="24"/>
    </w:rPr>
  </w:style>
  <w:style w:type="paragraph" w:customStyle="1" w:styleId="para-ind">
    <w:name w:val="para-ind"/>
    <w:basedOn w:val="Normal"/>
    <w:autoRedefine/>
    <w:rsid w:val="00C61496"/>
    <w:pPr>
      <w:ind w:firstLine="357"/>
    </w:pPr>
    <w:rPr>
      <w:sz w:val="24"/>
    </w:rPr>
  </w:style>
  <w:style w:type="character" w:styleId="CommentReference">
    <w:name w:val="annotation reference"/>
    <w:semiHidden/>
    <w:rsid w:val="0061336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61336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szCs w:val="20"/>
      <w:lang w:val="en-GB" w:eastAsia="zh-CN"/>
    </w:rPr>
  </w:style>
  <w:style w:type="character" w:customStyle="1" w:styleId="CommentTextChar">
    <w:name w:val="Comment Text Char"/>
    <w:basedOn w:val="DefaultParagraphFont"/>
    <w:link w:val="CommentText"/>
    <w:semiHidden/>
    <w:rsid w:val="0061336B"/>
    <w:rPr>
      <w:rFonts w:ascii="Arial" w:eastAsiaTheme="minorEastAsia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33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336B"/>
    <w:rPr>
      <w:rFonts w:ascii="Tahoma" w:eastAsia="Times New Roman" w:hAnsi="Tahoma" w:cs="Tahoma"/>
      <w:sz w:val="16"/>
      <w:szCs w:val="16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5D32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="Times New Roman" w:hAnsi="Times New Roman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5D32"/>
    <w:rPr>
      <w:rFonts w:ascii="Times New Roman" w:eastAsia="Times New Roman" w:hAnsi="Times New Roman" w:cs="Times New Roman"/>
      <w:b/>
      <w:bCs/>
      <w:sz w:val="20"/>
      <w:szCs w:val="20"/>
      <w:lang w:val="en-US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037C51"/>
    <w:pPr>
      <w:spacing w:after="200"/>
    </w:pPr>
    <w:rPr>
      <w:b/>
      <w:bCs/>
      <w:sz w:val="18"/>
      <w:szCs w:val="18"/>
    </w:rPr>
  </w:style>
  <w:style w:type="paragraph" w:styleId="ListParagraph">
    <w:name w:val="List Paragraph"/>
    <w:basedOn w:val="Normal"/>
    <w:uiPriority w:val="34"/>
    <w:qFormat/>
    <w:rsid w:val="00BA76B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5799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FE5799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FE5799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E5799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FE5799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FE579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FE5799"/>
    <w:rPr>
      <w:rFonts w:ascii="Helvetica" w:eastAsia="MS Mincho" w:hAnsi="Helvetica" w:cs="Arial"/>
      <w:b/>
      <w:bCs/>
      <w:kern w:val="32"/>
      <w:sz w:val="28"/>
      <w:szCs w:val="32"/>
      <w:lang w:val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FE5799"/>
    <w:rPr>
      <w:rFonts w:ascii="Helvetica" w:eastAsia="MS Mincho" w:hAnsi="Helvetica" w:cs="Arial"/>
      <w:b/>
      <w:bCs/>
      <w:iCs/>
      <w:sz w:val="20"/>
      <w:szCs w:val="28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E5799"/>
    <w:rPr>
      <w:rFonts w:ascii="Arial" w:eastAsia="MS Mincho" w:hAnsi="Arial" w:cs="Arial"/>
      <w:b/>
      <w:bCs/>
      <w:sz w:val="26"/>
      <w:szCs w:val="26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E5799"/>
    <w:rPr>
      <w:rFonts w:ascii="Times New Roman" w:eastAsia="MS Mincho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FE5799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aliases w:val="bt"/>
    <w:basedOn w:val="Normal"/>
    <w:link w:val="BodyTextChar"/>
    <w:rsid w:val="00FE5799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E5799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E57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E5799"/>
    <w:rPr>
      <w:rFonts w:ascii="Arial" w:eastAsia="MS Mincho" w:hAnsi="Arial" w:cs="Times New Roman"/>
      <w:b/>
      <w:sz w:val="20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9009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0099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para">
    <w:name w:val="para"/>
    <w:basedOn w:val="Normal"/>
    <w:next w:val="para-ind"/>
    <w:autoRedefine/>
    <w:rsid w:val="00C61496"/>
    <w:pPr>
      <w:keepNext/>
    </w:pPr>
    <w:rPr>
      <w:sz w:val="24"/>
    </w:rPr>
  </w:style>
  <w:style w:type="paragraph" w:customStyle="1" w:styleId="para-ind">
    <w:name w:val="para-ind"/>
    <w:basedOn w:val="Normal"/>
    <w:autoRedefine/>
    <w:rsid w:val="00C61496"/>
    <w:pPr>
      <w:ind w:firstLine="357"/>
    </w:pPr>
    <w:rPr>
      <w:sz w:val="24"/>
    </w:rPr>
  </w:style>
  <w:style w:type="character" w:styleId="CommentReference">
    <w:name w:val="annotation reference"/>
    <w:semiHidden/>
    <w:rsid w:val="0061336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61336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szCs w:val="20"/>
      <w:lang w:val="en-GB" w:eastAsia="zh-CN"/>
    </w:rPr>
  </w:style>
  <w:style w:type="character" w:customStyle="1" w:styleId="CommentTextChar">
    <w:name w:val="Comment Text Char"/>
    <w:basedOn w:val="DefaultParagraphFont"/>
    <w:link w:val="CommentText"/>
    <w:semiHidden/>
    <w:rsid w:val="0061336B"/>
    <w:rPr>
      <w:rFonts w:ascii="Arial" w:eastAsiaTheme="minorEastAsia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33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336B"/>
    <w:rPr>
      <w:rFonts w:ascii="Tahoma" w:eastAsia="Times New Roman" w:hAnsi="Tahoma" w:cs="Tahoma"/>
      <w:sz w:val="16"/>
      <w:szCs w:val="16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5D32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="Times New Roman" w:hAnsi="Times New Roman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5D32"/>
    <w:rPr>
      <w:rFonts w:ascii="Times New Roman" w:eastAsia="Times New Roman" w:hAnsi="Times New Roman" w:cs="Times New Roman"/>
      <w:b/>
      <w:bCs/>
      <w:sz w:val="20"/>
      <w:szCs w:val="20"/>
      <w:lang w:val="en-US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037C51"/>
    <w:pPr>
      <w:spacing w:after="200"/>
    </w:pPr>
    <w:rPr>
      <w:b/>
      <w:bCs/>
      <w:sz w:val="18"/>
      <w:szCs w:val="18"/>
    </w:rPr>
  </w:style>
  <w:style w:type="paragraph" w:styleId="ListParagraph">
    <w:name w:val="List Paragraph"/>
    <w:basedOn w:val="Normal"/>
    <w:uiPriority w:val="34"/>
    <w:qFormat/>
    <w:rsid w:val="00BA76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932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D89664-2DFE-4074-8B90-607B943660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821</Words>
  <Characters>4354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5165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 Parkvall</dc:creator>
  <cp:lastModifiedBy>Stefan Parkvall</cp:lastModifiedBy>
  <cp:revision>2</cp:revision>
  <cp:lastPrinted>2016-08-08T07:06:00Z</cp:lastPrinted>
  <dcterms:created xsi:type="dcterms:W3CDTF">2016-08-12T12:51:00Z</dcterms:created>
  <dcterms:modified xsi:type="dcterms:W3CDTF">2016-08-12T12:51:00Z</dcterms:modified>
</cp:coreProperties>
</file>