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62F3EA" w14:textId="104EE196" w:rsidR="00A85E54" w:rsidRPr="00446F9D" w:rsidRDefault="00A85E54" w:rsidP="00A85E54">
      <w:pPr>
        <w:pStyle w:val="Header"/>
        <w:tabs>
          <w:tab w:val="clear" w:pos="4536"/>
        </w:tabs>
        <w:rPr>
          <w:i/>
        </w:rPr>
      </w:pPr>
      <w:bookmarkStart w:id="0" w:name="_GoBack"/>
      <w:bookmarkEnd w:id="0"/>
      <w:r w:rsidRPr="00446F9D">
        <w:t>TSG-RAN WG1 #</w:t>
      </w:r>
      <w:r w:rsidR="0027347B">
        <w:t>86</w:t>
      </w:r>
      <w:r w:rsidRPr="00446F9D">
        <w:tab/>
        <w:t>R1-</w:t>
      </w:r>
      <w:r w:rsidR="000E2302">
        <w:t>167046</w:t>
      </w:r>
    </w:p>
    <w:p w14:paraId="473423D6" w14:textId="77777777" w:rsidR="00A85E54" w:rsidRPr="000833FA" w:rsidRDefault="0027347B" w:rsidP="00A85E54">
      <w:pPr>
        <w:pStyle w:val="Header"/>
        <w:rPr>
          <w:color w:val="000000"/>
        </w:rPr>
      </w:pPr>
      <w:r>
        <w:t>Gothenburg, Sweden, August 22 – 26, 2016</w:t>
      </w:r>
    </w:p>
    <w:p w14:paraId="364F9BB0" w14:textId="77777777" w:rsidR="00A85E54" w:rsidRPr="000833FA" w:rsidRDefault="00A85E54" w:rsidP="00A85E54">
      <w:pPr>
        <w:pStyle w:val="Header"/>
      </w:pPr>
    </w:p>
    <w:p w14:paraId="27148BB3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A4026EB" w14:textId="41892707" w:rsidR="00FE5799" w:rsidRPr="00CB2004" w:rsidRDefault="00FE5799" w:rsidP="00FE5799">
      <w:pPr>
        <w:pStyle w:val="Header"/>
        <w:tabs>
          <w:tab w:val="clear" w:pos="4536"/>
          <w:tab w:val="left" w:pos="1800"/>
        </w:tabs>
      </w:pPr>
      <w:r w:rsidRPr="00CB2004">
        <w:t>Title:</w:t>
      </w:r>
      <w:bookmarkStart w:id="1" w:name="Title"/>
      <w:bookmarkEnd w:id="1"/>
      <w:r w:rsidRPr="00CB2004">
        <w:tab/>
      </w:r>
      <w:r w:rsidR="00D27A57" w:rsidRPr="00CB2004">
        <w:t>Summary of</w:t>
      </w:r>
      <w:r w:rsidR="00037C51" w:rsidRPr="00CB2004">
        <w:t xml:space="preserve"> </w:t>
      </w:r>
      <w:r w:rsidR="00BF3CBC" w:rsidRPr="00CB2004">
        <w:t xml:space="preserve">NR </w:t>
      </w:r>
      <w:proofErr w:type="spellStart"/>
      <w:r w:rsidR="00BF3CBC" w:rsidRPr="00CB2004">
        <w:t>subframe</w:t>
      </w:r>
      <w:proofErr w:type="spellEnd"/>
      <w:r w:rsidR="00BF3CBC" w:rsidRPr="00CB2004">
        <w:t xml:space="preserve"> design</w:t>
      </w:r>
    </w:p>
    <w:p w14:paraId="6A21FDDB" w14:textId="4E39D49C" w:rsidR="00FE5799" w:rsidRPr="00CB2004" w:rsidRDefault="00FE5799" w:rsidP="00FE5799">
      <w:pPr>
        <w:pStyle w:val="Header"/>
        <w:tabs>
          <w:tab w:val="left" w:pos="1800"/>
        </w:tabs>
      </w:pPr>
      <w:r w:rsidRPr="00CB2004">
        <w:t>Agenda Item:</w:t>
      </w:r>
      <w:bookmarkStart w:id="2" w:name="Source"/>
      <w:bookmarkEnd w:id="2"/>
      <w:r w:rsidRPr="00CB2004">
        <w:tab/>
      </w:r>
      <w:r w:rsidR="00D27A57" w:rsidRPr="00CB2004">
        <w:t>8</w:t>
      </w:r>
      <w:r w:rsidR="00037C51" w:rsidRPr="00CB2004">
        <w:t>.1.</w:t>
      </w:r>
      <w:r w:rsidR="003F56D1" w:rsidRPr="00CB2004">
        <w:t>3</w:t>
      </w:r>
      <w:r w:rsidR="00037C51" w:rsidRPr="00CB2004">
        <w:t>.2</w:t>
      </w:r>
    </w:p>
    <w:p w14:paraId="35149765" w14:textId="77777777" w:rsidR="00FE5799" w:rsidRPr="0003368D" w:rsidRDefault="00FE5799" w:rsidP="00FE5799">
      <w:pPr>
        <w:pStyle w:val="Header"/>
        <w:tabs>
          <w:tab w:val="left" w:pos="1800"/>
        </w:tabs>
      </w:pPr>
      <w:r w:rsidRPr="00CB2004">
        <w:t>Document</w:t>
      </w:r>
      <w:r w:rsidRPr="0003368D">
        <w:t xml:space="preserve">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7200D98D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5A6EA97" w14:textId="77777777" w:rsidR="0017779E" w:rsidRDefault="0017779E" w:rsidP="00FE5799">
      <w:pPr>
        <w:pStyle w:val="Heading1"/>
        <w:spacing w:before="180"/>
        <w:ind w:left="562" w:hanging="562"/>
      </w:pPr>
      <w:r>
        <w:t>Introduction</w:t>
      </w:r>
    </w:p>
    <w:p w14:paraId="0F8259C8" w14:textId="77777777" w:rsidR="00C972A5" w:rsidRPr="00C972A5" w:rsidRDefault="00BF3CBC" w:rsidP="00C972A5">
      <w:pPr>
        <w:pStyle w:val="BodyText"/>
      </w:pPr>
      <w:r>
        <w:t xml:space="preserve">This contribution summarizes Ericsson’s view on NR </w:t>
      </w:r>
      <w:proofErr w:type="spellStart"/>
      <w:r>
        <w:t>subframe</w:t>
      </w:r>
      <w:proofErr w:type="spellEnd"/>
      <w:r>
        <w:t xml:space="preserve"> design. Additional details and motivation can be found in the companion papers listed in the reference section.</w:t>
      </w:r>
    </w:p>
    <w:p w14:paraId="16BB069B" w14:textId="77777777" w:rsidR="00FE5799" w:rsidRDefault="00037C51" w:rsidP="00FE5799">
      <w:pPr>
        <w:pStyle w:val="Heading1"/>
        <w:spacing w:before="180"/>
        <w:ind w:left="562" w:hanging="562"/>
      </w:pPr>
      <w:r>
        <w:t>Discussion</w:t>
      </w:r>
    </w:p>
    <w:p w14:paraId="1FF91D96" w14:textId="77777777" w:rsidR="00C04A0F" w:rsidRPr="00C04A0F" w:rsidRDefault="00C04A0F" w:rsidP="00C04A0F">
      <w:pPr>
        <w:pStyle w:val="BodyText"/>
      </w:pPr>
      <w:r>
        <w:t>The following is proposed</w:t>
      </w:r>
    </w:p>
    <w:p w14:paraId="1C968FD8" w14:textId="57DA6823" w:rsidR="00053AF0" w:rsidRDefault="00053AF0" w:rsidP="00053AF0">
      <w:pPr>
        <w:pStyle w:val="ListParagraph"/>
        <w:jc w:val="right"/>
      </w:pPr>
    </w:p>
    <w:p w14:paraId="57191295" w14:textId="7C6B2DE0" w:rsidR="00B77774" w:rsidRDefault="006A03C4" w:rsidP="00BF3CBC">
      <w:pPr>
        <w:pStyle w:val="BodyText"/>
        <w:numPr>
          <w:ilvl w:val="0"/>
          <w:numId w:val="12"/>
        </w:numPr>
      </w:pPr>
      <w:r>
        <w:t xml:space="preserve">The use of a common </w:t>
      </w:r>
      <w:proofErr w:type="spellStart"/>
      <w:r>
        <w:t>subframe</w:t>
      </w:r>
      <w:proofErr w:type="spellEnd"/>
      <w:r>
        <w:t xml:space="preserve"> length across numerologies of </w:t>
      </w:r>
      <w:r w:rsidR="00CB2004">
        <w:t xml:space="preserve">0.5 </w:t>
      </w:r>
      <w:proofErr w:type="spellStart"/>
      <w:r w:rsidR="00CB2004">
        <w:t>ms</w:t>
      </w:r>
      <w:proofErr w:type="spellEnd"/>
      <w:r w:rsidR="00003BDF">
        <w:t xml:space="preserve"> (for subcarrier </w:t>
      </w:r>
      <w:proofErr w:type="spellStart"/>
      <w:r w:rsidR="00003BDF">
        <w:t>spacings</w:t>
      </w:r>
      <w:proofErr w:type="spellEnd"/>
      <w:r w:rsidR="00003BDF">
        <w:t xml:space="preserve"> of 15 kHz and higher)</w:t>
      </w:r>
      <w:r w:rsidR="00BF3CBC">
        <w:t xml:space="preserve">, suitable </w:t>
      </w:r>
      <w:r w:rsidR="00742EA5">
        <w:t xml:space="preserve">as the transmission </w:t>
      </w:r>
      <w:r>
        <w:t>unit</w:t>
      </w:r>
      <w:r w:rsidR="00742EA5">
        <w:t xml:space="preserve"> for </w:t>
      </w:r>
      <w:r w:rsidR="00BF3CBC">
        <w:t>MBB services</w:t>
      </w:r>
      <w:r w:rsidR="00B77774">
        <w:t xml:space="preserve"> </w:t>
      </w:r>
      <w:r w:rsidR="00B77774">
        <w:fldChar w:fldCharType="begin"/>
      </w:r>
      <w:r w:rsidR="00B77774">
        <w:instrText xml:space="preserve"> REF _Ref458022433 \r \h </w:instrText>
      </w:r>
      <w:r w:rsidR="00B77774">
        <w:fldChar w:fldCharType="separate"/>
      </w:r>
      <w:r w:rsidR="00C04A0F">
        <w:t>[4</w:t>
      </w:r>
      <w:proofErr w:type="gramStart"/>
      <w:r w:rsidR="00C04A0F">
        <w:t>]</w:t>
      </w:r>
      <w:proofErr w:type="gramEnd"/>
      <w:r w:rsidR="00B77774">
        <w:fldChar w:fldCharType="end"/>
      </w:r>
      <w:r w:rsidR="00961419">
        <w:fldChar w:fldCharType="begin"/>
      </w:r>
      <w:r w:rsidR="00961419">
        <w:instrText xml:space="preserve"> REF _Ref458684551 \r \h </w:instrText>
      </w:r>
      <w:r w:rsidR="00961419">
        <w:fldChar w:fldCharType="separate"/>
      </w:r>
      <w:r w:rsidR="00961419">
        <w:t>[8]</w:t>
      </w:r>
      <w:r w:rsidR="00961419">
        <w:fldChar w:fldCharType="end"/>
      </w:r>
      <w:r w:rsidR="00BF3CBC">
        <w:t xml:space="preserve">. </w:t>
      </w:r>
    </w:p>
    <w:p w14:paraId="77EAB20C" w14:textId="36CBD393" w:rsidR="00053AF0" w:rsidRDefault="00BF3CBC" w:rsidP="00053AF0">
      <w:pPr>
        <w:pStyle w:val="BodyText"/>
        <w:numPr>
          <w:ilvl w:val="1"/>
          <w:numId w:val="12"/>
        </w:numPr>
      </w:pPr>
      <w:r>
        <w:t xml:space="preserve">Latency-critical transmissions use a shorter </w:t>
      </w:r>
      <w:r w:rsidR="00742EA5">
        <w:t xml:space="preserve">transmission </w:t>
      </w:r>
      <w:r w:rsidR="00CB2004">
        <w:t>duration</w:t>
      </w:r>
      <w:r>
        <w:t>, allowed to start at ‘any’ OFDM symbol</w:t>
      </w:r>
      <w:r w:rsidR="00742EA5">
        <w:t xml:space="preserve"> </w:t>
      </w:r>
      <w:r>
        <w:t xml:space="preserve">and not only at </w:t>
      </w:r>
      <w:proofErr w:type="spellStart"/>
      <w:r>
        <w:t>subfr</w:t>
      </w:r>
      <w:r w:rsidR="00742EA5">
        <w:t>ame</w:t>
      </w:r>
      <w:proofErr w:type="spellEnd"/>
      <w:r>
        <w:t xml:space="preserve"> boundaries</w:t>
      </w:r>
      <w:r w:rsidR="00A72A41">
        <w:t xml:space="preserve"> </w:t>
      </w:r>
      <w:r w:rsidR="00A72A41">
        <w:fldChar w:fldCharType="begin"/>
      </w:r>
      <w:r w:rsidR="00A72A41">
        <w:instrText xml:space="preserve"> REF _Ref458022433 \r \h </w:instrText>
      </w:r>
      <w:r w:rsidR="00A72A41">
        <w:fldChar w:fldCharType="separate"/>
      </w:r>
      <w:r w:rsidR="00C04A0F">
        <w:t>[4]</w:t>
      </w:r>
      <w:r w:rsidR="00A72A41">
        <w:fldChar w:fldCharType="end"/>
      </w:r>
      <w:r w:rsidR="00A72A41">
        <w:t xml:space="preserve">. </w:t>
      </w:r>
    </w:p>
    <w:p w14:paraId="01BD60FD" w14:textId="77777777" w:rsidR="00053AF0" w:rsidRDefault="00053AF0" w:rsidP="00053AF0">
      <w:pPr>
        <w:pStyle w:val="BodyText"/>
        <w:ind w:left="720"/>
        <w:jc w:val="right"/>
      </w:pPr>
      <w:r w:rsidRPr="008A6DAB">
        <w:rPr>
          <w:noProof/>
          <w:lang w:val="sv-SE" w:eastAsia="sv-SE"/>
        </w:rPr>
        <w:drawing>
          <wp:inline distT="0" distB="0" distL="0" distR="0" wp14:anchorId="2C621ADD" wp14:editId="4AAD54D8">
            <wp:extent cx="3511995" cy="9144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130" cy="923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8F321" w14:textId="3E09F7EC" w:rsidR="00AA73AB" w:rsidRDefault="00961419" w:rsidP="00BF3CBC">
      <w:pPr>
        <w:pStyle w:val="BodyText"/>
        <w:numPr>
          <w:ilvl w:val="0"/>
          <w:numId w:val="12"/>
        </w:numPr>
      </w:pPr>
      <w:r>
        <w:t xml:space="preserve">OFDM symbol boundaries are aligned across different numerologies </w:t>
      </w:r>
      <w:r>
        <w:fldChar w:fldCharType="begin"/>
      </w:r>
      <w:r>
        <w:instrText xml:space="preserve"> REF _Ref458684539 \r \h </w:instrText>
      </w:r>
      <w:r>
        <w:fldChar w:fldCharType="separate"/>
      </w:r>
      <w:r>
        <w:t>[9]</w:t>
      </w:r>
      <w:r>
        <w:fldChar w:fldCharType="end"/>
      </w:r>
      <w:r>
        <w:t xml:space="preserve"> to simplify time-multiplexing of different numerologies</w:t>
      </w:r>
    </w:p>
    <w:p w14:paraId="645C2525" w14:textId="5AD5EC0D" w:rsidR="00961419" w:rsidRDefault="00003BDF" w:rsidP="00961419">
      <w:pPr>
        <w:pStyle w:val="BodyText"/>
        <w:ind w:left="720"/>
        <w:jc w:val="right"/>
      </w:pPr>
      <w:r w:rsidRPr="00003BDF">
        <w:rPr>
          <w:noProof/>
          <w:lang w:val="sv-SE" w:eastAsia="sv-SE"/>
        </w:rPr>
        <w:drawing>
          <wp:inline distT="0" distB="0" distL="0" distR="0" wp14:anchorId="289C4956" wp14:editId="44B7BF44">
            <wp:extent cx="2190046" cy="676652"/>
            <wp:effectExtent l="0" t="0" r="127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475" cy="67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5A14C" w14:textId="77777777" w:rsidR="006A03C4" w:rsidRDefault="006A03C4" w:rsidP="006A03C4">
      <w:pPr>
        <w:pStyle w:val="ListParagraph"/>
        <w:numPr>
          <w:ilvl w:val="0"/>
          <w:numId w:val="12"/>
        </w:numPr>
      </w:pPr>
      <w:r>
        <w:t xml:space="preserve">Support for dynamic TDD where </w:t>
      </w:r>
      <w:r w:rsidRPr="00742EA5">
        <w:rPr>
          <w:rFonts w:eastAsia="MS Mincho"/>
        </w:rPr>
        <w:t xml:space="preserve">the parts of a </w:t>
      </w:r>
      <w:proofErr w:type="spellStart"/>
      <w:r w:rsidRPr="00742EA5">
        <w:rPr>
          <w:rFonts w:eastAsia="MS Mincho"/>
        </w:rPr>
        <w:t>subframe</w:t>
      </w:r>
      <w:proofErr w:type="spellEnd"/>
      <w:r w:rsidRPr="00742EA5">
        <w:rPr>
          <w:rFonts w:eastAsia="MS Mincho"/>
        </w:rPr>
        <w:t xml:space="preserve"> carrying data can be dynamically assigned to uplink or downlink as part of the dynamic scheduling decision</w:t>
      </w:r>
      <w:r>
        <w:t xml:space="preserve"> </w:t>
      </w:r>
      <w:r>
        <w:fldChar w:fldCharType="begin"/>
      </w:r>
      <w:r>
        <w:instrText xml:space="preserve"> REF _Ref458024464 \r \h </w:instrText>
      </w:r>
      <w:r>
        <w:fldChar w:fldCharType="separate"/>
      </w:r>
      <w:r>
        <w:t>[4]</w:t>
      </w:r>
      <w:r>
        <w:fldChar w:fldCharType="end"/>
      </w:r>
      <w:r>
        <w:t>.</w:t>
      </w:r>
    </w:p>
    <w:p w14:paraId="7DD9C995" w14:textId="77777777" w:rsidR="006A03C4" w:rsidRDefault="006A03C4" w:rsidP="006A03C4">
      <w:pPr>
        <w:pStyle w:val="BodyText"/>
        <w:ind w:left="720"/>
        <w:jc w:val="right"/>
      </w:pPr>
      <w:r w:rsidRPr="00434901">
        <w:rPr>
          <w:noProof/>
          <w:lang w:val="sv-SE" w:eastAsia="sv-SE"/>
        </w:rPr>
        <w:drawing>
          <wp:inline distT="0" distB="0" distL="0" distR="0" wp14:anchorId="27174554" wp14:editId="42CB6615">
            <wp:extent cx="2314575" cy="101650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8669" cy="1018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E694E" w14:textId="03E3BC20" w:rsidR="00BF3CBC" w:rsidRDefault="00B77774" w:rsidP="006A03C4">
      <w:pPr>
        <w:pStyle w:val="BodyText"/>
        <w:numPr>
          <w:ilvl w:val="0"/>
          <w:numId w:val="12"/>
        </w:numPr>
      </w:pPr>
      <w:r>
        <w:t xml:space="preserve">“Front-loaded design” with downlink control and demodulation reference signals occurring at the beginning of the </w:t>
      </w:r>
      <w:r w:rsidR="00CB2004">
        <w:t xml:space="preserve">transmission </w:t>
      </w:r>
      <w:r>
        <w:fldChar w:fldCharType="begin"/>
      </w:r>
      <w:r>
        <w:instrText xml:space="preserve"> REF _Ref458022816 \r \h </w:instrText>
      </w:r>
      <w:r>
        <w:fldChar w:fldCharType="separate"/>
      </w:r>
      <w:r w:rsidR="00C04A0F">
        <w:t>[5]</w:t>
      </w:r>
      <w:r>
        <w:fldChar w:fldCharType="end"/>
      </w:r>
    </w:p>
    <w:p w14:paraId="4A5AB34C" w14:textId="77777777" w:rsidR="00053AF0" w:rsidRDefault="00053AF0" w:rsidP="00053AF0">
      <w:pPr>
        <w:pStyle w:val="BodyText"/>
        <w:ind w:left="720"/>
        <w:jc w:val="right"/>
      </w:pPr>
      <w:r w:rsidRPr="00053AF0">
        <w:rPr>
          <w:noProof/>
          <w:lang w:val="sv-SE" w:eastAsia="sv-SE"/>
        </w:rPr>
        <w:drawing>
          <wp:inline distT="0" distB="0" distL="0" distR="0" wp14:anchorId="769CC406" wp14:editId="7719070C">
            <wp:extent cx="2095500" cy="888850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8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D52EA" w14:textId="77777777" w:rsidR="00B77774" w:rsidRDefault="00B77774" w:rsidP="00BF3CBC">
      <w:pPr>
        <w:pStyle w:val="BodyText"/>
        <w:numPr>
          <w:ilvl w:val="0"/>
          <w:numId w:val="12"/>
        </w:numPr>
      </w:pPr>
      <w:r>
        <w:t xml:space="preserve">“On the fly” processing supported with a </w:t>
      </w:r>
      <w:r w:rsidR="00742EA5">
        <w:t>pipelining</w:t>
      </w:r>
      <w:r>
        <w:t xml:space="preserve">-friendly mapping (e.g. avoiding time-domain interleaving) </w:t>
      </w:r>
      <w:r>
        <w:fldChar w:fldCharType="begin"/>
      </w:r>
      <w:r>
        <w:instrText xml:space="preserve"> REF _Ref458022816 \r \h </w:instrText>
      </w:r>
      <w:r>
        <w:fldChar w:fldCharType="separate"/>
      </w:r>
      <w:r w:rsidR="00C04A0F">
        <w:t>[5]</w:t>
      </w:r>
      <w:r>
        <w:fldChar w:fldCharType="end"/>
      </w:r>
    </w:p>
    <w:p w14:paraId="7282887D" w14:textId="77777777" w:rsidR="00AB74C3" w:rsidRDefault="009B5CB1" w:rsidP="00BF3CBC">
      <w:pPr>
        <w:pStyle w:val="BodyText"/>
        <w:numPr>
          <w:ilvl w:val="0"/>
          <w:numId w:val="12"/>
        </w:numPr>
      </w:pPr>
      <w:r>
        <w:t xml:space="preserve">The possibility for </w:t>
      </w:r>
      <w:r w:rsidR="000A0DDF">
        <w:fldChar w:fldCharType="begin"/>
      </w:r>
      <w:r w:rsidR="000A0DDF">
        <w:instrText xml:space="preserve"> REF _Ref458022816 \r \h </w:instrText>
      </w:r>
      <w:r w:rsidR="000A0DDF">
        <w:fldChar w:fldCharType="separate"/>
      </w:r>
      <w:r w:rsidR="00C04A0F">
        <w:t>[5]</w:t>
      </w:r>
      <w:r w:rsidR="000A0DDF">
        <w:fldChar w:fldCharType="end"/>
      </w:r>
      <w:r w:rsidR="000A0DDF">
        <w:t xml:space="preserve"> </w:t>
      </w:r>
    </w:p>
    <w:p w14:paraId="14BB0711" w14:textId="77777777" w:rsidR="00AB74C3" w:rsidRPr="000A0DDF" w:rsidRDefault="00C04A0F" w:rsidP="00AB74C3">
      <w:pPr>
        <w:pStyle w:val="BodyText"/>
        <w:numPr>
          <w:ilvl w:val="1"/>
          <w:numId w:val="12"/>
        </w:numPr>
      </w:pPr>
      <w:proofErr w:type="gramStart"/>
      <w:r>
        <w:lastRenderedPageBreak/>
        <w:t>immediate</w:t>
      </w:r>
      <w:proofErr w:type="gramEnd"/>
      <w:r>
        <w:t xml:space="preserve"> hybrid-ARQ feedback,  ~1 OFDM symbol after the end of data reception. </w:t>
      </w:r>
    </w:p>
    <w:p w14:paraId="660AE121" w14:textId="77777777" w:rsidR="00053AF0" w:rsidRDefault="00C04A0F" w:rsidP="00053AF0">
      <w:pPr>
        <w:pStyle w:val="BodyText"/>
        <w:numPr>
          <w:ilvl w:val="1"/>
          <w:numId w:val="12"/>
        </w:numPr>
      </w:pPr>
      <w:r>
        <w:t xml:space="preserve">immediate uplink scheduling grants, uplink data transmission starting  ~1 OFDM symbol after reception of the scheduling grant </w:t>
      </w:r>
    </w:p>
    <w:p w14:paraId="4A6B938B" w14:textId="77777777" w:rsidR="00053AF0" w:rsidRDefault="00053AF0" w:rsidP="00053AF0">
      <w:pPr>
        <w:pStyle w:val="BodyText"/>
        <w:ind w:left="720"/>
        <w:jc w:val="right"/>
      </w:pPr>
      <w:r w:rsidRPr="00004F0E">
        <w:rPr>
          <w:noProof/>
          <w:lang w:val="sv-SE" w:eastAsia="sv-SE"/>
        </w:rPr>
        <w:drawing>
          <wp:inline distT="0" distB="0" distL="0" distR="0" wp14:anchorId="163054B8" wp14:editId="572EC5F9">
            <wp:extent cx="3218389" cy="658307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523" cy="659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80C32" w14:textId="77777777" w:rsidR="00B77774" w:rsidRDefault="00C04A0F" w:rsidP="000A0DDF">
      <w:pPr>
        <w:pStyle w:val="BodyText"/>
        <w:numPr>
          <w:ilvl w:val="0"/>
          <w:numId w:val="12"/>
        </w:numPr>
      </w:pPr>
      <w:r>
        <w:t xml:space="preserve">Possibility for </w:t>
      </w:r>
      <w:r w:rsidR="00742EA5">
        <w:t>“</w:t>
      </w:r>
      <w:r>
        <w:t>multi-</w:t>
      </w:r>
      <w:proofErr w:type="spellStart"/>
      <w:r>
        <w:t>subframe</w:t>
      </w:r>
      <w:proofErr w:type="spellEnd"/>
      <w:r w:rsidR="00742EA5">
        <w:t>”</w:t>
      </w:r>
      <w:r>
        <w:t xml:space="preserve"> hybrid-ARQ feedback in addition to </w:t>
      </w:r>
      <w:r w:rsidR="00742EA5">
        <w:t>“</w:t>
      </w:r>
      <w:r>
        <w:t>immediate</w:t>
      </w:r>
      <w:r w:rsidR="00742EA5">
        <w:t>”</w:t>
      </w:r>
      <w:r>
        <w:t xml:space="preserve"> feedback </w:t>
      </w:r>
      <w:r>
        <w:fldChar w:fldCharType="begin"/>
      </w:r>
      <w:r>
        <w:instrText xml:space="preserve"> REF _Ref458023969 \r \h </w:instrText>
      </w:r>
      <w:r>
        <w:fldChar w:fldCharType="separate"/>
      </w:r>
      <w:r>
        <w:t>[6]</w:t>
      </w:r>
      <w:r>
        <w:fldChar w:fldCharType="end"/>
      </w:r>
    </w:p>
    <w:p w14:paraId="1B82C696" w14:textId="6D8D2DD7" w:rsidR="00CB2004" w:rsidRDefault="00053AF0" w:rsidP="006A03C4">
      <w:pPr>
        <w:pStyle w:val="BodyText"/>
        <w:ind w:left="720"/>
        <w:jc w:val="right"/>
      </w:pPr>
      <w:r w:rsidRPr="00A82F36">
        <w:rPr>
          <w:noProof/>
          <w:lang w:val="sv-SE" w:eastAsia="sv-SE"/>
        </w:rPr>
        <w:drawing>
          <wp:inline distT="0" distB="0" distL="0" distR="0" wp14:anchorId="386DC4F6" wp14:editId="6629F399">
            <wp:extent cx="3114675" cy="89986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645" cy="899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E1E0A" w14:textId="77777777" w:rsidR="006A03C4" w:rsidRDefault="006A03C4" w:rsidP="006A03C4">
      <w:pPr>
        <w:pStyle w:val="BodyText"/>
        <w:numPr>
          <w:ilvl w:val="0"/>
          <w:numId w:val="12"/>
        </w:numPr>
      </w:pPr>
      <w:r>
        <w:t xml:space="preserve">Uplink and downlink </w:t>
      </w:r>
      <w:proofErr w:type="spellStart"/>
      <w:r>
        <w:t>subframes</w:t>
      </w:r>
      <w:proofErr w:type="spellEnd"/>
      <w:r>
        <w:t xml:space="preserve"> are described separately to allow for simple handling of timing relations and applicability the same </w:t>
      </w:r>
      <w:proofErr w:type="spellStart"/>
      <w:r>
        <w:t>subframe</w:t>
      </w:r>
      <w:proofErr w:type="spellEnd"/>
      <w:r>
        <w:t xml:space="preserve"> design to all duplex schemes </w:t>
      </w:r>
      <w:r>
        <w:fldChar w:fldCharType="begin"/>
      </w:r>
      <w:r>
        <w:instrText xml:space="preserve"> REF _Ref449604093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2B73647D" w14:textId="77777777" w:rsidR="006A03C4" w:rsidRDefault="006A03C4" w:rsidP="006A03C4">
      <w:pPr>
        <w:pStyle w:val="BodyText"/>
        <w:ind w:left="720"/>
        <w:jc w:val="right"/>
      </w:pPr>
      <w:r w:rsidRPr="00722ED5">
        <w:rPr>
          <w:noProof/>
          <w:lang w:val="sv-SE" w:eastAsia="sv-SE"/>
        </w:rPr>
        <w:drawing>
          <wp:inline distT="0" distB="0" distL="0" distR="0" wp14:anchorId="4940B7F8" wp14:editId="52DE872D">
            <wp:extent cx="3076575" cy="696544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558" cy="696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2D6D2" w14:textId="77777777" w:rsidR="006A03C4" w:rsidRDefault="006A03C4" w:rsidP="006A03C4">
      <w:pPr>
        <w:pStyle w:val="BodyText"/>
        <w:numPr>
          <w:ilvl w:val="0"/>
          <w:numId w:val="12"/>
        </w:numPr>
      </w:pPr>
      <w:r>
        <w:t xml:space="preserve">Generic frame structure applicable to TDD as well as FDD </w:t>
      </w:r>
      <w:r>
        <w:fldChar w:fldCharType="begin"/>
      </w:r>
      <w:r>
        <w:instrText xml:space="preserve"> REF _Ref458023084 \r \h </w:instrText>
      </w:r>
      <w:r>
        <w:fldChar w:fldCharType="separate"/>
      </w:r>
      <w:r>
        <w:t>[2]</w:t>
      </w:r>
      <w:r>
        <w:fldChar w:fldCharType="end"/>
      </w:r>
      <w:r>
        <w:t xml:space="preserve">, and uplink/downlink as well as </w:t>
      </w:r>
      <w:proofErr w:type="spellStart"/>
      <w:r>
        <w:t>sidelink</w:t>
      </w:r>
      <w:proofErr w:type="spellEnd"/>
      <w:r>
        <w:t xml:space="preserve"> </w:t>
      </w:r>
      <w:r>
        <w:fldChar w:fldCharType="begin"/>
      </w:r>
      <w:r>
        <w:instrText xml:space="preserve"> REF _Ref458023139 \r \h </w:instrText>
      </w:r>
      <w:r>
        <w:fldChar w:fldCharType="separate"/>
      </w:r>
      <w:r>
        <w:t>[3]</w:t>
      </w:r>
      <w:r>
        <w:fldChar w:fldCharType="end"/>
      </w:r>
      <w:r>
        <w:t>.</w:t>
      </w:r>
    </w:p>
    <w:p w14:paraId="5B8954BC" w14:textId="77777777" w:rsidR="00466D6A" w:rsidRPr="00510266" w:rsidRDefault="00466D6A" w:rsidP="00466D6A">
      <w:pPr>
        <w:pStyle w:val="Heading1"/>
        <w:tabs>
          <w:tab w:val="clear" w:pos="4536"/>
          <w:tab w:val="num" w:pos="567"/>
        </w:tabs>
        <w:ind w:left="567"/>
      </w:pPr>
      <w:r w:rsidRPr="00510266">
        <w:t>References</w:t>
      </w:r>
    </w:p>
    <w:p w14:paraId="3E849D9E" w14:textId="466AA7A7" w:rsidR="00466D6A" w:rsidRPr="00A72A41" w:rsidRDefault="00466D6A" w:rsidP="00BF3CBC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4" w:name="_Ref445818173"/>
      <w:bookmarkStart w:id="5" w:name="_Ref449604093"/>
      <w:r>
        <w:t>R1-</w:t>
      </w:r>
      <w:r w:rsidR="00CB2004">
        <w:t>167048</w:t>
      </w:r>
      <w:r>
        <w:t xml:space="preserve">, </w:t>
      </w:r>
      <w:bookmarkEnd w:id="4"/>
      <w:r>
        <w:t>“</w:t>
      </w:r>
      <w:r w:rsidR="00BF3CBC" w:rsidRPr="00BF3CBC">
        <w:t xml:space="preserve">On </w:t>
      </w:r>
      <w:proofErr w:type="spellStart"/>
      <w:r w:rsidR="00BF3CBC" w:rsidRPr="00BF3CBC">
        <w:t>subframe</w:t>
      </w:r>
      <w:proofErr w:type="spellEnd"/>
      <w:r w:rsidR="00BF3CBC" w:rsidRPr="00BF3CBC">
        <w:t xml:space="preserve"> description</w:t>
      </w:r>
      <w:r>
        <w:t>”, Ericsson</w:t>
      </w:r>
      <w:bookmarkEnd w:id="5"/>
    </w:p>
    <w:p w14:paraId="009F90C4" w14:textId="04AE9AA5" w:rsidR="00A72A41" w:rsidRPr="00A72A41" w:rsidRDefault="00A72A41" w:rsidP="00BF3CBC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6" w:name="_Ref458023084"/>
      <w:r>
        <w:t>R1-</w:t>
      </w:r>
      <w:r w:rsidR="00CB2004">
        <w:t>167042</w:t>
      </w:r>
      <w:r>
        <w:t>, “On FDD frame structure”, Ericsson</w:t>
      </w:r>
      <w:bookmarkEnd w:id="6"/>
    </w:p>
    <w:p w14:paraId="048164EE" w14:textId="396F71C6" w:rsidR="00A72A41" w:rsidRPr="0089018A" w:rsidRDefault="00A72A41" w:rsidP="00A72A41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7" w:name="_Ref458023139"/>
      <w:r>
        <w:t>R1-</w:t>
      </w:r>
      <w:r w:rsidR="00CB2004">
        <w:t>167043</w:t>
      </w:r>
      <w:r>
        <w:t xml:space="preserve">, “On </w:t>
      </w:r>
      <w:proofErr w:type="spellStart"/>
      <w:r>
        <w:t>sidelink</w:t>
      </w:r>
      <w:proofErr w:type="spellEnd"/>
      <w:r>
        <w:t xml:space="preserve"> frame structure”, Ericsson</w:t>
      </w:r>
      <w:bookmarkEnd w:id="7"/>
    </w:p>
    <w:p w14:paraId="7309BB00" w14:textId="036C9DDD" w:rsidR="0089018A" w:rsidRPr="00A72A41" w:rsidRDefault="0089018A" w:rsidP="0089018A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8" w:name="_Ref458024464"/>
      <w:r>
        <w:t>R1-</w:t>
      </w:r>
      <w:r w:rsidR="00CB2004">
        <w:t>167044</w:t>
      </w:r>
      <w:r>
        <w:t>, “</w:t>
      </w:r>
      <w:r w:rsidRPr="0089018A">
        <w:t>On dynamic TDD</w:t>
      </w:r>
      <w:r>
        <w:t>”, Ericsson</w:t>
      </w:r>
      <w:bookmarkEnd w:id="8"/>
    </w:p>
    <w:p w14:paraId="5757F1B5" w14:textId="491F725E" w:rsidR="00BF3CBC" w:rsidRPr="00BF3CBC" w:rsidRDefault="00BF3CBC" w:rsidP="00BF3CBC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9" w:name="_Ref458022433"/>
      <w:r>
        <w:t>R1-</w:t>
      </w:r>
      <w:r w:rsidR="00CB2004">
        <w:t>167047</w:t>
      </w:r>
      <w:r>
        <w:t xml:space="preserve">, “On smallest </w:t>
      </w:r>
      <w:r w:rsidR="00CB2004">
        <w:t>schedulable</w:t>
      </w:r>
      <w:r>
        <w:t xml:space="preserve"> unit”, Ericsson</w:t>
      </w:r>
      <w:bookmarkEnd w:id="9"/>
    </w:p>
    <w:p w14:paraId="63E08D56" w14:textId="56735F88" w:rsidR="00BF3CBC" w:rsidRPr="00425E34" w:rsidRDefault="00BF3CBC" w:rsidP="00B77774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10" w:name="_Ref458022816"/>
      <w:r>
        <w:t>R1-</w:t>
      </w:r>
      <w:r w:rsidR="00CB2004">
        <w:t>167045</w:t>
      </w:r>
      <w:r>
        <w:t>, “</w:t>
      </w:r>
      <w:r w:rsidR="00B77774" w:rsidRPr="00B77774">
        <w:t>On low-latency frame structure</w:t>
      </w:r>
      <w:r>
        <w:t>”, Ericsson</w:t>
      </w:r>
      <w:bookmarkEnd w:id="10"/>
    </w:p>
    <w:p w14:paraId="389AFB41" w14:textId="2324C704" w:rsidR="00BF3CBC" w:rsidRPr="00AA73AB" w:rsidRDefault="00BF3CBC" w:rsidP="00C04A0F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11" w:name="_Ref458023969"/>
      <w:r>
        <w:t>R1-</w:t>
      </w:r>
      <w:r w:rsidR="00CB2004">
        <w:t>167039</w:t>
      </w:r>
      <w:r>
        <w:t>, “</w:t>
      </w:r>
      <w:r w:rsidR="00C04A0F" w:rsidRPr="00C04A0F">
        <w:t>On different HARQ feedback reporting modes</w:t>
      </w:r>
      <w:r>
        <w:t>”, Ericsson</w:t>
      </w:r>
      <w:bookmarkEnd w:id="11"/>
    </w:p>
    <w:p w14:paraId="3425636D" w14:textId="63751353" w:rsidR="00AA73AB" w:rsidRPr="00AA73AB" w:rsidRDefault="00AA73AB" w:rsidP="00AA73AB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12" w:name="_Ref458684551"/>
      <w:r>
        <w:t>R1-167049, “</w:t>
      </w:r>
      <w:r w:rsidRPr="00AA73AB">
        <w:t xml:space="preserve">On </w:t>
      </w:r>
      <w:proofErr w:type="spellStart"/>
      <w:r w:rsidRPr="00AA73AB">
        <w:t>subframe</w:t>
      </w:r>
      <w:proofErr w:type="spellEnd"/>
      <w:r w:rsidRPr="00AA73AB">
        <w:t xml:space="preserve"> scaling</w:t>
      </w:r>
      <w:r>
        <w:t>”, Ericsson</w:t>
      </w:r>
      <w:bookmarkEnd w:id="12"/>
    </w:p>
    <w:p w14:paraId="4568E063" w14:textId="29ABB58E" w:rsidR="00AA73AB" w:rsidRPr="00425E34" w:rsidRDefault="00AA73AB" w:rsidP="00AA73AB">
      <w:pPr>
        <w:numPr>
          <w:ilvl w:val="0"/>
          <w:numId w:val="2"/>
        </w:numPr>
        <w:jc w:val="both"/>
        <w:rPr>
          <w:szCs w:val="20"/>
          <w:lang w:val="it-IT"/>
        </w:rPr>
      </w:pPr>
      <w:bookmarkStart w:id="13" w:name="_Ref458684539"/>
      <w:r>
        <w:t>R1-167050, “On symbol scaling”, Ericsson</w:t>
      </w:r>
      <w:bookmarkEnd w:id="13"/>
    </w:p>
    <w:sectPr w:rsidR="00AA73AB" w:rsidRPr="00425E34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3BDAE3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92FEC9" w14:textId="77777777" w:rsidR="003B3502" w:rsidRDefault="003B3502">
      <w:r>
        <w:separator/>
      </w:r>
    </w:p>
  </w:endnote>
  <w:endnote w:type="continuationSeparator" w:id="0">
    <w:p w14:paraId="495054B6" w14:textId="77777777" w:rsidR="003B3502" w:rsidRDefault="003B3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C50109" w14:textId="77777777" w:rsidR="003B3502" w:rsidRDefault="003B3502">
      <w:r>
        <w:separator/>
      </w:r>
    </w:p>
  </w:footnote>
  <w:footnote w:type="continuationSeparator" w:id="0">
    <w:p w14:paraId="295BB22A" w14:textId="77777777" w:rsidR="003B3502" w:rsidRDefault="003B3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BB901" w14:textId="77777777" w:rsidR="004D4F57" w:rsidRDefault="003B3502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139A"/>
    <w:multiLevelType w:val="hybridMultilevel"/>
    <w:tmpl w:val="3BA82A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0B0ED0"/>
    <w:multiLevelType w:val="hybridMultilevel"/>
    <w:tmpl w:val="DBE8D1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AD2D4D"/>
    <w:multiLevelType w:val="hybridMultilevel"/>
    <w:tmpl w:val="88E8C6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4536"/>
        </w:tabs>
        <w:ind w:left="4536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0">
    <w:nsid w:val="7C227351"/>
    <w:multiLevelType w:val="hybridMultilevel"/>
    <w:tmpl w:val="574EA1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9"/>
  </w:num>
  <w:num w:numId="9">
    <w:abstractNumId w:val="0"/>
  </w:num>
  <w:num w:numId="10">
    <w:abstractNumId w:val="6"/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bert Baldemair">
    <w15:presenceInfo w15:providerId="AD" w15:userId="S-1-5-21-1538607324-3213881460-940295383-4899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03BDF"/>
    <w:rsid w:val="000217F8"/>
    <w:rsid w:val="00037C51"/>
    <w:rsid w:val="00053AF0"/>
    <w:rsid w:val="000A0DDF"/>
    <w:rsid w:val="000A258F"/>
    <w:rsid w:val="000C7788"/>
    <w:rsid w:val="000E2302"/>
    <w:rsid w:val="00112E18"/>
    <w:rsid w:val="00114B6A"/>
    <w:rsid w:val="00141448"/>
    <w:rsid w:val="00175D32"/>
    <w:rsid w:val="0017779E"/>
    <w:rsid w:val="00192272"/>
    <w:rsid w:val="0021013F"/>
    <w:rsid w:val="0027347B"/>
    <w:rsid w:val="00290099"/>
    <w:rsid w:val="00361534"/>
    <w:rsid w:val="003875A3"/>
    <w:rsid w:val="003B3502"/>
    <w:rsid w:val="003F56D1"/>
    <w:rsid w:val="004017BE"/>
    <w:rsid w:val="00422F7B"/>
    <w:rsid w:val="00425920"/>
    <w:rsid w:val="00444347"/>
    <w:rsid w:val="00466D6A"/>
    <w:rsid w:val="00474B5E"/>
    <w:rsid w:val="004B57FD"/>
    <w:rsid w:val="0055264E"/>
    <w:rsid w:val="005B7D01"/>
    <w:rsid w:val="005C439D"/>
    <w:rsid w:val="005E6955"/>
    <w:rsid w:val="005F0CDE"/>
    <w:rsid w:val="0061336B"/>
    <w:rsid w:val="00697D37"/>
    <w:rsid w:val="006A03C4"/>
    <w:rsid w:val="006A0FBD"/>
    <w:rsid w:val="006A286A"/>
    <w:rsid w:val="00742EA5"/>
    <w:rsid w:val="0075384C"/>
    <w:rsid w:val="00771BA9"/>
    <w:rsid w:val="007A01C0"/>
    <w:rsid w:val="008227EC"/>
    <w:rsid w:val="00834DE7"/>
    <w:rsid w:val="00835FF4"/>
    <w:rsid w:val="0089018A"/>
    <w:rsid w:val="008A61B8"/>
    <w:rsid w:val="008B23D4"/>
    <w:rsid w:val="008B474D"/>
    <w:rsid w:val="008F3359"/>
    <w:rsid w:val="009359D1"/>
    <w:rsid w:val="00961419"/>
    <w:rsid w:val="00986054"/>
    <w:rsid w:val="009A6BB8"/>
    <w:rsid w:val="009B2E48"/>
    <w:rsid w:val="009B5CB1"/>
    <w:rsid w:val="00A32DC8"/>
    <w:rsid w:val="00A44033"/>
    <w:rsid w:val="00A47015"/>
    <w:rsid w:val="00A72A41"/>
    <w:rsid w:val="00A81AA1"/>
    <w:rsid w:val="00A85E54"/>
    <w:rsid w:val="00AA13EF"/>
    <w:rsid w:val="00AA73AB"/>
    <w:rsid w:val="00AB74C3"/>
    <w:rsid w:val="00B368D9"/>
    <w:rsid w:val="00B77774"/>
    <w:rsid w:val="00BA2CDD"/>
    <w:rsid w:val="00BA76BC"/>
    <w:rsid w:val="00BF3CBC"/>
    <w:rsid w:val="00C04A0F"/>
    <w:rsid w:val="00C12139"/>
    <w:rsid w:val="00C1560A"/>
    <w:rsid w:val="00C326A6"/>
    <w:rsid w:val="00C61496"/>
    <w:rsid w:val="00C93774"/>
    <w:rsid w:val="00C972A5"/>
    <w:rsid w:val="00CB2004"/>
    <w:rsid w:val="00CE28B2"/>
    <w:rsid w:val="00CF2225"/>
    <w:rsid w:val="00CF67BE"/>
    <w:rsid w:val="00D02349"/>
    <w:rsid w:val="00D03119"/>
    <w:rsid w:val="00D04257"/>
    <w:rsid w:val="00D27A57"/>
    <w:rsid w:val="00D378A6"/>
    <w:rsid w:val="00DA110D"/>
    <w:rsid w:val="00DC5826"/>
    <w:rsid w:val="00DE3421"/>
    <w:rsid w:val="00E63D88"/>
    <w:rsid w:val="00EA06B2"/>
    <w:rsid w:val="00F37D49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D557C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3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AFFA0-50C7-4B63-B5B9-3944A8E82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2</cp:revision>
  <dcterms:created xsi:type="dcterms:W3CDTF">2016-08-12T12:50:00Z</dcterms:created>
  <dcterms:modified xsi:type="dcterms:W3CDTF">2016-08-12T12:50:00Z</dcterms:modified>
</cp:coreProperties>
</file>