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54" w:rsidRPr="00446F9D" w:rsidRDefault="00A85E54" w:rsidP="00A85E54">
      <w:pPr>
        <w:pStyle w:val="Header"/>
        <w:tabs>
          <w:tab w:val="clear" w:pos="4536"/>
        </w:tabs>
        <w:rPr>
          <w:i/>
        </w:rPr>
      </w:pPr>
      <w:bookmarkStart w:id="0" w:name="_GoBack"/>
      <w:bookmarkEnd w:id="0"/>
      <w:r w:rsidRPr="00446F9D">
        <w:t>TSG-RAN WG1 #</w:t>
      </w:r>
      <w:r w:rsidR="0027347B">
        <w:t>86</w:t>
      </w:r>
      <w:r w:rsidRPr="00446F9D">
        <w:tab/>
        <w:t>R1-</w:t>
      </w:r>
      <w:r w:rsidR="00C83609">
        <w:t>167045</w:t>
      </w:r>
    </w:p>
    <w:p w:rsidR="00A85E54" w:rsidRPr="000833FA" w:rsidRDefault="0027347B" w:rsidP="00A85E54">
      <w:pPr>
        <w:pStyle w:val="Header"/>
        <w:rPr>
          <w:color w:val="000000"/>
        </w:rPr>
      </w:pPr>
      <w:r>
        <w:t>Gothenburg, Sweden, August 22 – 26,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037C51">
        <w:t xml:space="preserve">On </w:t>
      </w:r>
      <w:r w:rsidR="00425920">
        <w:t>low-latency frame structure</w:t>
      </w:r>
    </w:p>
    <w:p w:rsidR="00FE5799" w:rsidRPr="0003368D" w:rsidRDefault="00FE5799" w:rsidP="00FE5799">
      <w:pPr>
        <w:pStyle w:val="Header"/>
        <w:tabs>
          <w:tab w:val="left" w:pos="1800"/>
        </w:tabs>
      </w:pPr>
      <w:r w:rsidRPr="0003368D">
        <w:t>Agenda Item:</w:t>
      </w:r>
      <w:bookmarkStart w:id="2" w:name="Source"/>
      <w:bookmarkEnd w:id="2"/>
      <w:r w:rsidRPr="0003368D">
        <w:tab/>
      </w:r>
      <w:r w:rsidR="001E2639" w:rsidRPr="002D5D72">
        <w:t>8</w:t>
      </w:r>
      <w:r w:rsidR="00037C51" w:rsidRPr="002D5D72">
        <w:t>.1.</w:t>
      </w:r>
      <w:r w:rsidR="00564679">
        <w:t>3</w:t>
      </w:r>
      <w:r w:rsidR="00037C51" w:rsidRPr="002D5D72">
        <w:t>.2</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17779E" w:rsidRDefault="0017779E" w:rsidP="00FE5799">
      <w:pPr>
        <w:pStyle w:val="Heading1"/>
        <w:spacing w:before="180"/>
        <w:ind w:left="562" w:hanging="562"/>
      </w:pPr>
      <w:r>
        <w:t>Introduction</w:t>
      </w:r>
    </w:p>
    <w:p w:rsidR="00C972A5" w:rsidRPr="00C972A5" w:rsidRDefault="00C972A5" w:rsidP="00C972A5">
      <w:pPr>
        <w:pStyle w:val="BodyText"/>
      </w:pPr>
      <w:r>
        <w:t>One of the targets for NR design is to allow for a very low latency. Not all services supported by NR may need a very low latency, but to enable those that do require low latency, the frame structure must be designed with this requirement in mind while at the same time the resulting frame structure should efficiently support also services with modest latency requirements.</w:t>
      </w:r>
    </w:p>
    <w:p w:rsidR="00FE5799" w:rsidRDefault="00037C51" w:rsidP="00FE5799">
      <w:pPr>
        <w:pStyle w:val="Heading1"/>
        <w:spacing w:before="180"/>
        <w:ind w:left="562" w:hanging="562"/>
      </w:pPr>
      <w:r>
        <w:t>Discussion</w:t>
      </w:r>
    </w:p>
    <w:p w:rsidR="00C972A5" w:rsidRDefault="00EA06B2" w:rsidP="00C972A5">
      <w:pPr>
        <w:pStyle w:val="BodyText"/>
      </w:pPr>
      <w:r>
        <w:t>To support a very low latency, extensive use of pipelining in the receiver is necessary. This implies that the</w:t>
      </w:r>
      <w:r w:rsidR="00C972A5">
        <w:t xml:space="preserve"> frame structure </w:t>
      </w:r>
      <w:r>
        <w:t>should enable</w:t>
      </w:r>
    </w:p>
    <w:p w:rsidR="00C972A5" w:rsidRDefault="00ED1B03" w:rsidP="00C972A5">
      <w:pPr>
        <w:pStyle w:val="BodyText"/>
        <w:numPr>
          <w:ilvl w:val="0"/>
          <w:numId w:val="9"/>
        </w:numPr>
      </w:pPr>
      <w:r>
        <w:t xml:space="preserve">the possibility for very </w:t>
      </w:r>
      <w:r w:rsidR="00C972A5">
        <w:t xml:space="preserve">short </w:t>
      </w:r>
      <w:r>
        <w:t>transmission intervals</w:t>
      </w:r>
      <w:r w:rsidR="00C972A5">
        <w:t>, in the order of 100 – 200 µs,</w:t>
      </w:r>
    </w:p>
    <w:p w:rsidR="00C972A5" w:rsidRDefault="00C972A5" w:rsidP="00C972A5">
      <w:pPr>
        <w:pStyle w:val="BodyText"/>
        <w:numPr>
          <w:ilvl w:val="0"/>
          <w:numId w:val="9"/>
        </w:numPr>
      </w:pPr>
      <w:r>
        <w:t xml:space="preserve">the possibility for very fast hybrid-ARQ acknowledgements, </w:t>
      </w:r>
    </w:p>
    <w:p w:rsidR="00466D6A" w:rsidRDefault="00466D6A" w:rsidP="00C972A5">
      <w:pPr>
        <w:pStyle w:val="BodyText"/>
        <w:numPr>
          <w:ilvl w:val="0"/>
          <w:numId w:val="9"/>
        </w:numPr>
      </w:pPr>
      <w:r>
        <w:t xml:space="preserve">the possibility for very fast uplink scheduling grants, </w:t>
      </w:r>
    </w:p>
    <w:p w:rsidR="00C972A5" w:rsidRDefault="00C20A20" w:rsidP="00C972A5">
      <w:pPr>
        <w:pStyle w:val="BodyText"/>
        <w:numPr>
          <w:ilvl w:val="0"/>
          <w:numId w:val="9"/>
        </w:numPr>
      </w:pPr>
      <w:r>
        <w:t xml:space="preserve">the possibility for </w:t>
      </w:r>
      <w:r w:rsidR="00C972A5">
        <w:t>“front-loaded” demodulation reference signals and control signaling, and</w:t>
      </w:r>
    </w:p>
    <w:p w:rsidR="00C972A5" w:rsidRDefault="00C20A20" w:rsidP="00C972A5">
      <w:pPr>
        <w:pStyle w:val="BodyText"/>
        <w:numPr>
          <w:ilvl w:val="0"/>
          <w:numId w:val="9"/>
        </w:numPr>
      </w:pPr>
      <w:proofErr w:type="gramStart"/>
      <w:r>
        <w:t>the</w:t>
      </w:r>
      <w:proofErr w:type="gramEnd"/>
      <w:r>
        <w:t xml:space="preserve"> possibility for </w:t>
      </w:r>
      <w:r w:rsidR="00697D37">
        <w:t xml:space="preserve">“on-the-fly” processing, e.g. </w:t>
      </w:r>
      <w:r w:rsidR="00C972A5">
        <w:t>avoiding time-domain interleaving.</w:t>
      </w:r>
    </w:p>
    <w:p w:rsidR="00C972A5" w:rsidRDefault="00C972A5" w:rsidP="00C972A5">
      <w:pPr>
        <w:pStyle w:val="Heading2"/>
      </w:pPr>
      <w:r>
        <w:t xml:space="preserve">Short </w:t>
      </w:r>
      <w:r w:rsidR="00E9589F">
        <w:t>transmission intervals</w:t>
      </w:r>
    </w:p>
    <w:p w:rsidR="00C972A5" w:rsidRDefault="00C972A5" w:rsidP="00C972A5">
      <w:pPr>
        <w:pStyle w:val="BodyText"/>
      </w:pPr>
      <w:r>
        <w:t xml:space="preserve">The frame design should allow for short </w:t>
      </w:r>
      <w:r w:rsidR="00E9589F">
        <w:t>transmission intervals</w:t>
      </w:r>
      <w:r>
        <w:t xml:space="preserve">, in the order </w:t>
      </w:r>
      <w:r w:rsidR="00EA06B2">
        <w:t>of 100 – 200 µs or even shorter</w:t>
      </w:r>
      <w:r w:rsidR="00D00098">
        <w:t xml:space="preserve"> </w:t>
      </w:r>
      <w:r w:rsidR="00D00098">
        <w:fldChar w:fldCharType="begin"/>
      </w:r>
      <w:r w:rsidR="00D00098">
        <w:instrText xml:space="preserve"> REF _Ref458425587 \n \h </w:instrText>
      </w:r>
      <w:r w:rsidR="00D00098">
        <w:fldChar w:fldCharType="separate"/>
      </w:r>
      <w:r w:rsidR="00D00098">
        <w:t>[1]</w:t>
      </w:r>
      <w:r w:rsidR="00D00098">
        <w:fldChar w:fldCharType="end"/>
      </w:r>
      <w:r w:rsidR="00EA06B2">
        <w:t xml:space="preserve">. As an example, for 15 kHz subcarrier spacing, this corresponds to around two OFDM symbols. At larger subcarrier </w:t>
      </w:r>
      <w:proofErr w:type="spellStart"/>
      <w:r w:rsidR="00EA06B2">
        <w:t>spacings</w:t>
      </w:r>
      <w:proofErr w:type="spellEnd"/>
      <w:r w:rsidR="00EA06B2">
        <w:t xml:space="preserve">, a larger number of OFDM symbols could be fitted into the time interval, alternatively an even shorter </w:t>
      </w:r>
      <w:r w:rsidR="00E9589F">
        <w:t>interval</w:t>
      </w:r>
      <w:r w:rsidR="00EA06B2">
        <w:t xml:space="preserve"> can be </w:t>
      </w:r>
      <w:r w:rsidR="00E9589F">
        <w:t>supported</w:t>
      </w:r>
      <w:r w:rsidR="00EA06B2">
        <w:t>.</w:t>
      </w:r>
    </w:p>
    <w:p w:rsidR="00EA06B2" w:rsidRDefault="00EA06B2" w:rsidP="00EA06B2">
      <w:pPr>
        <w:pStyle w:val="Heading2"/>
      </w:pPr>
      <w:r>
        <w:t>Fast hybrid-ARQ acknowledgement</w:t>
      </w:r>
      <w:r w:rsidR="00192272">
        <w:t>s</w:t>
      </w:r>
    </w:p>
    <w:p w:rsidR="000C7788" w:rsidRDefault="00192272" w:rsidP="000C7788">
      <w:pPr>
        <w:pStyle w:val="BodyText"/>
      </w:pPr>
      <w:r>
        <w:t xml:space="preserve">With a proper design, it is possible to transmit the hybrid-ARQ acknowledgement quickly after receiving the downlink data transmission,  ~1 OFDM symbol after the end of data (for very high subcarrier </w:t>
      </w:r>
      <w:proofErr w:type="spellStart"/>
      <w:r>
        <w:t>spacings</w:t>
      </w:r>
      <w:proofErr w:type="spellEnd"/>
      <w:r>
        <w:t xml:space="preserve"> with a correspondingly short OFDM symbol duration, the number may be somewhat larger than 1 OFDM symbol).</w:t>
      </w:r>
      <w:r w:rsidR="000C7788">
        <w:t>. This is highly beneficial for several reasons</w:t>
      </w:r>
      <w:r w:rsidR="00E9589F">
        <w:t xml:space="preserve"> including</w:t>
      </w:r>
      <w:r w:rsidR="000C7788">
        <w:t>:</w:t>
      </w:r>
    </w:p>
    <w:p w:rsidR="000C7788" w:rsidRDefault="000C7788" w:rsidP="000C7788">
      <w:pPr>
        <w:pStyle w:val="BodyText"/>
        <w:numPr>
          <w:ilvl w:val="0"/>
          <w:numId w:val="10"/>
        </w:numPr>
      </w:pPr>
      <w:r>
        <w:t>Low overall latency</w:t>
      </w:r>
    </w:p>
    <w:p w:rsidR="000C7788" w:rsidRDefault="000C7788" w:rsidP="000C7788">
      <w:pPr>
        <w:pStyle w:val="BodyText"/>
        <w:numPr>
          <w:ilvl w:val="0"/>
          <w:numId w:val="10"/>
        </w:numPr>
      </w:pPr>
      <w:r>
        <w:t xml:space="preserve">Operation in unlicensed spectrum; if the acknowledgement is transmitted at most 16 µs after the end of the downlink data transmission there is no need for a </w:t>
      </w:r>
      <w:r w:rsidR="00B964FD">
        <w:t xml:space="preserve">complete </w:t>
      </w:r>
      <w:r>
        <w:t>listen-before-talk procedure for the transmission of the uplink acknowledgement.</w:t>
      </w:r>
      <w:r w:rsidR="00466D6A">
        <w:t xml:space="preserve"> This is very beneficial from an overall efficiency </w:t>
      </w:r>
      <w:r w:rsidR="00E9589F">
        <w:t>perspective</w:t>
      </w:r>
      <w:r w:rsidR="00466D6A">
        <w:t xml:space="preserve"> and is also the approach taken in Wi-Fi.</w:t>
      </w:r>
    </w:p>
    <w:p w:rsidR="00466D6A" w:rsidRDefault="000C7788" w:rsidP="000C7788">
      <w:pPr>
        <w:pStyle w:val="ListParagraph"/>
        <w:numPr>
          <w:ilvl w:val="0"/>
          <w:numId w:val="10"/>
        </w:numPr>
      </w:pPr>
      <w:r>
        <w:t>Forward compatibility as it is in line with the principle of “</w:t>
      </w:r>
      <w:r>
        <w:rPr>
          <w:rFonts w:eastAsia="MS Mincho"/>
        </w:rPr>
        <w:t>a</w:t>
      </w:r>
      <w:r w:rsidRPr="00425E34">
        <w:rPr>
          <w:rFonts w:eastAsia="MS Mincho"/>
        </w:rPr>
        <w:t xml:space="preserve">void fixed timing relations across </w:t>
      </w:r>
      <w:proofErr w:type="spellStart"/>
      <w:r w:rsidRPr="00425E34">
        <w:rPr>
          <w:rFonts w:eastAsia="MS Mincho"/>
        </w:rPr>
        <w:t>subframe</w:t>
      </w:r>
      <w:proofErr w:type="spellEnd"/>
      <w:r w:rsidRPr="00425E34">
        <w:rPr>
          <w:rFonts w:eastAsia="MS Mincho"/>
        </w:rPr>
        <w:t xml:space="preserve"> borders</w:t>
      </w:r>
      <w:r>
        <w:t xml:space="preserve">” </w:t>
      </w:r>
      <w:r>
        <w:fldChar w:fldCharType="begin"/>
      </w:r>
      <w:r>
        <w:instrText xml:space="preserve"> REF _Ref449604279 \r \h </w:instrText>
      </w:r>
      <w:r>
        <w:fldChar w:fldCharType="separate"/>
      </w:r>
      <w:r w:rsidR="00ED1B03">
        <w:t>[2]</w:t>
      </w:r>
      <w:r>
        <w:fldChar w:fldCharType="end"/>
      </w:r>
    </w:p>
    <w:p w:rsidR="00466D6A" w:rsidRDefault="00466D6A" w:rsidP="00466D6A"/>
    <w:p w:rsidR="000C7788" w:rsidRDefault="00466D6A" w:rsidP="00466D6A">
      <w:r>
        <w:t>In essence, the possibility for a fast hybrid-ARQ acknowledgement allows for the UE to finish decoding of downlink data and prepare the transmission of the hybrid-ARQ acknowledgement during the guard period when switching from downlink reception to uplink transmission in a TDD system (at least for modest cell sizes)</w:t>
      </w:r>
      <w:r w:rsidR="007074D4">
        <w:t xml:space="preserve">, see </w:t>
      </w:r>
      <w:r w:rsidR="007074D4">
        <w:fldChar w:fldCharType="begin"/>
      </w:r>
      <w:r w:rsidR="007074D4">
        <w:instrText xml:space="preserve"> REF _Ref450657799 \h </w:instrText>
      </w:r>
      <w:r w:rsidR="007074D4">
        <w:fldChar w:fldCharType="separate"/>
      </w:r>
      <w:r w:rsidR="007074D4">
        <w:t xml:space="preserve">Figure </w:t>
      </w:r>
      <w:r w:rsidR="007074D4">
        <w:rPr>
          <w:noProof/>
        </w:rPr>
        <w:t>1</w:t>
      </w:r>
      <w:r w:rsidR="007074D4">
        <w:fldChar w:fldCharType="end"/>
      </w:r>
      <w:r>
        <w:t>.</w:t>
      </w:r>
    </w:p>
    <w:p w:rsidR="00466D6A" w:rsidRDefault="00466D6A" w:rsidP="00466D6A"/>
    <w:p w:rsidR="000C7788" w:rsidRDefault="000C7788" w:rsidP="000C7788">
      <w:pPr>
        <w:pStyle w:val="BodyText"/>
      </w:pPr>
      <w:r>
        <w:t xml:space="preserve">Note that there are situations when it is beneficial to transmit the hybrid-ARQ acknowledgement </w:t>
      </w:r>
      <w:r w:rsidR="00C20A20">
        <w:t>at a later time</w:t>
      </w:r>
      <w:r>
        <w:t xml:space="preserve"> as discussed in </w:t>
      </w:r>
      <w:r>
        <w:fldChar w:fldCharType="begin"/>
      </w:r>
      <w:r>
        <w:instrText xml:space="preserve"> REF _Ref449604093 \r \h </w:instrText>
      </w:r>
      <w:r>
        <w:fldChar w:fldCharType="separate"/>
      </w:r>
      <w:r w:rsidR="00ED1B03">
        <w:t>[1]</w:t>
      </w:r>
      <w:r>
        <w:fldChar w:fldCharType="end"/>
      </w:r>
      <w:r>
        <w:t>.</w:t>
      </w:r>
      <w:r w:rsidR="00697D37">
        <w:t xml:space="preserve"> If necessary, one could envision low-end UE categories not being capable of very fast hybrid-ARQ acknowledgements. Nevertheless, the basic frame design should take the possibility of very fast </w:t>
      </w:r>
      <w:proofErr w:type="gramStart"/>
      <w:r w:rsidR="00697D37">
        <w:t>acknowledgements</w:t>
      </w:r>
      <w:proofErr w:type="gramEnd"/>
      <w:r w:rsidR="00697D37">
        <w:t xml:space="preserve"> into account.</w:t>
      </w:r>
    </w:p>
    <w:p w:rsidR="00466D6A" w:rsidRDefault="00466D6A" w:rsidP="00466D6A">
      <w:pPr>
        <w:pStyle w:val="Heading2"/>
      </w:pPr>
      <w:r>
        <w:lastRenderedPageBreak/>
        <w:t>Scheduling assignments and scheduling grants</w:t>
      </w:r>
    </w:p>
    <w:p w:rsidR="00466D6A" w:rsidRDefault="00466D6A" w:rsidP="00466D6A">
      <w:pPr>
        <w:pStyle w:val="BodyText"/>
      </w:pPr>
      <w:r>
        <w:t>For similar reasons discussed in the previous section the timing of scheduling assignments and grants should follow the same principle:</w:t>
      </w:r>
    </w:p>
    <w:p w:rsidR="00466D6A" w:rsidRDefault="00466D6A" w:rsidP="00466D6A">
      <w:pPr>
        <w:pStyle w:val="BodyText"/>
        <w:numPr>
          <w:ilvl w:val="0"/>
          <w:numId w:val="11"/>
        </w:numPr>
      </w:pPr>
      <w:r>
        <w:t xml:space="preserve">Downlink scheduling assignments are transmitted in the same </w:t>
      </w:r>
      <w:r w:rsidR="00E9589F">
        <w:t>time interval</w:t>
      </w:r>
      <w:r>
        <w:t xml:space="preserve"> as the downlink data (similar to LTE)</w:t>
      </w:r>
    </w:p>
    <w:p w:rsidR="00466D6A" w:rsidRDefault="00466D6A" w:rsidP="00466D6A">
      <w:pPr>
        <w:pStyle w:val="BodyText"/>
        <w:numPr>
          <w:ilvl w:val="0"/>
          <w:numId w:val="11"/>
        </w:numPr>
      </w:pPr>
      <w:r>
        <w:t xml:space="preserve">Uplink scheduling grants are valid for the uplink transmission immediately following the </w:t>
      </w:r>
      <w:r w:rsidR="00E9589F">
        <w:t xml:space="preserve">TDD </w:t>
      </w:r>
      <w:r>
        <w:t>guard period</w:t>
      </w:r>
    </w:p>
    <w:p w:rsidR="00466D6A" w:rsidRDefault="00466D6A" w:rsidP="00466D6A">
      <w:pPr>
        <w:pStyle w:val="BodyText"/>
      </w:pPr>
      <w:r>
        <w:t xml:space="preserve">This is illustrated in </w:t>
      </w:r>
      <w:r>
        <w:rPr>
          <w:highlight w:val="yellow"/>
        </w:rPr>
        <w:fldChar w:fldCharType="begin"/>
      </w:r>
      <w:r>
        <w:instrText xml:space="preserve"> REF _Ref450657799 \h </w:instrText>
      </w:r>
      <w:r>
        <w:rPr>
          <w:highlight w:val="yellow"/>
        </w:rPr>
      </w:r>
      <w:r>
        <w:rPr>
          <w:highlight w:val="yellow"/>
        </w:rPr>
        <w:fldChar w:fldCharType="separate"/>
      </w:r>
      <w:r w:rsidR="00ED1B03">
        <w:t xml:space="preserve">Figure </w:t>
      </w:r>
      <w:r w:rsidR="00ED1B03">
        <w:rPr>
          <w:noProof/>
        </w:rPr>
        <w:t>1</w:t>
      </w:r>
      <w:r>
        <w:rPr>
          <w:highlight w:val="yellow"/>
        </w:rPr>
        <w:fldChar w:fldCharType="end"/>
      </w:r>
      <w:r>
        <w:t>.</w:t>
      </w:r>
    </w:p>
    <w:p w:rsidR="00466D6A" w:rsidRDefault="00004F0E" w:rsidP="00466D6A">
      <w:pPr>
        <w:pStyle w:val="BodyText"/>
        <w:keepNext/>
      </w:pPr>
      <w:r w:rsidRPr="00004F0E">
        <w:rPr>
          <w:noProof/>
          <w:lang w:val="sv-SE" w:eastAsia="sv-SE"/>
        </w:rPr>
        <w:drawing>
          <wp:inline distT="0" distB="0" distL="0" distR="0" wp14:anchorId="163AC017" wp14:editId="66E7FE2E">
            <wp:extent cx="5505450" cy="1126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03630" cy="1125743"/>
                    </a:xfrm>
                    <a:prstGeom prst="rect">
                      <a:avLst/>
                    </a:prstGeom>
                    <a:noFill/>
                    <a:ln>
                      <a:noFill/>
                    </a:ln>
                  </pic:spPr>
                </pic:pic>
              </a:graphicData>
            </a:graphic>
          </wp:inline>
        </w:drawing>
      </w:r>
      <w:r w:rsidR="00E9589F" w:rsidRPr="00E9589F">
        <w:t xml:space="preserve"> </w:t>
      </w:r>
    </w:p>
    <w:p w:rsidR="00466D6A" w:rsidRPr="005C2AB7" w:rsidRDefault="00466D6A" w:rsidP="00466D6A">
      <w:pPr>
        <w:pStyle w:val="Caption"/>
        <w:jc w:val="both"/>
        <w:rPr>
          <w:b w:val="0"/>
        </w:rPr>
      </w:pPr>
      <w:bookmarkStart w:id="4" w:name="_Ref450657799"/>
      <w:r>
        <w:t xml:space="preserve">Figure </w:t>
      </w:r>
      <w:r>
        <w:fldChar w:fldCharType="begin"/>
      </w:r>
      <w:r>
        <w:instrText xml:space="preserve"> SEQ Figure \* ARABIC </w:instrText>
      </w:r>
      <w:r>
        <w:fldChar w:fldCharType="separate"/>
      </w:r>
      <w:r w:rsidR="00ED1B03">
        <w:rPr>
          <w:noProof/>
        </w:rPr>
        <w:t>1</w:t>
      </w:r>
      <w:r>
        <w:fldChar w:fldCharType="end"/>
      </w:r>
      <w:bookmarkEnd w:id="4"/>
      <w:r>
        <w:t>: Example of timing.</w:t>
      </w:r>
    </w:p>
    <w:p w:rsidR="00466D6A" w:rsidRDefault="00466D6A" w:rsidP="00466D6A">
      <w:pPr>
        <w:pStyle w:val="Heading2"/>
      </w:pPr>
      <w:r>
        <w:t>Front-loaded DM-RS and control signaling</w:t>
      </w:r>
    </w:p>
    <w:p w:rsidR="00466D6A" w:rsidRDefault="00466D6A" w:rsidP="00466D6A">
      <w:pPr>
        <w:pStyle w:val="BodyText"/>
        <w:rPr>
          <w:b/>
        </w:rPr>
      </w:pPr>
      <w:r>
        <w:t>To obtain a low latency, it is highly beneficial if the receiver can process the signal as it is received instead of buffering a set of</w:t>
      </w:r>
      <w:r w:rsidR="00004F0E">
        <w:t xml:space="preserve"> OFDM symbols</w:t>
      </w:r>
      <w:r>
        <w:t xml:space="preserve"> prior to processing. This requires careful placement of reference signals and control signaling within the </w:t>
      </w:r>
      <w:r w:rsidR="00004F0E">
        <w:t>transmission interval</w:t>
      </w:r>
      <w:r>
        <w:t xml:space="preserve">. For example, the necessary control signaling and reference signals </w:t>
      </w:r>
      <w:r w:rsidR="00004F0E">
        <w:t>should</w:t>
      </w:r>
      <w:r>
        <w:t xml:space="preserve"> be present at the beginning of the </w:t>
      </w:r>
      <w:r w:rsidR="00004F0E">
        <w:t>time interval</w:t>
      </w:r>
      <w:r>
        <w:t xml:space="preserve">, see </w:t>
      </w:r>
      <w:r>
        <w:rPr>
          <w:highlight w:val="yellow"/>
        </w:rPr>
        <w:fldChar w:fldCharType="begin"/>
      </w:r>
      <w:r>
        <w:instrText xml:space="preserve"> REF _Ref450658222 \h </w:instrText>
      </w:r>
      <w:r>
        <w:rPr>
          <w:highlight w:val="yellow"/>
        </w:rPr>
      </w:r>
      <w:r>
        <w:rPr>
          <w:highlight w:val="yellow"/>
        </w:rPr>
        <w:fldChar w:fldCharType="separate"/>
      </w:r>
      <w:r w:rsidR="00ED1B03">
        <w:t xml:space="preserve">Figure </w:t>
      </w:r>
      <w:r w:rsidR="00ED1B03">
        <w:rPr>
          <w:noProof/>
        </w:rPr>
        <w:t>2</w:t>
      </w:r>
      <w:r>
        <w:rPr>
          <w:highlight w:val="yellow"/>
        </w:rPr>
        <w:fldChar w:fldCharType="end"/>
      </w:r>
      <w:r>
        <w:t>.</w:t>
      </w:r>
      <w:r>
        <w:rPr>
          <w:b/>
        </w:rPr>
        <w:t xml:space="preserve"> </w:t>
      </w:r>
    </w:p>
    <w:p w:rsidR="00466D6A" w:rsidRDefault="00004F0E" w:rsidP="00466D6A">
      <w:pPr>
        <w:pStyle w:val="BodyText"/>
        <w:keepNext/>
      </w:pPr>
      <w:r w:rsidRPr="00004F0E">
        <w:rPr>
          <w:noProof/>
          <w:lang w:val="sv-SE" w:eastAsia="sv-SE"/>
        </w:rPr>
        <w:drawing>
          <wp:inline distT="0" distB="0" distL="0" distR="0" wp14:anchorId="6D0F2404" wp14:editId="78E5B093">
            <wp:extent cx="4029075" cy="171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9075" cy="1714500"/>
                    </a:xfrm>
                    <a:prstGeom prst="rect">
                      <a:avLst/>
                    </a:prstGeom>
                    <a:noFill/>
                    <a:ln>
                      <a:noFill/>
                    </a:ln>
                  </pic:spPr>
                </pic:pic>
              </a:graphicData>
            </a:graphic>
          </wp:inline>
        </w:drawing>
      </w:r>
    </w:p>
    <w:p w:rsidR="00466D6A" w:rsidRPr="00466D6A" w:rsidRDefault="00466D6A" w:rsidP="00466D6A">
      <w:pPr>
        <w:pStyle w:val="BodyText"/>
      </w:pPr>
      <w:bookmarkStart w:id="5" w:name="_Ref450658222"/>
      <w:r>
        <w:t xml:space="preserve">Figure </w:t>
      </w:r>
      <w:r>
        <w:fldChar w:fldCharType="begin"/>
      </w:r>
      <w:r>
        <w:instrText xml:space="preserve"> SEQ Figure \* ARABIC </w:instrText>
      </w:r>
      <w:r>
        <w:fldChar w:fldCharType="separate"/>
      </w:r>
      <w:r w:rsidR="00ED1B03">
        <w:rPr>
          <w:noProof/>
        </w:rPr>
        <w:t>2</w:t>
      </w:r>
      <w:r>
        <w:fldChar w:fldCharType="end"/>
      </w:r>
      <w:bookmarkEnd w:id="5"/>
      <w:r>
        <w:t>: Front-loaded structure.</w:t>
      </w:r>
    </w:p>
    <w:p w:rsidR="00C972A5" w:rsidRDefault="00466D6A" w:rsidP="00466D6A">
      <w:pPr>
        <w:pStyle w:val="Heading2"/>
      </w:pPr>
      <w:r>
        <w:t>“On the fly” processing</w:t>
      </w:r>
    </w:p>
    <w:p w:rsidR="00466D6A" w:rsidRDefault="00466D6A" w:rsidP="00466D6A">
      <w:pPr>
        <w:pStyle w:val="BodyText"/>
      </w:pPr>
      <w:r>
        <w:t xml:space="preserve">Mapping of the data transmission should be done in a pipelining-friendly manner, e.g. without excessive use of time-domain interleaving. Without such a structure the decoder and associated circuitry need to be over dimensioned to handle decoding of </w:t>
      </w:r>
      <w:r w:rsidR="00697D37">
        <w:t>a complete</w:t>
      </w:r>
      <w:r>
        <w:t xml:space="preserve"> </w:t>
      </w:r>
      <w:proofErr w:type="spellStart"/>
      <w:r>
        <w:t>subframe</w:t>
      </w:r>
      <w:proofErr w:type="spellEnd"/>
      <w:r>
        <w:t xml:space="preserve"> in a very short period of time.</w:t>
      </w:r>
    </w:p>
    <w:p w:rsidR="00FE5799" w:rsidRDefault="00FE5799" w:rsidP="00BA76BC">
      <w:pPr>
        <w:pStyle w:val="Heading1"/>
        <w:spacing w:before="180"/>
        <w:ind w:left="562" w:hanging="562"/>
      </w:pPr>
      <w:r>
        <w:t>Conclusion</w:t>
      </w:r>
    </w:p>
    <w:p w:rsidR="00697D37" w:rsidRDefault="00697D37" w:rsidP="00697D37">
      <w:pPr>
        <w:pStyle w:val="BodyText"/>
      </w:pPr>
      <w:r>
        <w:t>Proposal:</w:t>
      </w:r>
    </w:p>
    <w:p w:rsidR="00697D37" w:rsidRDefault="00697D37" w:rsidP="00697D37">
      <w:pPr>
        <w:pStyle w:val="BodyText"/>
        <w:numPr>
          <w:ilvl w:val="0"/>
          <w:numId w:val="9"/>
        </w:numPr>
      </w:pPr>
      <w:r>
        <w:t>Very short transmission intervals, at most 100 – 200 µs, should be supported.</w:t>
      </w:r>
    </w:p>
    <w:p w:rsidR="00697D37" w:rsidRDefault="00697D37" w:rsidP="00697D37">
      <w:pPr>
        <w:pStyle w:val="BodyText"/>
        <w:numPr>
          <w:ilvl w:val="0"/>
          <w:numId w:val="9"/>
        </w:numPr>
      </w:pPr>
      <w:r>
        <w:t>Very fast hybrid-ARQ acknowledgements should be possible, ~1 OFDM symbol after the end of data reception.</w:t>
      </w:r>
    </w:p>
    <w:p w:rsidR="00697D37" w:rsidRDefault="00697D37" w:rsidP="00697D37">
      <w:pPr>
        <w:pStyle w:val="BodyText"/>
        <w:numPr>
          <w:ilvl w:val="0"/>
          <w:numId w:val="9"/>
        </w:numPr>
      </w:pPr>
      <w:r>
        <w:t xml:space="preserve">Very fast uplink scheduling grants should be possible with uplink data transmission </w:t>
      </w:r>
      <w:proofErr w:type="gramStart"/>
      <w:r>
        <w:t>starting  ~</w:t>
      </w:r>
      <w:proofErr w:type="gramEnd"/>
      <w:r>
        <w:t>1 OFDM symbol after reception of the scheduling grant..</w:t>
      </w:r>
    </w:p>
    <w:p w:rsidR="00697D37" w:rsidRDefault="00697D37" w:rsidP="00697D37">
      <w:pPr>
        <w:pStyle w:val="BodyText"/>
        <w:numPr>
          <w:ilvl w:val="0"/>
          <w:numId w:val="9"/>
        </w:numPr>
      </w:pPr>
      <w:r>
        <w:t xml:space="preserve">“Front-loaded” demodulation reference signals and control signaling, i.e. DM-RS and </w:t>
      </w:r>
      <w:r w:rsidR="00B964FD">
        <w:t>control</w:t>
      </w:r>
      <w:r>
        <w:t xml:space="preserve"> </w:t>
      </w:r>
      <w:r w:rsidR="00B964FD">
        <w:t>signaling</w:t>
      </w:r>
      <w:r>
        <w:t xml:space="preserve"> should be located at the beginning of the transmission interval.</w:t>
      </w:r>
    </w:p>
    <w:p w:rsidR="00697D37" w:rsidRDefault="00697D37" w:rsidP="00697D37">
      <w:pPr>
        <w:pStyle w:val="BodyText"/>
        <w:numPr>
          <w:ilvl w:val="0"/>
          <w:numId w:val="9"/>
        </w:numPr>
      </w:pPr>
      <w:r>
        <w:t>“On-the-fly” processing, e.g. time-domain interleaving should be avoided</w:t>
      </w:r>
    </w:p>
    <w:p w:rsidR="00697D37" w:rsidRPr="00697D37" w:rsidRDefault="00697D37" w:rsidP="00697D37">
      <w:pPr>
        <w:pStyle w:val="BodyText"/>
      </w:pPr>
    </w:p>
    <w:p w:rsidR="00466D6A" w:rsidRPr="00510266" w:rsidRDefault="00466D6A" w:rsidP="00466D6A">
      <w:pPr>
        <w:pStyle w:val="Heading1"/>
        <w:tabs>
          <w:tab w:val="clear" w:pos="4536"/>
          <w:tab w:val="num" w:pos="567"/>
        </w:tabs>
        <w:ind w:left="567"/>
      </w:pPr>
      <w:r w:rsidRPr="00510266">
        <w:lastRenderedPageBreak/>
        <w:t>References</w:t>
      </w:r>
    </w:p>
    <w:p w:rsidR="00D00098" w:rsidRPr="00D00098" w:rsidRDefault="00D00098" w:rsidP="00466D6A">
      <w:pPr>
        <w:numPr>
          <w:ilvl w:val="0"/>
          <w:numId w:val="2"/>
        </w:numPr>
        <w:jc w:val="both"/>
        <w:rPr>
          <w:szCs w:val="20"/>
          <w:lang w:val="it-IT"/>
        </w:rPr>
      </w:pPr>
      <w:bookmarkStart w:id="6" w:name="_Ref458425587"/>
      <w:bookmarkStart w:id="7" w:name="_Ref445818173"/>
      <w:bookmarkStart w:id="8" w:name="_Ref449604093"/>
      <w:r>
        <w:rPr>
          <w:szCs w:val="20"/>
          <w:lang w:val="it-IT"/>
        </w:rPr>
        <w:t>R1-</w:t>
      </w:r>
      <w:r w:rsidR="00B964FD">
        <w:rPr>
          <w:szCs w:val="20"/>
          <w:lang w:val="it-IT"/>
        </w:rPr>
        <w:t>167047</w:t>
      </w:r>
      <w:r>
        <w:rPr>
          <w:szCs w:val="20"/>
          <w:lang w:val="it-IT"/>
        </w:rPr>
        <w:t>, “On smallest scheduable unit”, Ericsson</w:t>
      </w:r>
      <w:bookmarkEnd w:id="6"/>
    </w:p>
    <w:p w:rsidR="00466D6A" w:rsidRPr="00425E34" w:rsidRDefault="00466D6A" w:rsidP="00D00098">
      <w:pPr>
        <w:numPr>
          <w:ilvl w:val="0"/>
          <w:numId w:val="2"/>
        </w:numPr>
        <w:jc w:val="both"/>
        <w:rPr>
          <w:szCs w:val="20"/>
          <w:lang w:val="it-IT"/>
        </w:rPr>
      </w:pPr>
      <w:r>
        <w:t>R1-</w:t>
      </w:r>
      <w:r w:rsidR="00B964FD">
        <w:t>167039</w:t>
      </w:r>
      <w:r>
        <w:t xml:space="preserve">, </w:t>
      </w:r>
      <w:bookmarkEnd w:id="7"/>
      <w:r>
        <w:t>“</w:t>
      </w:r>
      <w:r w:rsidR="00D00098" w:rsidRPr="00D00098">
        <w:t>On different HARQ reporting modes</w:t>
      </w:r>
      <w:r>
        <w:t>”, Ericsson</w:t>
      </w:r>
      <w:bookmarkEnd w:id="8"/>
    </w:p>
    <w:p w:rsidR="00466D6A" w:rsidRPr="008D4CAD" w:rsidRDefault="00466D6A" w:rsidP="00466D6A">
      <w:pPr>
        <w:numPr>
          <w:ilvl w:val="0"/>
          <w:numId w:val="2"/>
        </w:numPr>
        <w:jc w:val="both"/>
        <w:rPr>
          <w:szCs w:val="20"/>
          <w:lang w:val="it-IT"/>
        </w:rPr>
      </w:pPr>
      <w:bookmarkStart w:id="9" w:name="_Ref449604279"/>
      <w:r>
        <w:t>R1-164623, “On forward compatibility”, Ericsson</w:t>
      </w:r>
      <w:bookmarkEnd w:id="9"/>
    </w:p>
    <w:p w:rsidR="00BA76BC" w:rsidRPr="00BA76BC" w:rsidRDefault="00BA76BC" w:rsidP="00BA76BC">
      <w:pPr>
        <w:pStyle w:val="BodyText"/>
      </w:pPr>
    </w:p>
    <w:sectPr w:rsidR="00BA76BC" w:rsidRPr="00BA76B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C89" w:rsidRDefault="00D36C89">
      <w:r>
        <w:separator/>
      </w:r>
    </w:p>
  </w:endnote>
  <w:endnote w:type="continuationSeparator" w:id="0">
    <w:p w:rsidR="00D36C89" w:rsidRDefault="00D3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C89" w:rsidRDefault="00D36C89">
      <w:r>
        <w:separator/>
      </w:r>
    </w:p>
  </w:footnote>
  <w:footnote w:type="continuationSeparator" w:id="0">
    <w:p w:rsidR="00D36C89" w:rsidRDefault="00D36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D36C89" w:rsidP="00A61E6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139A"/>
    <w:multiLevelType w:val="hybridMultilevel"/>
    <w:tmpl w:val="3BA82A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660B0ED0"/>
    <w:multiLevelType w:val="hybridMultilevel"/>
    <w:tmpl w:val="DBE8D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72AD2D4D"/>
    <w:multiLevelType w:val="hybridMultilevel"/>
    <w:tmpl w:val="88E8C6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4"/>
  </w:num>
  <w:num w:numId="3">
    <w:abstractNumId w:val="2"/>
  </w:num>
  <w:num w:numId="4">
    <w:abstractNumId w:val="5"/>
  </w:num>
  <w:num w:numId="5">
    <w:abstractNumId w:val="3"/>
  </w:num>
  <w:num w:numId="6">
    <w:abstractNumId w:val="1"/>
  </w:num>
  <w:num w:numId="7">
    <w:abstractNumId w:val="7"/>
  </w:num>
  <w:num w:numId="8">
    <w:abstractNumId w:val="9"/>
  </w:num>
  <w:num w:numId="9">
    <w:abstractNumId w:val="0"/>
  </w:num>
  <w:num w:numId="10">
    <w:abstractNumId w:val="6"/>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4F0E"/>
    <w:rsid w:val="000217F8"/>
    <w:rsid w:val="00037C51"/>
    <w:rsid w:val="000408CE"/>
    <w:rsid w:val="000A258F"/>
    <w:rsid w:val="000C7788"/>
    <w:rsid w:val="00112E18"/>
    <w:rsid w:val="00114B6A"/>
    <w:rsid w:val="00141448"/>
    <w:rsid w:val="00160A0F"/>
    <w:rsid w:val="00175D32"/>
    <w:rsid w:val="0017779E"/>
    <w:rsid w:val="00192272"/>
    <w:rsid w:val="001E2639"/>
    <w:rsid w:val="001F6120"/>
    <w:rsid w:val="0021013F"/>
    <w:rsid w:val="0027347B"/>
    <w:rsid w:val="00290099"/>
    <w:rsid w:val="002D5D72"/>
    <w:rsid w:val="00332ED8"/>
    <w:rsid w:val="003875A3"/>
    <w:rsid w:val="00422F7B"/>
    <w:rsid w:val="00425920"/>
    <w:rsid w:val="00466D6A"/>
    <w:rsid w:val="00474B5E"/>
    <w:rsid w:val="004B57FD"/>
    <w:rsid w:val="0055264E"/>
    <w:rsid w:val="00564679"/>
    <w:rsid w:val="005C439D"/>
    <w:rsid w:val="005E2227"/>
    <w:rsid w:val="0061336B"/>
    <w:rsid w:val="00697D37"/>
    <w:rsid w:val="006A0FBD"/>
    <w:rsid w:val="006A286A"/>
    <w:rsid w:val="007074D4"/>
    <w:rsid w:val="0075384C"/>
    <w:rsid w:val="007A01C0"/>
    <w:rsid w:val="007C2B7A"/>
    <w:rsid w:val="008227EC"/>
    <w:rsid w:val="0082796F"/>
    <w:rsid w:val="00834DE7"/>
    <w:rsid w:val="00835FF4"/>
    <w:rsid w:val="008B23D4"/>
    <w:rsid w:val="009A6BB8"/>
    <w:rsid w:val="009B2E48"/>
    <w:rsid w:val="00A47015"/>
    <w:rsid w:val="00A81AA1"/>
    <w:rsid w:val="00A85E54"/>
    <w:rsid w:val="00AA13EF"/>
    <w:rsid w:val="00AA55F6"/>
    <w:rsid w:val="00B368D9"/>
    <w:rsid w:val="00B86246"/>
    <w:rsid w:val="00B964FD"/>
    <w:rsid w:val="00BA2CDD"/>
    <w:rsid w:val="00BA76BC"/>
    <w:rsid w:val="00C1560A"/>
    <w:rsid w:val="00C20A20"/>
    <w:rsid w:val="00C326A6"/>
    <w:rsid w:val="00C5489A"/>
    <w:rsid w:val="00C61496"/>
    <w:rsid w:val="00C83609"/>
    <w:rsid w:val="00C86B01"/>
    <w:rsid w:val="00C93774"/>
    <w:rsid w:val="00C972A5"/>
    <w:rsid w:val="00CE28B2"/>
    <w:rsid w:val="00CF2225"/>
    <w:rsid w:val="00CF67BE"/>
    <w:rsid w:val="00D00098"/>
    <w:rsid w:val="00D02349"/>
    <w:rsid w:val="00D03119"/>
    <w:rsid w:val="00D04257"/>
    <w:rsid w:val="00D36C89"/>
    <w:rsid w:val="00D95C71"/>
    <w:rsid w:val="00DA110D"/>
    <w:rsid w:val="00DE3421"/>
    <w:rsid w:val="00E63D88"/>
    <w:rsid w:val="00E9589F"/>
    <w:rsid w:val="00EA06B2"/>
    <w:rsid w:val="00ED1B03"/>
    <w:rsid w:val="00F37D49"/>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E2FC4-7441-4C8D-9AC9-4E46EC40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cp:lastPrinted>2016-08-08T07:06:00Z</cp:lastPrinted>
  <dcterms:created xsi:type="dcterms:W3CDTF">2016-08-12T12:50:00Z</dcterms:created>
  <dcterms:modified xsi:type="dcterms:W3CDTF">2016-08-12T12:50:00Z</dcterms:modified>
</cp:coreProperties>
</file>