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54" w:rsidRPr="00446F9D" w:rsidRDefault="00A85E54" w:rsidP="00A85E54">
      <w:pPr>
        <w:pStyle w:val="Header"/>
        <w:tabs>
          <w:tab w:val="clear" w:pos="4536"/>
        </w:tabs>
        <w:rPr>
          <w:i/>
        </w:rPr>
      </w:pPr>
      <w:bookmarkStart w:id="0" w:name="_GoBack"/>
      <w:bookmarkEnd w:id="0"/>
      <w:r w:rsidRPr="00446F9D">
        <w:t>TSG-RAN WG1 #</w:t>
      </w:r>
      <w:r w:rsidR="00C75368">
        <w:t>86</w:t>
      </w:r>
      <w:r w:rsidRPr="00446F9D">
        <w:tab/>
        <w:t>R1-</w:t>
      </w:r>
      <w:r w:rsidR="008427E8">
        <w:t>167042</w:t>
      </w:r>
    </w:p>
    <w:p w:rsidR="00A85E54" w:rsidRPr="000833FA" w:rsidRDefault="00C75368" w:rsidP="00A85E54">
      <w:pPr>
        <w:pStyle w:val="Header"/>
        <w:rPr>
          <w:color w:val="000000"/>
        </w:rPr>
      </w:pPr>
      <w:r>
        <w:t>Gothenburg, Sweden, August 22 – 26,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37C51">
        <w:t xml:space="preserve">On </w:t>
      </w:r>
      <w:r w:rsidR="00ED4336">
        <w:t>FDD frame structure</w:t>
      </w:r>
    </w:p>
    <w:p w:rsidR="00FE5799" w:rsidRPr="0003368D" w:rsidRDefault="00FE5799" w:rsidP="00FE5799">
      <w:pPr>
        <w:pStyle w:val="Header"/>
        <w:tabs>
          <w:tab w:val="left" w:pos="1800"/>
        </w:tabs>
      </w:pPr>
      <w:r w:rsidRPr="0079276E">
        <w:t>Agenda Item:</w:t>
      </w:r>
      <w:bookmarkStart w:id="2" w:name="Source"/>
      <w:bookmarkEnd w:id="2"/>
      <w:r w:rsidRPr="0079276E">
        <w:tab/>
      </w:r>
      <w:r w:rsidR="001B7017" w:rsidRPr="0079276E">
        <w:t>8.</w:t>
      </w:r>
      <w:r w:rsidR="00037C51" w:rsidRPr="0079276E">
        <w:t>1.</w:t>
      </w:r>
      <w:r w:rsidR="005A56A1">
        <w:t>3</w:t>
      </w:r>
      <w:r w:rsidR="00037C51" w:rsidRPr="0079276E">
        <w:t>.2</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8152C" w:rsidRDefault="00F8152C" w:rsidP="00F8152C">
      <w:pPr>
        <w:pStyle w:val="Heading1"/>
        <w:tabs>
          <w:tab w:val="clear" w:pos="4536"/>
          <w:tab w:val="num" w:pos="567"/>
        </w:tabs>
        <w:spacing w:before="180"/>
        <w:ind w:left="562" w:hanging="562"/>
      </w:pPr>
      <w:r>
        <w:t>Introduction</w:t>
      </w:r>
    </w:p>
    <w:p w:rsidR="00A44E49" w:rsidRPr="00827227" w:rsidRDefault="00A44E49" w:rsidP="00A44E49">
      <w:pPr>
        <w:pStyle w:val="BodyText"/>
      </w:pPr>
      <w:r>
        <w:t>To describe the structure of the transmitted signal in NR it is beneficial to define a time unit such as ‘</w:t>
      </w:r>
      <w:proofErr w:type="spellStart"/>
      <w:r>
        <w:t>subframe</w:t>
      </w:r>
      <w:proofErr w:type="spellEnd"/>
      <w:r>
        <w:t>’</w:t>
      </w:r>
      <w:r w:rsidR="002D0B21">
        <w:t xml:space="preserve"> or ‘transmission unit’</w:t>
      </w:r>
      <w:r>
        <w:t xml:space="preserve">. </w:t>
      </w:r>
      <w:r w:rsidRPr="00217DE9">
        <w:t xml:space="preserve">Preferably, the same </w:t>
      </w:r>
      <w:proofErr w:type="spellStart"/>
      <w:r w:rsidRPr="00217DE9">
        <w:t>subframe</w:t>
      </w:r>
      <w:proofErr w:type="spellEnd"/>
      <w:r w:rsidRPr="00217DE9">
        <w:t xml:space="preserve"> structure can be used for paired as well as unpaired spectrum, and for half as well as full duplex.</w:t>
      </w:r>
      <w:r>
        <w:t xml:space="preserve"> In the following, the applicability of the frame structure discussed in </w:t>
      </w:r>
      <w:r>
        <w:fldChar w:fldCharType="begin"/>
      </w:r>
      <w:r>
        <w:instrText xml:space="preserve"> REF _Ref458022433 \r \h </w:instrText>
      </w:r>
      <w:r>
        <w:fldChar w:fldCharType="separate"/>
      </w:r>
      <w:r>
        <w:t>[5]</w:t>
      </w:r>
      <w:r>
        <w:fldChar w:fldCharType="end"/>
      </w:r>
      <w:r>
        <w:t xml:space="preserve"> and </w:t>
      </w:r>
      <w:r>
        <w:fldChar w:fldCharType="begin"/>
      </w:r>
      <w:r>
        <w:instrText xml:space="preserve"> REF _Ref458022816 \r \h </w:instrText>
      </w:r>
      <w:r>
        <w:fldChar w:fldCharType="separate"/>
      </w:r>
      <w:r>
        <w:t>[6]</w:t>
      </w:r>
      <w:r>
        <w:fldChar w:fldCharType="end"/>
      </w:r>
      <w:r>
        <w:t xml:space="preserve"> to paired spectrum is discussed. </w:t>
      </w:r>
    </w:p>
    <w:p w:rsidR="006210D6" w:rsidRDefault="006210D6" w:rsidP="006210D6">
      <w:pPr>
        <w:pStyle w:val="Heading1"/>
        <w:tabs>
          <w:tab w:val="clear" w:pos="4536"/>
          <w:tab w:val="num" w:pos="567"/>
        </w:tabs>
        <w:spacing w:before="180"/>
        <w:ind w:left="562" w:hanging="562"/>
      </w:pPr>
      <w:r>
        <w:t>Discussion</w:t>
      </w:r>
    </w:p>
    <w:p w:rsidR="00A44E49" w:rsidRDefault="00A44E49" w:rsidP="00A44E49">
      <w:pPr>
        <w:pStyle w:val="BodyText"/>
      </w:pPr>
      <w:r>
        <w:t>For FDD, both half-duplex and full-duplex devices should be supported and these devices should be able to coexist. Hence, the timing advance for full-duplex devices should not depend on the presence/absence of half-duplex devices operating in the same area. However, as FDD and TDD devices exploit different frequency bands, there is no reason to mandate the same timing advance value for FDD and TDD. In fact, allowing for different timing advance values can provide latency benefits.</w:t>
      </w:r>
    </w:p>
    <w:p w:rsidR="00A44E49" w:rsidRDefault="00A44E49" w:rsidP="00A44E49">
      <w:pPr>
        <w:pStyle w:val="BodyText"/>
      </w:pPr>
      <w:r>
        <w:t xml:space="preserve">In </w:t>
      </w:r>
      <w:r>
        <w:fldChar w:fldCharType="begin"/>
      </w:r>
      <w:r>
        <w:instrText xml:space="preserve"> REF _Ref458436408 \h </w:instrText>
      </w:r>
      <w:r>
        <w:fldChar w:fldCharType="separate"/>
      </w:r>
      <w:r>
        <w:t xml:space="preserve">Figure </w:t>
      </w:r>
      <w:r>
        <w:rPr>
          <w:noProof/>
        </w:rPr>
        <w:t>1</w:t>
      </w:r>
      <w:r>
        <w:fldChar w:fldCharType="end"/>
      </w:r>
      <w:r>
        <w:t xml:space="preserve">and </w:t>
      </w:r>
      <w:r>
        <w:fldChar w:fldCharType="begin"/>
      </w:r>
      <w:r>
        <w:instrText xml:space="preserve"> REF _Ref458436413 \h </w:instrText>
      </w:r>
      <w:r>
        <w:fldChar w:fldCharType="separate"/>
      </w:r>
      <w:r>
        <w:t xml:space="preserve">Figure </w:t>
      </w:r>
      <w:r>
        <w:rPr>
          <w:noProof/>
        </w:rPr>
        <w:t>2</w:t>
      </w:r>
      <w:r>
        <w:fldChar w:fldCharType="end"/>
      </w:r>
      <w:r>
        <w:t xml:space="preserve">, the cases of the FDD timing advance being the same or larger, respectively, compared to the TDD case are illustrated. From the figures is noted that the same fundamental structure as used for TDD can be used for </w:t>
      </w:r>
      <w:r w:rsidR="005D398C">
        <w:t>FDD</w:t>
      </w:r>
      <w:r>
        <w:t>. However, by increasing the timing advance for FDD compared to the corresponding TDD case, the overall latency can be reduced.</w:t>
      </w:r>
    </w:p>
    <w:p w:rsidR="00A44E49" w:rsidRDefault="00A44E49" w:rsidP="00A44E49">
      <w:pPr>
        <w:pStyle w:val="BodyText"/>
        <w:keepNext/>
      </w:pPr>
      <w:r w:rsidRPr="00A44E49">
        <w:rPr>
          <w:noProof/>
          <w:lang w:val="sv-SE" w:eastAsia="sv-SE"/>
        </w:rPr>
        <w:drawing>
          <wp:inline distT="0" distB="0" distL="0" distR="0" wp14:anchorId="779ADD92" wp14:editId="0B332423">
            <wp:extent cx="5760720" cy="1631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631615"/>
                    </a:xfrm>
                    <a:prstGeom prst="rect">
                      <a:avLst/>
                    </a:prstGeom>
                    <a:noFill/>
                    <a:ln>
                      <a:noFill/>
                    </a:ln>
                  </pic:spPr>
                </pic:pic>
              </a:graphicData>
            </a:graphic>
          </wp:inline>
        </w:drawing>
      </w:r>
    </w:p>
    <w:p w:rsidR="00A44E49" w:rsidRDefault="00A44E49" w:rsidP="00A44E49">
      <w:pPr>
        <w:pStyle w:val="Caption"/>
        <w:jc w:val="both"/>
      </w:pPr>
      <w:bookmarkStart w:id="4" w:name="_Ref458436408"/>
      <w:r>
        <w:t xml:space="preserve">Figure </w:t>
      </w:r>
      <w:r>
        <w:fldChar w:fldCharType="begin"/>
      </w:r>
      <w:r>
        <w:instrText xml:space="preserve"> SEQ Figure \* ARABIC </w:instrText>
      </w:r>
      <w:r>
        <w:fldChar w:fldCharType="separate"/>
      </w:r>
      <w:r>
        <w:rPr>
          <w:noProof/>
        </w:rPr>
        <w:t>1</w:t>
      </w:r>
      <w:r>
        <w:fldChar w:fldCharType="end"/>
      </w:r>
      <w:bookmarkEnd w:id="4"/>
      <w:r>
        <w:t>: FDD using the same timing advance as TDD.</w:t>
      </w:r>
    </w:p>
    <w:p w:rsidR="00A44E49" w:rsidRDefault="00A44E49" w:rsidP="00A44E49">
      <w:pPr>
        <w:keepNext/>
      </w:pPr>
      <w:r w:rsidRPr="00A44E49">
        <w:rPr>
          <w:noProof/>
          <w:lang w:val="sv-SE" w:eastAsia="sv-SE"/>
        </w:rPr>
        <w:drawing>
          <wp:inline distT="0" distB="0" distL="0" distR="0" wp14:anchorId="43FE18C6" wp14:editId="06093767">
            <wp:extent cx="5760720" cy="24033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403381"/>
                    </a:xfrm>
                    <a:prstGeom prst="rect">
                      <a:avLst/>
                    </a:prstGeom>
                    <a:noFill/>
                    <a:ln>
                      <a:noFill/>
                    </a:ln>
                  </pic:spPr>
                </pic:pic>
              </a:graphicData>
            </a:graphic>
          </wp:inline>
        </w:drawing>
      </w:r>
    </w:p>
    <w:p w:rsidR="00A44E49" w:rsidRPr="00A44E49" w:rsidRDefault="00A44E49" w:rsidP="00A44E49">
      <w:pPr>
        <w:pStyle w:val="Caption"/>
      </w:pPr>
      <w:bookmarkStart w:id="5" w:name="_Ref458436413"/>
      <w:r>
        <w:t xml:space="preserve">Figure </w:t>
      </w:r>
      <w:r>
        <w:fldChar w:fldCharType="begin"/>
      </w:r>
      <w:r>
        <w:instrText xml:space="preserve"> SEQ Figure \* ARABIC </w:instrText>
      </w:r>
      <w:r>
        <w:fldChar w:fldCharType="separate"/>
      </w:r>
      <w:r>
        <w:rPr>
          <w:noProof/>
        </w:rPr>
        <w:t>2</w:t>
      </w:r>
      <w:r>
        <w:fldChar w:fldCharType="end"/>
      </w:r>
      <w:bookmarkEnd w:id="5"/>
      <w:r>
        <w:t xml:space="preserve">: FDD using a larger timing advance </w:t>
      </w:r>
      <w:r w:rsidR="00995A10">
        <w:t>than</w:t>
      </w:r>
      <w:r>
        <w:t xml:space="preserve"> TDD.</w:t>
      </w:r>
    </w:p>
    <w:p w:rsidR="00793153" w:rsidRDefault="006210D6" w:rsidP="006210D6">
      <w:pPr>
        <w:pStyle w:val="Heading1"/>
        <w:tabs>
          <w:tab w:val="clear" w:pos="4536"/>
          <w:tab w:val="num" w:pos="567"/>
        </w:tabs>
        <w:spacing w:before="180"/>
        <w:ind w:left="562" w:hanging="562"/>
      </w:pPr>
      <w:r>
        <w:lastRenderedPageBreak/>
        <w:t>Conclusion</w:t>
      </w:r>
    </w:p>
    <w:p w:rsidR="005D5C73" w:rsidRDefault="00A44E49" w:rsidP="005D5C73">
      <w:pPr>
        <w:pStyle w:val="BodyText"/>
      </w:pPr>
      <w:r>
        <w:t xml:space="preserve">It is proposed to use the same frame structure for FDD as for TDD. Using a </w:t>
      </w:r>
      <w:r w:rsidR="005D398C">
        <w:t xml:space="preserve">larger </w:t>
      </w:r>
      <w:r>
        <w:t>timing advance for FDD than for TDD can provide latency benefits.</w:t>
      </w:r>
    </w:p>
    <w:p w:rsidR="00A44E49" w:rsidRPr="00510266" w:rsidRDefault="00A44E49" w:rsidP="00A44E49">
      <w:pPr>
        <w:pStyle w:val="Heading1"/>
        <w:tabs>
          <w:tab w:val="clear" w:pos="4536"/>
          <w:tab w:val="num" w:pos="567"/>
        </w:tabs>
        <w:ind w:left="567"/>
      </w:pPr>
      <w:r w:rsidRPr="00510266">
        <w:t>References</w:t>
      </w:r>
    </w:p>
    <w:p w:rsidR="00A44E49" w:rsidRPr="00BF3CBC" w:rsidRDefault="00A44E49" w:rsidP="00A44E49">
      <w:pPr>
        <w:numPr>
          <w:ilvl w:val="0"/>
          <w:numId w:val="2"/>
        </w:numPr>
        <w:jc w:val="both"/>
        <w:rPr>
          <w:szCs w:val="20"/>
          <w:lang w:val="it-IT"/>
        </w:rPr>
      </w:pPr>
      <w:bookmarkStart w:id="6" w:name="_Ref458022433"/>
      <w:r>
        <w:t>R1-16</w:t>
      </w:r>
      <w:r w:rsidR="002D0B21">
        <w:t>7047</w:t>
      </w:r>
      <w:r>
        <w:t xml:space="preserve">, “On smallest </w:t>
      </w:r>
      <w:r w:rsidR="00995A10">
        <w:t>schedulable</w:t>
      </w:r>
      <w:r>
        <w:t xml:space="preserve"> unit”, Ericsson</w:t>
      </w:r>
      <w:bookmarkEnd w:id="6"/>
    </w:p>
    <w:p w:rsidR="00A44E49" w:rsidRPr="00425E34" w:rsidRDefault="00A44E49" w:rsidP="00A44E49">
      <w:pPr>
        <w:numPr>
          <w:ilvl w:val="0"/>
          <w:numId w:val="2"/>
        </w:numPr>
        <w:jc w:val="both"/>
        <w:rPr>
          <w:szCs w:val="20"/>
          <w:lang w:val="it-IT"/>
        </w:rPr>
      </w:pPr>
      <w:bookmarkStart w:id="7" w:name="_Ref458022816"/>
      <w:r>
        <w:t>R1-16</w:t>
      </w:r>
      <w:r w:rsidR="002D0B21">
        <w:t>7045</w:t>
      </w:r>
      <w:r>
        <w:t>, “</w:t>
      </w:r>
      <w:r w:rsidRPr="00B77774">
        <w:t>On low-latency frame structure</w:t>
      </w:r>
      <w:r>
        <w:t>”, Ericsson</w:t>
      </w:r>
      <w:bookmarkEnd w:id="7"/>
    </w:p>
    <w:p w:rsidR="00A44E49" w:rsidRPr="00A44E49" w:rsidRDefault="00A44E49" w:rsidP="005D5C73">
      <w:pPr>
        <w:pStyle w:val="BodyText"/>
        <w:rPr>
          <w:lang w:val="it-IT"/>
        </w:rPr>
      </w:pPr>
    </w:p>
    <w:sectPr w:rsidR="00A44E49" w:rsidRPr="00A44E4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D38" w:rsidRDefault="00753D38">
      <w:r>
        <w:separator/>
      </w:r>
    </w:p>
  </w:endnote>
  <w:endnote w:type="continuationSeparator" w:id="0">
    <w:p w:rsidR="00753D38" w:rsidRDefault="0075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D38" w:rsidRDefault="00753D38">
      <w:r>
        <w:separator/>
      </w:r>
    </w:p>
  </w:footnote>
  <w:footnote w:type="continuationSeparator" w:id="0">
    <w:p w:rsidR="00753D38" w:rsidRDefault="00753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753D38"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602C"/>
    <w:multiLevelType w:val="hybridMultilevel"/>
    <w:tmpl w:val="8F4243C2"/>
    <w:lvl w:ilvl="0" w:tplc="064E218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F241412"/>
    <w:multiLevelType w:val="hybridMultilevel"/>
    <w:tmpl w:val="4822D382"/>
    <w:lvl w:ilvl="0" w:tplc="A02E9448">
      <w:start w:val="1"/>
      <w:numFmt w:val="bullet"/>
      <w:lvlText w:val="›"/>
      <w:lvlJc w:val="left"/>
      <w:pPr>
        <w:tabs>
          <w:tab w:val="num" w:pos="720"/>
        </w:tabs>
        <w:ind w:left="720" w:hanging="360"/>
      </w:pPr>
      <w:rPr>
        <w:rFonts w:ascii="Arial" w:hAnsi="Arial" w:hint="default"/>
      </w:rPr>
    </w:lvl>
    <w:lvl w:ilvl="1" w:tplc="FD80BEE2" w:tentative="1">
      <w:start w:val="1"/>
      <w:numFmt w:val="bullet"/>
      <w:lvlText w:val="›"/>
      <w:lvlJc w:val="left"/>
      <w:pPr>
        <w:tabs>
          <w:tab w:val="num" w:pos="1440"/>
        </w:tabs>
        <w:ind w:left="1440" w:hanging="360"/>
      </w:pPr>
      <w:rPr>
        <w:rFonts w:ascii="Arial" w:hAnsi="Arial" w:hint="default"/>
      </w:rPr>
    </w:lvl>
    <w:lvl w:ilvl="2" w:tplc="92C8830E" w:tentative="1">
      <w:start w:val="1"/>
      <w:numFmt w:val="bullet"/>
      <w:lvlText w:val="›"/>
      <w:lvlJc w:val="left"/>
      <w:pPr>
        <w:tabs>
          <w:tab w:val="num" w:pos="2160"/>
        </w:tabs>
        <w:ind w:left="2160" w:hanging="360"/>
      </w:pPr>
      <w:rPr>
        <w:rFonts w:ascii="Arial" w:hAnsi="Arial" w:hint="default"/>
      </w:rPr>
    </w:lvl>
    <w:lvl w:ilvl="3" w:tplc="53DEF2AE" w:tentative="1">
      <w:start w:val="1"/>
      <w:numFmt w:val="bullet"/>
      <w:lvlText w:val="›"/>
      <w:lvlJc w:val="left"/>
      <w:pPr>
        <w:tabs>
          <w:tab w:val="num" w:pos="2880"/>
        </w:tabs>
        <w:ind w:left="2880" w:hanging="360"/>
      </w:pPr>
      <w:rPr>
        <w:rFonts w:ascii="Arial" w:hAnsi="Arial" w:hint="default"/>
      </w:rPr>
    </w:lvl>
    <w:lvl w:ilvl="4" w:tplc="BCF0B726" w:tentative="1">
      <w:start w:val="1"/>
      <w:numFmt w:val="bullet"/>
      <w:lvlText w:val="›"/>
      <w:lvlJc w:val="left"/>
      <w:pPr>
        <w:tabs>
          <w:tab w:val="num" w:pos="3600"/>
        </w:tabs>
        <w:ind w:left="3600" w:hanging="360"/>
      </w:pPr>
      <w:rPr>
        <w:rFonts w:ascii="Arial" w:hAnsi="Arial" w:hint="default"/>
      </w:rPr>
    </w:lvl>
    <w:lvl w:ilvl="5" w:tplc="B660F4AA" w:tentative="1">
      <w:start w:val="1"/>
      <w:numFmt w:val="bullet"/>
      <w:lvlText w:val="›"/>
      <w:lvlJc w:val="left"/>
      <w:pPr>
        <w:tabs>
          <w:tab w:val="num" w:pos="4320"/>
        </w:tabs>
        <w:ind w:left="4320" w:hanging="360"/>
      </w:pPr>
      <w:rPr>
        <w:rFonts w:ascii="Arial" w:hAnsi="Arial" w:hint="default"/>
      </w:rPr>
    </w:lvl>
    <w:lvl w:ilvl="6" w:tplc="DF2E7F38" w:tentative="1">
      <w:start w:val="1"/>
      <w:numFmt w:val="bullet"/>
      <w:lvlText w:val="›"/>
      <w:lvlJc w:val="left"/>
      <w:pPr>
        <w:tabs>
          <w:tab w:val="num" w:pos="5040"/>
        </w:tabs>
        <w:ind w:left="5040" w:hanging="360"/>
      </w:pPr>
      <w:rPr>
        <w:rFonts w:ascii="Arial" w:hAnsi="Arial" w:hint="default"/>
      </w:rPr>
    </w:lvl>
    <w:lvl w:ilvl="7" w:tplc="ED2A26C0" w:tentative="1">
      <w:start w:val="1"/>
      <w:numFmt w:val="bullet"/>
      <w:lvlText w:val="›"/>
      <w:lvlJc w:val="left"/>
      <w:pPr>
        <w:tabs>
          <w:tab w:val="num" w:pos="5760"/>
        </w:tabs>
        <w:ind w:left="5760" w:hanging="360"/>
      </w:pPr>
      <w:rPr>
        <w:rFonts w:ascii="Arial" w:hAnsi="Arial" w:hint="default"/>
      </w:rPr>
    </w:lvl>
    <w:lvl w:ilvl="8" w:tplc="F5FA2962" w:tentative="1">
      <w:start w:val="1"/>
      <w:numFmt w:val="bullet"/>
      <w:lvlText w:val="›"/>
      <w:lvlJc w:val="left"/>
      <w:pPr>
        <w:tabs>
          <w:tab w:val="num" w:pos="6480"/>
        </w:tabs>
        <w:ind w:left="6480" w:hanging="360"/>
      </w:pPr>
      <w:rPr>
        <w:rFonts w:ascii="Arial" w:hAnsi="Arial" w:hint="default"/>
      </w:rPr>
    </w:lvl>
  </w:abstractNum>
  <w:abstractNum w:abstractNumId="2">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F0F0514"/>
    <w:multiLevelType w:val="hybridMultilevel"/>
    <w:tmpl w:val="9D487942"/>
    <w:lvl w:ilvl="0" w:tplc="FDE6EFC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9337844"/>
    <w:multiLevelType w:val="hybridMultilevel"/>
    <w:tmpl w:val="48C2CD6A"/>
    <w:lvl w:ilvl="0" w:tplc="10D2917A">
      <w:start w:val="1"/>
      <w:numFmt w:val="bullet"/>
      <w:lvlText w:val="›"/>
      <w:lvlJc w:val="left"/>
      <w:pPr>
        <w:tabs>
          <w:tab w:val="num" w:pos="720"/>
        </w:tabs>
        <w:ind w:left="720" w:hanging="360"/>
      </w:pPr>
      <w:rPr>
        <w:rFonts w:ascii="Arial" w:hAnsi="Arial" w:hint="default"/>
      </w:rPr>
    </w:lvl>
    <w:lvl w:ilvl="1" w:tplc="72849A74">
      <w:start w:val="4667"/>
      <w:numFmt w:val="bullet"/>
      <w:lvlText w:val="–"/>
      <w:lvlJc w:val="left"/>
      <w:pPr>
        <w:tabs>
          <w:tab w:val="num" w:pos="1440"/>
        </w:tabs>
        <w:ind w:left="1440" w:hanging="360"/>
      </w:pPr>
      <w:rPr>
        <w:rFonts w:ascii="Ericsson Capital TT" w:hAnsi="Ericsson Capital TT" w:hint="default"/>
      </w:rPr>
    </w:lvl>
    <w:lvl w:ilvl="2" w:tplc="C75C8B20" w:tentative="1">
      <w:start w:val="1"/>
      <w:numFmt w:val="bullet"/>
      <w:lvlText w:val="›"/>
      <w:lvlJc w:val="left"/>
      <w:pPr>
        <w:tabs>
          <w:tab w:val="num" w:pos="2160"/>
        </w:tabs>
        <w:ind w:left="2160" w:hanging="360"/>
      </w:pPr>
      <w:rPr>
        <w:rFonts w:ascii="Arial" w:hAnsi="Arial" w:hint="default"/>
      </w:rPr>
    </w:lvl>
    <w:lvl w:ilvl="3" w:tplc="E63A011E" w:tentative="1">
      <w:start w:val="1"/>
      <w:numFmt w:val="bullet"/>
      <w:lvlText w:val="›"/>
      <w:lvlJc w:val="left"/>
      <w:pPr>
        <w:tabs>
          <w:tab w:val="num" w:pos="2880"/>
        </w:tabs>
        <w:ind w:left="2880" w:hanging="360"/>
      </w:pPr>
      <w:rPr>
        <w:rFonts w:ascii="Arial" w:hAnsi="Arial" w:hint="default"/>
      </w:rPr>
    </w:lvl>
    <w:lvl w:ilvl="4" w:tplc="485A31F8" w:tentative="1">
      <w:start w:val="1"/>
      <w:numFmt w:val="bullet"/>
      <w:lvlText w:val="›"/>
      <w:lvlJc w:val="left"/>
      <w:pPr>
        <w:tabs>
          <w:tab w:val="num" w:pos="3600"/>
        </w:tabs>
        <w:ind w:left="3600" w:hanging="360"/>
      </w:pPr>
      <w:rPr>
        <w:rFonts w:ascii="Arial" w:hAnsi="Arial" w:hint="default"/>
      </w:rPr>
    </w:lvl>
    <w:lvl w:ilvl="5" w:tplc="726C2166" w:tentative="1">
      <w:start w:val="1"/>
      <w:numFmt w:val="bullet"/>
      <w:lvlText w:val="›"/>
      <w:lvlJc w:val="left"/>
      <w:pPr>
        <w:tabs>
          <w:tab w:val="num" w:pos="4320"/>
        </w:tabs>
        <w:ind w:left="4320" w:hanging="360"/>
      </w:pPr>
      <w:rPr>
        <w:rFonts w:ascii="Arial" w:hAnsi="Arial" w:hint="default"/>
      </w:rPr>
    </w:lvl>
    <w:lvl w:ilvl="6" w:tplc="B85C1812" w:tentative="1">
      <w:start w:val="1"/>
      <w:numFmt w:val="bullet"/>
      <w:lvlText w:val="›"/>
      <w:lvlJc w:val="left"/>
      <w:pPr>
        <w:tabs>
          <w:tab w:val="num" w:pos="5040"/>
        </w:tabs>
        <w:ind w:left="5040" w:hanging="360"/>
      </w:pPr>
      <w:rPr>
        <w:rFonts w:ascii="Arial" w:hAnsi="Arial" w:hint="default"/>
      </w:rPr>
    </w:lvl>
    <w:lvl w:ilvl="7" w:tplc="BEA08DAE" w:tentative="1">
      <w:start w:val="1"/>
      <w:numFmt w:val="bullet"/>
      <w:lvlText w:val="›"/>
      <w:lvlJc w:val="left"/>
      <w:pPr>
        <w:tabs>
          <w:tab w:val="num" w:pos="5760"/>
        </w:tabs>
        <w:ind w:left="5760" w:hanging="360"/>
      </w:pPr>
      <w:rPr>
        <w:rFonts w:ascii="Arial" w:hAnsi="Arial" w:hint="default"/>
      </w:rPr>
    </w:lvl>
    <w:lvl w:ilvl="8" w:tplc="BDCCEC92" w:tentative="1">
      <w:start w:val="1"/>
      <w:numFmt w:val="bullet"/>
      <w:lvlText w:val="›"/>
      <w:lvlJc w:val="left"/>
      <w:pPr>
        <w:tabs>
          <w:tab w:val="num" w:pos="6480"/>
        </w:tabs>
        <w:ind w:left="6480" w:hanging="360"/>
      </w:pPr>
      <w:rPr>
        <w:rFonts w:ascii="Arial" w:hAnsi="Arial" w:hint="default"/>
      </w:rPr>
    </w:lvl>
  </w:abstractNum>
  <w:abstractNum w:abstractNumId="9">
    <w:nsid w:val="57907D3F"/>
    <w:multiLevelType w:val="hybridMultilevel"/>
    <w:tmpl w:val="5E80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6907192"/>
    <w:multiLevelType w:val="hybridMultilevel"/>
    <w:tmpl w:val="664CE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6E1234E"/>
    <w:multiLevelType w:val="hybridMultilevel"/>
    <w:tmpl w:val="4A0C18B8"/>
    <w:lvl w:ilvl="0" w:tplc="D07A6F8C">
      <w:start w:val="1"/>
      <w:numFmt w:val="bullet"/>
      <w:lvlText w:val="›"/>
      <w:lvlJc w:val="left"/>
      <w:pPr>
        <w:tabs>
          <w:tab w:val="num" w:pos="720"/>
        </w:tabs>
        <w:ind w:left="720" w:hanging="360"/>
      </w:pPr>
      <w:rPr>
        <w:rFonts w:ascii="Arial" w:hAnsi="Arial" w:hint="default"/>
      </w:rPr>
    </w:lvl>
    <w:lvl w:ilvl="1" w:tplc="ADD0ABA0">
      <w:start w:val="2123"/>
      <w:numFmt w:val="bullet"/>
      <w:lvlText w:val="–"/>
      <w:lvlJc w:val="left"/>
      <w:pPr>
        <w:tabs>
          <w:tab w:val="num" w:pos="1440"/>
        </w:tabs>
        <w:ind w:left="1440" w:hanging="360"/>
      </w:pPr>
      <w:rPr>
        <w:rFonts w:ascii="Ericsson Capital TT" w:hAnsi="Ericsson Capital TT" w:hint="default"/>
      </w:rPr>
    </w:lvl>
    <w:lvl w:ilvl="2" w:tplc="BBC28E44" w:tentative="1">
      <w:start w:val="1"/>
      <w:numFmt w:val="bullet"/>
      <w:lvlText w:val="›"/>
      <w:lvlJc w:val="left"/>
      <w:pPr>
        <w:tabs>
          <w:tab w:val="num" w:pos="2160"/>
        </w:tabs>
        <w:ind w:left="2160" w:hanging="360"/>
      </w:pPr>
      <w:rPr>
        <w:rFonts w:ascii="Arial" w:hAnsi="Arial" w:hint="default"/>
      </w:rPr>
    </w:lvl>
    <w:lvl w:ilvl="3" w:tplc="671E42B2" w:tentative="1">
      <w:start w:val="1"/>
      <w:numFmt w:val="bullet"/>
      <w:lvlText w:val="›"/>
      <w:lvlJc w:val="left"/>
      <w:pPr>
        <w:tabs>
          <w:tab w:val="num" w:pos="2880"/>
        </w:tabs>
        <w:ind w:left="2880" w:hanging="360"/>
      </w:pPr>
      <w:rPr>
        <w:rFonts w:ascii="Arial" w:hAnsi="Arial" w:hint="default"/>
      </w:rPr>
    </w:lvl>
    <w:lvl w:ilvl="4" w:tplc="02361AEC" w:tentative="1">
      <w:start w:val="1"/>
      <w:numFmt w:val="bullet"/>
      <w:lvlText w:val="›"/>
      <w:lvlJc w:val="left"/>
      <w:pPr>
        <w:tabs>
          <w:tab w:val="num" w:pos="3600"/>
        </w:tabs>
        <w:ind w:left="3600" w:hanging="360"/>
      </w:pPr>
      <w:rPr>
        <w:rFonts w:ascii="Arial" w:hAnsi="Arial" w:hint="default"/>
      </w:rPr>
    </w:lvl>
    <w:lvl w:ilvl="5" w:tplc="17E2C276" w:tentative="1">
      <w:start w:val="1"/>
      <w:numFmt w:val="bullet"/>
      <w:lvlText w:val="›"/>
      <w:lvlJc w:val="left"/>
      <w:pPr>
        <w:tabs>
          <w:tab w:val="num" w:pos="4320"/>
        </w:tabs>
        <w:ind w:left="4320" w:hanging="360"/>
      </w:pPr>
      <w:rPr>
        <w:rFonts w:ascii="Arial" w:hAnsi="Arial" w:hint="default"/>
      </w:rPr>
    </w:lvl>
    <w:lvl w:ilvl="6" w:tplc="BDC23D36" w:tentative="1">
      <w:start w:val="1"/>
      <w:numFmt w:val="bullet"/>
      <w:lvlText w:val="›"/>
      <w:lvlJc w:val="left"/>
      <w:pPr>
        <w:tabs>
          <w:tab w:val="num" w:pos="5040"/>
        </w:tabs>
        <w:ind w:left="5040" w:hanging="360"/>
      </w:pPr>
      <w:rPr>
        <w:rFonts w:ascii="Arial" w:hAnsi="Arial" w:hint="default"/>
      </w:rPr>
    </w:lvl>
    <w:lvl w:ilvl="7" w:tplc="AE2C5AC0" w:tentative="1">
      <w:start w:val="1"/>
      <w:numFmt w:val="bullet"/>
      <w:lvlText w:val="›"/>
      <w:lvlJc w:val="left"/>
      <w:pPr>
        <w:tabs>
          <w:tab w:val="num" w:pos="5760"/>
        </w:tabs>
        <w:ind w:left="5760" w:hanging="360"/>
      </w:pPr>
      <w:rPr>
        <w:rFonts w:ascii="Arial" w:hAnsi="Arial" w:hint="default"/>
      </w:rPr>
    </w:lvl>
    <w:lvl w:ilvl="8" w:tplc="EB1AF8A8" w:tentative="1">
      <w:start w:val="1"/>
      <w:numFmt w:val="bullet"/>
      <w:lvlText w:val="›"/>
      <w:lvlJc w:val="left"/>
      <w:pPr>
        <w:tabs>
          <w:tab w:val="num" w:pos="6480"/>
        </w:tabs>
        <w:ind w:left="6480" w:hanging="360"/>
      </w:pPr>
      <w:rPr>
        <w:rFonts w:ascii="Arial" w:hAnsi="Arial" w:hint="default"/>
      </w:rPr>
    </w:lvl>
  </w:abstractNum>
  <w:abstractNum w:abstractNumId="12">
    <w:nsid w:val="67A1689F"/>
    <w:multiLevelType w:val="hybridMultilevel"/>
    <w:tmpl w:val="C570DA8E"/>
    <w:lvl w:ilvl="0" w:tplc="064E2186">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5"/>
  </w:num>
  <w:num w:numId="3">
    <w:abstractNumId w:val="3"/>
  </w:num>
  <w:num w:numId="4">
    <w:abstractNumId w:val="7"/>
  </w:num>
  <w:num w:numId="5">
    <w:abstractNumId w:val="4"/>
  </w:num>
  <w:num w:numId="6">
    <w:abstractNumId w:val="2"/>
  </w:num>
  <w:num w:numId="7">
    <w:abstractNumId w:val="13"/>
  </w:num>
  <w:num w:numId="8">
    <w:abstractNumId w:val="14"/>
  </w:num>
  <w:num w:numId="9">
    <w:abstractNumId w:val="10"/>
  </w:num>
  <w:num w:numId="10">
    <w:abstractNumId w:val="9"/>
  </w:num>
  <w:num w:numId="11">
    <w:abstractNumId w:val="6"/>
  </w:num>
  <w:num w:numId="12">
    <w:abstractNumId w:val="0"/>
  </w:num>
  <w:num w:numId="13">
    <w:abstractNumId w:val="14"/>
  </w:num>
  <w:num w:numId="14">
    <w:abstractNumId w:val="11"/>
  </w:num>
  <w:num w:numId="15">
    <w:abstractNumId w:val="12"/>
  </w:num>
  <w:num w:numId="16">
    <w:abstractNumId w:val="8"/>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95971"/>
    <w:rsid w:val="000A258F"/>
    <w:rsid w:val="000B15AA"/>
    <w:rsid w:val="000F4AF3"/>
    <w:rsid w:val="00112E18"/>
    <w:rsid w:val="00114B6A"/>
    <w:rsid w:val="00141448"/>
    <w:rsid w:val="00175D32"/>
    <w:rsid w:val="0017779E"/>
    <w:rsid w:val="00195FDC"/>
    <w:rsid w:val="001B7017"/>
    <w:rsid w:val="0021013F"/>
    <w:rsid w:val="00257720"/>
    <w:rsid w:val="00264E3E"/>
    <w:rsid w:val="00290099"/>
    <w:rsid w:val="002D0B21"/>
    <w:rsid w:val="00377B9E"/>
    <w:rsid w:val="003875A3"/>
    <w:rsid w:val="00387A5E"/>
    <w:rsid w:val="003D031A"/>
    <w:rsid w:val="003D24B3"/>
    <w:rsid w:val="00422F7B"/>
    <w:rsid w:val="00463305"/>
    <w:rsid w:val="004B57FD"/>
    <w:rsid w:val="004C6604"/>
    <w:rsid w:val="004F3A03"/>
    <w:rsid w:val="00505D01"/>
    <w:rsid w:val="0054011B"/>
    <w:rsid w:val="0055264E"/>
    <w:rsid w:val="0058278C"/>
    <w:rsid w:val="005A56A1"/>
    <w:rsid w:val="005C439D"/>
    <w:rsid w:val="005D398C"/>
    <w:rsid w:val="005D5C73"/>
    <w:rsid w:val="0061336B"/>
    <w:rsid w:val="006210D6"/>
    <w:rsid w:val="00660EA6"/>
    <w:rsid w:val="006A286A"/>
    <w:rsid w:val="0075384C"/>
    <w:rsid w:val="00753D38"/>
    <w:rsid w:val="0079276E"/>
    <w:rsid w:val="00793153"/>
    <w:rsid w:val="007A01C0"/>
    <w:rsid w:val="007A7B94"/>
    <w:rsid w:val="00834DE7"/>
    <w:rsid w:val="00835FF4"/>
    <w:rsid w:val="008427E8"/>
    <w:rsid w:val="008B23D4"/>
    <w:rsid w:val="00995A10"/>
    <w:rsid w:val="009A6BB8"/>
    <w:rsid w:val="009B2E48"/>
    <w:rsid w:val="00A40B29"/>
    <w:rsid w:val="00A44E49"/>
    <w:rsid w:val="00A47015"/>
    <w:rsid w:val="00A81AA1"/>
    <w:rsid w:val="00A85E54"/>
    <w:rsid w:val="00AA13EF"/>
    <w:rsid w:val="00B368D9"/>
    <w:rsid w:val="00B96B6C"/>
    <w:rsid w:val="00BA2CDD"/>
    <w:rsid w:val="00BA76BC"/>
    <w:rsid w:val="00C11DBF"/>
    <w:rsid w:val="00C1560A"/>
    <w:rsid w:val="00C326A6"/>
    <w:rsid w:val="00C61496"/>
    <w:rsid w:val="00C75368"/>
    <w:rsid w:val="00C92A51"/>
    <w:rsid w:val="00C93774"/>
    <w:rsid w:val="00C945CB"/>
    <w:rsid w:val="00CA6DE0"/>
    <w:rsid w:val="00CE28B2"/>
    <w:rsid w:val="00CF2225"/>
    <w:rsid w:val="00CF67BE"/>
    <w:rsid w:val="00D02349"/>
    <w:rsid w:val="00D03119"/>
    <w:rsid w:val="00D04257"/>
    <w:rsid w:val="00D26287"/>
    <w:rsid w:val="00DA110D"/>
    <w:rsid w:val="00DA289B"/>
    <w:rsid w:val="00DB4258"/>
    <w:rsid w:val="00DE3421"/>
    <w:rsid w:val="00E607C1"/>
    <w:rsid w:val="00E63D88"/>
    <w:rsid w:val="00EB48D6"/>
    <w:rsid w:val="00EC6CA5"/>
    <w:rsid w:val="00ED4336"/>
    <w:rsid w:val="00F37D49"/>
    <w:rsid w:val="00F434AA"/>
    <w:rsid w:val="00F621B3"/>
    <w:rsid w:val="00F8152C"/>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paragraph" w:styleId="NormalWeb">
    <w:name w:val="Normal (Web)"/>
    <w:basedOn w:val="Normal"/>
    <w:uiPriority w:val="99"/>
    <w:semiHidden/>
    <w:unhideWhenUsed/>
    <w:rsid w:val="005D5C73"/>
    <w:pPr>
      <w:spacing w:before="100" w:beforeAutospacing="1" w:after="100" w:afterAutospacing="1"/>
    </w:pPr>
    <w:rPr>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paragraph" w:styleId="NormalWeb">
    <w:name w:val="Normal (Web)"/>
    <w:basedOn w:val="Normal"/>
    <w:uiPriority w:val="99"/>
    <w:semiHidden/>
    <w:unhideWhenUsed/>
    <w:rsid w:val="005D5C73"/>
    <w:pPr>
      <w:spacing w:before="100" w:beforeAutospacing="1" w:after="100" w:afterAutospacing="1"/>
    </w:pPr>
    <w:rPr>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118">
      <w:bodyDiv w:val="1"/>
      <w:marLeft w:val="0"/>
      <w:marRight w:val="0"/>
      <w:marTop w:val="0"/>
      <w:marBottom w:val="0"/>
      <w:divBdr>
        <w:top w:val="none" w:sz="0" w:space="0" w:color="auto"/>
        <w:left w:val="none" w:sz="0" w:space="0" w:color="auto"/>
        <w:bottom w:val="none" w:sz="0" w:space="0" w:color="auto"/>
        <w:right w:val="none" w:sz="0" w:space="0" w:color="auto"/>
      </w:divBdr>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658343170">
      <w:bodyDiv w:val="1"/>
      <w:marLeft w:val="0"/>
      <w:marRight w:val="0"/>
      <w:marTop w:val="0"/>
      <w:marBottom w:val="0"/>
      <w:divBdr>
        <w:top w:val="none" w:sz="0" w:space="0" w:color="auto"/>
        <w:left w:val="none" w:sz="0" w:space="0" w:color="auto"/>
        <w:bottom w:val="none" w:sz="0" w:space="0" w:color="auto"/>
        <w:right w:val="none" w:sz="0" w:space="0" w:color="auto"/>
      </w:divBdr>
      <w:divsChild>
        <w:div w:id="733087703">
          <w:marLeft w:val="274"/>
          <w:marRight w:val="0"/>
          <w:marTop w:val="96"/>
          <w:marBottom w:val="0"/>
          <w:divBdr>
            <w:top w:val="none" w:sz="0" w:space="0" w:color="auto"/>
            <w:left w:val="none" w:sz="0" w:space="0" w:color="auto"/>
            <w:bottom w:val="none" w:sz="0" w:space="0" w:color="auto"/>
            <w:right w:val="none" w:sz="0" w:space="0" w:color="auto"/>
          </w:divBdr>
        </w:div>
        <w:div w:id="291714021">
          <w:marLeft w:val="835"/>
          <w:marRight w:val="0"/>
          <w:marTop w:val="86"/>
          <w:marBottom w:val="0"/>
          <w:divBdr>
            <w:top w:val="none" w:sz="0" w:space="0" w:color="auto"/>
            <w:left w:val="none" w:sz="0" w:space="0" w:color="auto"/>
            <w:bottom w:val="none" w:sz="0" w:space="0" w:color="auto"/>
            <w:right w:val="none" w:sz="0" w:space="0" w:color="auto"/>
          </w:divBdr>
        </w:div>
      </w:divsChild>
    </w:div>
    <w:div w:id="1782263076">
      <w:bodyDiv w:val="1"/>
      <w:marLeft w:val="0"/>
      <w:marRight w:val="0"/>
      <w:marTop w:val="0"/>
      <w:marBottom w:val="0"/>
      <w:divBdr>
        <w:top w:val="none" w:sz="0" w:space="0" w:color="auto"/>
        <w:left w:val="none" w:sz="0" w:space="0" w:color="auto"/>
        <w:bottom w:val="none" w:sz="0" w:space="0" w:color="auto"/>
        <w:right w:val="none" w:sz="0" w:space="0" w:color="auto"/>
      </w:divBdr>
    </w:div>
    <w:div w:id="1880776074">
      <w:bodyDiv w:val="1"/>
      <w:marLeft w:val="0"/>
      <w:marRight w:val="0"/>
      <w:marTop w:val="0"/>
      <w:marBottom w:val="0"/>
      <w:divBdr>
        <w:top w:val="none" w:sz="0" w:space="0" w:color="auto"/>
        <w:left w:val="none" w:sz="0" w:space="0" w:color="auto"/>
        <w:bottom w:val="none" w:sz="0" w:space="0" w:color="auto"/>
        <w:right w:val="none" w:sz="0" w:space="0" w:color="auto"/>
      </w:divBdr>
      <w:divsChild>
        <w:div w:id="443302995">
          <w:marLeft w:val="274"/>
          <w:marRight w:val="0"/>
          <w:marTop w:val="96"/>
          <w:marBottom w:val="0"/>
          <w:divBdr>
            <w:top w:val="none" w:sz="0" w:space="0" w:color="auto"/>
            <w:left w:val="none" w:sz="0" w:space="0" w:color="auto"/>
            <w:bottom w:val="none" w:sz="0" w:space="0" w:color="auto"/>
            <w:right w:val="none" w:sz="0" w:space="0" w:color="auto"/>
          </w:divBdr>
        </w:div>
        <w:div w:id="813568626">
          <w:marLeft w:val="835"/>
          <w:marRight w:val="0"/>
          <w:marTop w:val="86"/>
          <w:marBottom w:val="0"/>
          <w:divBdr>
            <w:top w:val="none" w:sz="0" w:space="0" w:color="auto"/>
            <w:left w:val="none" w:sz="0" w:space="0" w:color="auto"/>
            <w:bottom w:val="none" w:sz="0" w:space="0" w:color="auto"/>
            <w:right w:val="none" w:sz="0" w:space="0" w:color="auto"/>
          </w:divBdr>
        </w:div>
        <w:div w:id="585041921">
          <w:marLeft w:val="274"/>
          <w:marRight w:val="0"/>
          <w:marTop w:val="96"/>
          <w:marBottom w:val="0"/>
          <w:divBdr>
            <w:top w:val="none" w:sz="0" w:space="0" w:color="auto"/>
            <w:left w:val="none" w:sz="0" w:space="0" w:color="auto"/>
            <w:bottom w:val="none" w:sz="0" w:space="0" w:color="auto"/>
            <w:right w:val="none" w:sz="0" w:space="0" w:color="auto"/>
          </w:divBdr>
        </w:div>
        <w:div w:id="199905412">
          <w:marLeft w:val="274"/>
          <w:marRight w:val="0"/>
          <w:marTop w:val="96"/>
          <w:marBottom w:val="0"/>
          <w:divBdr>
            <w:top w:val="none" w:sz="0" w:space="0" w:color="auto"/>
            <w:left w:val="none" w:sz="0" w:space="0" w:color="auto"/>
            <w:bottom w:val="none" w:sz="0" w:space="0" w:color="auto"/>
            <w:right w:val="none" w:sz="0" w:space="0" w:color="auto"/>
          </w:divBdr>
        </w:div>
      </w:divsChild>
    </w:div>
    <w:div w:id="1929388949">
      <w:bodyDiv w:val="1"/>
      <w:marLeft w:val="0"/>
      <w:marRight w:val="0"/>
      <w:marTop w:val="0"/>
      <w:marBottom w:val="0"/>
      <w:divBdr>
        <w:top w:val="none" w:sz="0" w:space="0" w:color="auto"/>
        <w:left w:val="none" w:sz="0" w:space="0" w:color="auto"/>
        <w:bottom w:val="none" w:sz="0" w:space="0" w:color="auto"/>
        <w:right w:val="none" w:sz="0" w:space="0" w:color="auto"/>
      </w:divBdr>
      <w:divsChild>
        <w:div w:id="534662149">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A155E-B14E-4384-B580-916A2BB42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2016-08-08T14:06:00Z</cp:lastPrinted>
  <dcterms:created xsi:type="dcterms:W3CDTF">2016-08-12T12:49:00Z</dcterms:created>
  <dcterms:modified xsi:type="dcterms:W3CDTF">2016-08-12T12:49:00Z</dcterms:modified>
</cp:coreProperties>
</file>