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D878FD" w:rsidP="00DF1CB7">
      <w:pPr>
        <w:tabs>
          <w:tab w:val="right" w:pos="9630"/>
        </w:tabs>
        <w:spacing w:after="0"/>
      </w:pPr>
      <w:r>
        <w:rPr>
          <w:rFonts w:ascii="Arial" w:hAnsi="Arial" w:cs="Arial"/>
          <w:b/>
          <w:sz w:val="24"/>
        </w:rPr>
        <w:t>3GPP TSG RAN WG1 #86</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Pr>
          <w:rFonts w:ascii="Arial" w:hAnsi="Arial" w:cs="Arial"/>
          <w:b/>
          <w:sz w:val="24"/>
        </w:rPr>
        <w:t>64</w:t>
      </w:r>
      <w:r w:rsidR="0002668B">
        <w:rPr>
          <w:rFonts w:ascii="Arial" w:hAnsi="Arial" w:cs="Arial"/>
          <w:b/>
          <w:sz w:val="24"/>
        </w:rPr>
        <w:t>83</w:t>
      </w:r>
    </w:p>
    <w:p w:rsidR="00DF1CB7" w:rsidRPr="000F7452" w:rsidRDefault="00D878FD" w:rsidP="00DF1CB7">
      <w:pPr>
        <w:rPr>
          <w:rFonts w:ascii="Arial" w:hAnsi="Arial" w:cs="Arial"/>
          <w:b/>
          <w:sz w:val="24"/>
          <w:szCs w:val="24"/>
        </w:rPr>
      </w:pPr>
      <w:r>
        <w:rPr>
          <w:rFonts w:ascii="Arial" w:hAnsi="Arial" w:cs="Arial"/>
          <w:b/>
          <w:sz w:val="24"/>
          <w:szCs w:val="24"/>
        </w:rPr>
        <w:t>Gothenburg, Sweden,</w:t>
      </w:r>
      <w:r w:rsidR="00DF1CB7">
        <w:rPr>
          <w:rFonts w:ascii="Arial" w:hAnsi="Arial" w:cs="Arial"/>
          <w:b/>
          <w:sz w:val="24"/>
          <w:szCs w:val="24"/>
        </w:rPr>
        <w:t xml:space="preserve"> </w:t>
      </w:r>
      <w:r w:rsidR="00E72526">
        <w:rPr>
          <w:rFonts w:ascii="Arial" w:hAnsi="Arial" w:cs="Arial"/>
          <w:b/>
          <w:sz w:val="24"/>
          <w:szCs w:val="24"/>
        </w:rPr>
        <w:t>2</w:t>
      </w:r>
      <w:r>
        <w:rPr>
          <w:rFonts w:ascii="Arial" w:hAnsi="Arial" w:cs="Arial"/>
          <w:b/>
          <w:sz w:val="24"/>
          <w:szCs w:val="24"/>
        </w:rPr>
        <w:t>2</w:t>
      </w:r>
      <w:r w:rsidRPr="00D878FD">
        <w:rPr>
          <w:rFonts w:ascii="Arial" w:hAnsi="Arial" w:cs="Arial"/>
          <w:b/>
          <w:sz w:val="24"/>
          <w:szCs w:val="24"/>
          <w:vertAlign w:val="superscript"/>
        </w:rPr>
        <w:t>nd</w:t>
      </w:r>
      <w:r>
        <w:rPr>
          <w:rFonts w:ascii="Arial" w:hAnsi="Arial" w:cs="Arial"/>
          <w:b/>
          <w:sz w:val="24"/>
          <w:szCs w:val="24"/>
        </w:rPr>
        <w:t xml:space="preserve"> </w:t>
      </w:r>
      <w:r w:rsidR="00DF1CB7">
        <w:rPr>
          <w:rFonts w:ascii="Arial" w:hAnsi="Arial" w:cs="Arial"/>
          <w:b/>
          <w:sz w:val="24"/>
          <w:szCs w:val="24"/>
        </w:rPr>
        <w:t xml:space="preserve">– </w:t>
      </w:r>
      <w:r w:rsidR="00E72526">
        <w:rPr>
          <w:rFonts w:ascii="Arial" w:hAnsi="Arial" w:cs="Arial"/>
          <w:b/>
          <w:sz w:val="24"/>
          <w:szCs w:val="24"/>
        </w:rPr>
        <w:t>2</w:t>
      </w:r>
      <w:r>
        <w:rPr>
          <w:rFonts w:ascii="Arial" w:hAnsi="Arial" w:cs="Arial"/>
          <w:b/>
          <w:sz w:val="24"/>
          <w:szCs w:val="24"/>
        </w:rPr>
        <w:t>6</w:t>
      </w:r>
      <w:r w:rsidR="00DF1CB7" w:rsidRPr="005831C5">
        <w:rPr>
          <w:rFonts w:ascii="Arial" w:hAnsi="Arial" w:cs="Arial"/>
          <w:b/>
          <w:sz w:val="24"/>
          <w:szCs w:val="24"/>
          <w:vertAlign w:val="superscript"/>
        </w:rPr>
        <w:t>th</w:t>
      </w:r>
      <w:r>
        <w:rPr>
          <w:rFonts w:ascii="Arial" w:hAnsi="Arial" w:cs="Arial"/>
          <w:b/>
          <w:sz w:val="24"/>
          <w:szCs w:val="24"/>
        </w:rPr>
        <w:t xml:space="preserve"> August</w:t>
      </w:r>
      <w:r w:rsidR="00DF1CB7">
        <w:rPr>
          <w:rFonts w:ascii="Arial" w:hAnsi="Arial" w:cs="Arial"/>
          <w:b/>
          <w:sz w:val="24"/>
          <w:szCs w:val="24"/>
        </w:rPr>
        <w:t xml:space="preserve"> 2016</w:t>
      </w: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D878FD">
        <w:rPr>
          <w:rFonts w:ascii="Arial" w:hAnsi="Arial"/>
          <w:sz w:val="24"/>
        </w:rPr>
        <w:tab/>
        <w:t>8</w:t>
      </w:r>
      <w:r w:rsidR="0002668B">
        <w:rPr>
          <w:rFonts w:ascii="Arial" w:hAnsi="Arial"/>
          <w:sz w:val="24"/>
        </w:rPr>
        <w:t>.1.6</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02668B" w:rsidRPr="0002668B">
        <w:rPr>
          <w:rFonts w:ascii="Arial" w:hAnsi="Arial"/>
          <w:sz w:val="24"/>
          <w:szCs w:val="24"/>
        </w:rPr>
        <w:t>NR Initial Access and Mobility Management</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BC1430" w:rsidRPr="00C54703" w:rsidRDefault="00454947" w:rsidP="00C57BB4">
      <w:pPr>
        <w:pStyle w:val="1"/>
      </w:pPr>
      <w:r w:rsidRPr="00061DA0">
        <w:t>Introduction</w:t>
      </w:r>
    </w:p>
    <w:p w:rsidR="00693C74" w:rsidRPr="00DF1CB7" w:rsidRDefault="00693C74" w:rsidP="00693C74">
      <w:pPr>
        <w:rPr>
          <w:rFonts w:eastAsia="Malgun Gothic"/>
          <w:lang w:val="en-US" w:eastAsia="ko-KR"/>
        </w:rPr>
      </w:pPr>
      <w:r>
        <w:t>In RAN#71</w:t>
      </w:r>
      <w:r w:rsidRPr="00DF1CB7">
        <w:t xml:space="preserve">, the </w:t>
      </w:r>
      <w:r w:rsidR="00D1231F">
        <w:t xml:space="preserve">study of NR system </w:t>
      </w:r>
      <w:r w:rsidRPr="00DF1CB7">
        <w:t xml:space="preserve">was approved </w:t>
      </w:r>
      <w:fldSimple w:instr=" REF _Ref434215512 \r \h  \* MERGEFORMAT ">
        <w:r w:rsidRPr="00DF1CB7">
          <w:t>[1]</w:t>
        </w:r>
      </w:fldSimple>
      <w:r w:rsidRPr="00DF1CB7">
        <w:t xml:space="preserve">.  </w:t>
      </w:r>
      <w:r w:rsidR="00D1231F">
        <w:rPr>
          <w:rFonts w:eastAsia="Malgun Gothic" w:hint="eastAsia"/>
          <w:lang w:val="en-US" w:eastAsia="ko-KR"/>
        </w:rPr>
        <w:t xml:space="preserve">The </w:t>
      </w:r>
      <w:r w:rsidR="00D1231F">
        <w:rPr>
          <w:rFonts w:eastAsia="Malgun Gothic"/>
          <w:lang w:val="en-US" w:eastAsia="ko-KR"/>
        </w:rPr>
        <w:t>NR</w:t>
      </w:r>
      <w:r w:rsidRPr="00DF1CB7">
        <w:rPr>
          <w:rFonts w:eastAsia="Malgun Gothic" w:hint="eastAsia"/>
          <w:lang w:val="en-US" w:eastAsia="ko-KR"/>
        </w:rPr>
        <w:t xml:space="preserve"> </w:t>
      </w:r>
      <w:r w:rsidRPr="00DF1CB7">
        <w:rPr>
          <w:rFonts w:eastAsia="Malgun Gothic"/>
          <w:lang w:val="en-US" w:eastAsia="ko-KR"/>
        </w:rPr>
        <w:t>will consider</w:t>
      </w:r>
      <w:r w:rsidRPr="00DF1CB7">
        <w:rPr>
          <w:rFonts w:hint="eastAsia"/>
          <w:lang w:val="en-US"/>
        </w:rPr>
        <w:t xml:space="preserve"> frequency </w:t>
      </w:r>
      <w:r w:rsidRPr="00DF1CB7">
        <w:rPr>
          <w:lang w:val="en-US"/>
        </w:rPr>
        <w:t>ranges</w:t>
      </w:r>
      <w:r w:rsidRPr="00DF1CB7">
        <w:rPr>
          <w:rFonts w:hint="eastAsia"/>
          <w:lang w:val="en-US"/>
        </w:rPr>
        <w:t xml:space="preserve"> up to 100 GHz</w:t>
      </w:r>
      <w:r w:rsidRPr="00DF1CB7">
        <w:rPr>
          <w:lang w:val="en-US"/>
        </w:rPr>
        <w:t xml:space="preserve"> with the objective of </w:t>
      </w:r>
      <w:r w:rsidRPr="00DF1CB7">
        <w:rPr>
          <w:rFonts w:eastAsia="Malgun Gothic" w:hint="eastAsia"/>
          <w:lang w:val="en-US" w:eastAsia="ko-KR"/>
        </w:rPr>
        <w:t xml:space="preserve">a single technical framework </w:t>
      </w:r>
      <w:r w:rsidRPr="00DF1CB7">
        <w:rPr>
          <w:rFonts w:eastAsia="Malgun Gothic"/>
          <w:lang w:val="en-US" w:eastAsia="ko-KR"/>
        </w:rPr>
        <w:t xml:space="preserve">addressing </w:t>
      </w:r>
      <w:r w:rsidRPr="00DF1CB7">
        <w:rPr>
          <w:rFonts w:eastAsia="Malgun Gothic" w:hint="eastAsia"/>
          <w:lang w:val="en-US" w:eastAsia="ko-KR"/>
        </w:rPr>
        <w:t>all usage scenarios</w:t>
      </w:r>
      <w:r w:rsidRPr="00DF1CB7">
        <w:rPr>
          <w:rFonts w:eastAsia="Malgun Gothic"/>
          <w:lang w:val="en-US" w:eastAsia="ko-KR"/>
        </w:rPr>
        <w:t>, requirements and deployment scenarios</w:t>
      </w:r>
      <w:r w:rsidRPr="00DF1CB7">
        <w:rPr>
          <w:rFonts w:eastAsia="Malgun Gothic" w:hint="eastAsia"/>
          <w:lang w:val="en-US" w:eastAsia="ko-KR"/>
        </w:rPr>
        <w:t xml:space="preserve"> </w:t>
      </w:r>
      <w:r w:rsidRPr="00DF1CB7">
        <w:rPr>
          <w:lang w:val="en-US" w:eastAsia="zh-CN"/>
        </w:rPr>
        <w:t xml:space="preserve">defined in </w:t>
      </w:r>
      <w:r w:rsidRPr="00DF1CB7">
        <w:rPr>
          <w:rFonts w:hint="eastAsia"/>
          <w:lang w:val="en-US"/>
        </w:rPr>
        <w:t>TR38.913</w:t>
      </w:r>
      <w:r>
        <w:rPr>
          <w:lang w:val="en-US"/>
        </w:rPr>
        <w:t xml:space="preserve"> </w:t>
      </w:r>
      <w:r w:rsidR="00E20A24">
        <w:rPr>
          <w:lang w:val="en-US"/>
        </w:rPr>
        <w:fldChar w:fldCharType="begin"/>
      </w:r>
      <w:r>
        <w:rPr>
          <w:lang w:val="en-US"/>
        </w:rPr>
        <w:instrText xml:space="preserve"> REF _Ref446581113 \r \h </w:instrText>
      </w:r>
      <w:r w:rsidR="00E20A24">
        <w:rPr>
          <w:lang w:val="en-US"/>
        </w:rPr>
      </w:r>
      <w:r w:rsidR="00E20A24">
        <w:rPr>
          <w:lang w:val="en-US"/>
        </w:rPr>
        <w:fldChar w:fldCharType="separate"/>
      </w:r>
      <w:r>
        <w:rPr>
          <w:lang w:val="en-US"/>
        </w:rPr>
        <w:t>[2]</w:t>
      </w:r>
      <w:r w:rsidR="00E20A24">
        <w:rPr>
          <w:lang w:val="en-US"/>
        </w:rPr>
        <w:fldChar w:fldCharType="end"/>
      </w:r>
      <w:r>
        <w:rPr>
          <w:lang w:val="en-US"/>
        </w:rPr>
        <w:t xml:space="preserve"> </w:t>
      </w:r>
      <w:r w:rsidRPr="00DF1CB7">
        <w:rPr>
          <w:rFonts w:hint="eastAsia"/>
          <w:lang w:val="en-US"/>
        </w:rPr>
        <w:t xml:space="preserve"> </w:t>
      </w:r>
      <w:r w:rsidRPr="00DF1CB7">
        <w:rPr>
          <w:rFonts w:eastAsia="Malgun Gothic" w:hint="eastAsia"/>
          <w:lang w:val="en-US" w:eastAsia="ko-KR"/>
        </w:rPr>
        <w:t>including</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Malgun Gothic"/>
          <w:sz w:val="20"/>
          <w:szCs w:val="20"/>
          <w:lang w:eastAsia="ko-KR"/>
        </w:rPr>
        <w:t>Enhanced mobile broadband</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Malgun Gothic"/>
          <w:sz w:val="20"/>
          <w:szCs w:val="20"/>
          <w:lang w:eastAsia="ko-KR"/>
        </w:rPr>
        <w:t>Massive machine-type-communication</w:t>
      </w:r>
      <w:r w:rsidRPr="00DF1CB7">
        <w:rPr>
          <w:rFonts w:eastAsia="Malgun Gothic" w:hint="eastAsia"/>
          <w:sz w:val="20"/>
          <w:szCs w:val="20"/>
          <w:lang w:eastAsia="ko-KR"/>
        </w:rPr>
        <w:t>s</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SimSun" w:hint="eastAsia"/>
          <w:sz w:val="20"/>
          <w:szCs w:val="20"/>
          <w:lang w:eastAsia="zh-CN"/>
        </w:rPr>
        <w:t>Ultra reliable and low latency communications</w:t>
      </w:r>
      <w:r w:rsidRPr="00DF1CB7">
        <w:rPr>
          <w:rFonts w:eastAsia="Malgun Gothic"/>
          <w:sz w:val="20"/>
          <w:szCs w:val="20"/>
          <w:lang w:eastAsia="ko-KR"/>
        </w:rPr>
        <w:t xml:space="preserve"> </w:t>
      </w:r>
    </w:p>
    <w:p w:rsidR="00D546BE" w:rsidRDefault="00D546BE" w:rsidP="00D546BE"/>
    <w:p w:rsidR="00D546BE" w:rsidRPr="00D546BE" w:rsidRDefault="00171C01" w:rsidP="00D546BE">
      <w:pPr>
        <w:rPr>
          <w:lang w:val="en-US"/>
        </w:rPr>
      </w:pPr>
      <w:r>
        <w:t>In RAN1#85,</w:t>
      </w:r>
      <w:r w:rsidR="00D546BE">
        <w:rPr>
          <w:b/>
          <w:u w:val="single"/>
          <w:lang w:val="en-US"/>
        </w:rPr>
        <w:t xml:space="preserve"> </w:t>
      </w:r>
      <w:r w:rsidR="00D546BE">
        <w:rPr>
          <w:lang w:val="en-US"/>
        </w:rPr>
        <w:t>the</w:t>
      </w:r>
      <w:r>
        <w:rPr>
          <w:lang w:val="en-US"/>
        </w:rPr>
        <w:t xml:space="preserve"> implicit independency assumption for retrieving the NR system information </w:t>
      </w:r>
      <w:r w:rsidR="00D546BE">
        <w:rPr>
          <w:lang w:val="en-US"/>
        </w:rPr>
        <w:t>was agreed in the following,</w:t>
      </w:r>
    </w:p>
    <w:p w:rsidR="00171C01" w:rsidRPr="001A3D46" w:rsidRDefault="00171C01" w:rsidP="00171C01">
      <w:pPr>
        <w:numPr>
          <w:ilvl w:val="0"/>
          <w:numId w:val="19"/>
        </w:numPr>
        <w:spacing w:after="0"/>
        <w:rPr>
          <w:lang w:val="en-US"/>
        </w:rPr>
      </w:pPr>
      <w:r w:rsidRPr="001A3D46">
        <w:t xml:space="preserve">Essential system information (MIB) should be </w:t>
      </w:r>
      <w:proofErr w:type="spellStart"/>
      <w:r w:rsidRPr="001A3D46">
        <w:t>decodable</w:t>
      </w:r>
      <w:proofErr w:type="spellEnd"/>
      <w:r w:rsidRPr="001A3D46">
        <w:t xml:space="preserve"> based on an identity parameter used for generation of search/synchronization signal (e.g. PSS/SSS)</w:t>
      </w:r>
    </w:p>
    <w:p w:rsidR="00171C01" w:rsidRPr="001A3D46" w:rsidRDefault="00171C01" w:rsidP="00171C01">
      <w:pPr>
        <w:numPr>
          <w:ilvl w:val="1"/>
          <w:numId w:val="19"/>
        </w:numPr>
        <w:spacing w:after="0"/>
        <w:rPr>
          <w:lang w:val="en-US"/>
        </w:rPr>
      </w:pPr>
      <w:r w:rsidRPr="001A3D46">
        <w:t xml:space="preserve">Name of identity parameter TBD (e.g. cell ID, </w:t>
      </w:r>
      <w:proofErr w:type="spellStart"/>
      <w:r w:rsidRPr="001A3D46">
        <w:t>hypercell</w:t>
      </w:r>
      <w:proofErr w:type="spellEnd"/>
      <w:r w:rsidRPr="001A3D46">
        <w:t xml:space="preserve"> ID, system ID)</w:t>
      </w:r>
    </w:p>
    <w:p w:rsidR="00171C01" w:rsidRPr="001A3D46" w:rsidRDefault="00171C01" w:rsidP="00171C01">
      <w:pPr>
        <w:numPr>
          <w:ilvl w:val="1"/>
          <w:numId w:val="19"/>
        </w:numPr>
        <w:spacing w:after="0"/>
        <w:rPr>
          <w:lang w:val="en-US"/>
        </w:rPr>
      </w:pPr>
      <w:r w:rsidRPr="001A3D46">
        <w:t>Other dependencies to this identity parameter are FFS</w:t>
      </w:r>
    </w:p>
    <w:p w:rsidR="00092C85" w:rsidRDefault="00092C85" w:rsidP="00092C85">
      <w:pPr>
        <w:spacing w:after="0"/>
        <w:rPr>
          <w:lang w:val="en-US"/>
        </w:rPr>
      </w:pPr>
    </w:p>
    <w:p w:rsidR="00092C85" w:rsidRDefault="00092C85" w:rsidP="00092C85">
      <w:pPr>
        <w:spacing w:after="0"/>
        <w:rPr>
          <w:lang w:val="en-US"/>
        </w:rPr>
      </w:pPr>
    </w:p>
    <w:p w:rsidR="006D7C76" w:rsidRPr="00092C85" w:rsidRDefault="00092C85" w:rsidP="00092C85">
      <w:pPr>
        <w:spacing w:after="0"/>
        <w:rPr>
          <w:lang w:val="en-US"/>
        </w:rPr>
      </w:pPr>
      <w:r>
        <w:rPr>
          <w:lang w:val="en-US"/>
        </w:rPr>
        <w:t xml:space="preserve">It was agreed that the NR essential system information would be autonomously decoded after the initial search of NR system. </w:t>
      </w:r>
      <w:r w:rsidR="00F742B6">
        <w:rPr>
          <w:lang w:val="en-US"/>
        </w:rPr>
        <w:t xml:space="preserve"> The physical layer </w:t>
      </w:r>
      <w:r w:rsidR="00DC794A">
        <w:rPr>
          <w:lang w:val="en-US"/>
        </w:rPr>
        <w:t>should be capable for UE</w:t>
      </w:r>
      <w:r w:rsidR="00F742B6">
        <w:rPr>
          <w:lang w:val="en-US"/>
        </w:rPr>
        <w:t xml:space="preserve"> autonomous </w:t>
      </w:r>
      <w:r w:rsidR="00004694">
        <w:rPr>
          <w:lang w:val="en-US"/>
        </w:rPr>
        <w:t>system acquisition</w:t>
      </w:r>
      <w:r w:rsidR="00DC794A">
        <w:rPr>
          <w:lang w:val="en-US"/>
        </w:rPr>
        <w:t xml:space="preserve"> for initial access and mobility between TRPs</w:t>
      </w:r>
      <w:r w:rsidR="00004694">
        <w:rPr>
          <w:lang w:val="en-US"/>
        </w:rPr>
        <w:t xml:space="preserve">.  </w:t>
      </w:r>
      <w:r w:rsidR="00E811DF">
        <w:t>This p</w:t>
      </w:r>
      <w:r w:rsidR="00346CC0">
        <w:t xml:space="preserve">aper discusses the </w:t>
      </w:r>
      <w:r>
        <w:t xml:space="preserve">physical layer in the NR system design to support autonomous initial </w:t>
      </w:r>
      <w:r w:rsidR="00325EAA">
        <w:t>access</w:t>
      </w:r>
      <w:r>
        <w:t xml:space="preserve"> and network assisted mobility management procedure</w:t>
      </w:r>
      <w:r w:rsidR="00346CC0">
        <w:t xml:space="preserve">.  </w:t>
      </w:r>
    </w:p>
    <w:p w:rsidR="00693C74" w:rsidRDefault="00CF6971" w:rsidP="00BA7C9E">
      <w:pPr>
        <w:pStyle w:val="1"/>
        <w:rPr>
          <w:lang w:eastAsia="ja-JP"/>
        </w:rPr>
      </w:pPr>
      <w:r>
        <w:rPr>
          <w:lang w:eastAsia="ja-JP"/>
        </w:rPr>
        <w:t xml:space="preserve">Physical Layer Aspects in </w:t>
      </w:r>
      <w:r w:rsidR="00FD26B7">
        <w:rPr>
          <w:lang w:eastAsia="ja-JP"/>
        </w:rPr>
        <w:t>Initial Access Procedures</w:t>
      </w:r>
      <w:r>
        <w:rPr>
          <w:lang w:eastAsia="ja-JP"/>
        </w:rPr>
        <w:t xml:space="preserve"> and Mobility Management</w:t>
      </w:r>
      <w:r w:rsidR="00FD26B7">
        <w:rPr>
          <w:lang w:eastAsia="ja-JP"/>
        </w:rPr>
        <w:t xml:space="preserve"> </w:t>
      </w:r>
    </w:p>
    <w:p w:rsidR="009A45D7" w:rsidRDefault="00DC794A" w:rsidP="007E7857">
      <w:pPr>
        <w:pStyle w:val="maintext"/>
        <w:spacing w:before="0" w:after="0" w:line="240" w:lineRule="auto"/>
        <w:ind w:firstLineChars="0" w:firstLine="0"/>
      </w:pPr>
      <w:r>
        <w:t>The initial access procedure starts with the UE acquiring the NR system DL transmission timing by detection of</w:t>
      </w:r>
      <w:r w:rsidR="007E7857">
        <w:t xml:space="preserve"> the DL synchronization signals</w:t>
      </w:r>
      <w:r>
        <w:t xml:space="preserve">(s). </w:t>
      </w:r>
      <w:r w:rsidR="007E7857">
        <w:t xml:space="preserve"> UE might detect more than one DL synchronization signals.</w:t>
      </w:r>
      <w:r w:rsidR="00CF27E3">
        <w:t xml:space="preserve">  UE will select the timing of the strongest detected synchronization signals as the reference timing and </w:t>
      </w:r>
      <w:r w:rsidR="007E7857">
        <w:t xml:space="preserve">performs </w:t>
      </w:r>
      <w:r w:rsidR="00CF27E3">
        <w:t xml:space="preserve">the </w:t>
      </w:r>
      <w:r w:rsidR="00BF2AD7">
        <w:t>RRM</w:t>
      </w:r>
      <w:r w:rsidR="00CF27E3">
        <w:t xml:space="preserve"> measurements.   </w:t>
      </w:r>
      <w:r w:rsidR="00F41B4C">
        <w:t>The RRM measu</w:t>
      </w:r>
      <w:r w:rsidR="00BF2AD7">
        <w:t xml:space="preserve">rements would be based on the associated </w:t>
      </w:r>
      <w:r w:rsidR="00F41B4C">
        <w:t xml:space="preserve">reference signals, </w:t>
      </w:r>
      <w:r w:rsidR="004403B9">
        <w:t xml:space="preserve">e.g., CRS in LTE.   </w:t>
      </w:r>
      <w:r w:rsidR="00BF2AD7">
        <w:t>The associated</w:t>
      </w:r>
      <w:r w:rsidR="004403B9">
        <w:t xml:space="preserve"> reference signals could </w:t>
      </w:r>
      <w:r w:rsidR="00935590">
        <w:t xml:space="preserve">also </w:t>
      </w:r>
      <w:r w:rsidR="00F41B4C">
        <w:t>include the synchronization signals</w:t>
      </w:r>
      <w:r w:rsidR="004403B9">
        <w:t xml:space="preserve"> similar to discovery reference signal (DRS) in LTE</w:t>
      </w:r>
      <w:r w:rsidR="00B9324D">
        <w:t xml:space="preserve"> Rel-12</w:t>
      </w:r>
      <w:r w:rsidR="004403B9">
        <w:t xml:space="preserve"> small cells</w:t>
      </w:r>
      <w:r w:rsidR="00F41B4C">
        <w:t xml:space="preserve">.  The </w:t>
      </w:r>
      <w:r w:rsidR="00BF2AD7">
        <w:t>associated</w:t>
      </w:r>
      <w:r w:rsidR="00935590">
        <w:t xml:space="preserve"> reference signals are</w:t>
      </w:r>
      <w:r w:rsidR="00F41B4C">
        <w:t xml:space="preserve"> used for channel tracking and channel estimation for NR system information acquisition. </w:t>
      </w:r>
      <w:r w:rsidR="00B9324D">
        <w:t xml:space="preserve"> </w:t>
      </w:r>
      <w:r w:rsidR="00F41B4C">
        <w:t>It was agreed in RAN1#85 that e</w:t>
      </w:r>
      <w:r w:rsidR="00F41B4C" w:rsidRPr="001A3D46">
        <w:rPr>
          <w:rFonts w:eastAsia="MS Mincho"/>
          <w:lang w:eastAsia="ja-JP"/>
        </w:rPr>
        <w:t xml:space="preserve">ssential system information (MIB) should be </w:t>
      </w:r>
      <w:proofErr w:type="spellStart"/>
      <w:r w:rsidR="00F41B4C" w:rsidRPr="001A3D46">
        <w:rPr>
          <w:rFonts w:eastAsia="MS Mincho"/>
          <w:lang w:eastAsia="ja-JP"/>
        </w:rPr>
        <w:t>decodable</w:t>
      </w:r>
      <w:proofErr w:type="spellEnd"/>
      <w:r w:rsidR="00F41B4C" w:rsidRPr="001A3D46">
        <w:rPr>
          <w:rFonts w:eastAsia="MS Mincho"/>
          <w:lang w:eastAsia="ja-JP"/>
        </w:rPr>
        <w:t xml:space="preserve"> based on an identity parameter used for generation of search/synchronization signa</w:t>
      </w:r>
      <w:r w:rsidR="00F41B4C">
        <w:rPr>
          <w:rFonts w:eastAsia="MS Mincho"/>
          <w:lang w:eastAsia="ja-JP"/>
        </w:rPr>
        <w:t>l</w:t>
      </w:r>
      <w:r w:rsidR="00F41B4C">
        <w:t xml:space="preserve">.  The </w:t>
      </w:r>
      <w:r w:rsidR="004403B9">
        <w:t xml:space="preserve">synchronization signal detected by the UE </w:t>
      </w:r>
      <w:r w:rsidR="00935590">
        <w:t>would be</w:t>
      </w:r>
      <w:r w:rsidR="008324B7">
        <w:t xml:space="preserve"> the dependent variable to derive the </w:t>
      </w:r>
      <w:r w:rsidR="004403B9">
        <w:t>identification of</w:t>
      </w:r>
      <w:r w:rsidR="008324B7">
        <w:t xml:space="preserve"> DL transmission point and to retrieve the</w:t>
      </w:r>
      <w:r w:rsidR="009A45D7">
        <w:t xml:space="preserve"> essential</w:t>
      </w:r>
      <w:r w:rsidR="008324B7">
        <w:t xml:space="preserve"> system information</w:t>
      </w:r>
      <w:r w:rsidR="004403B9">
        <w:t>.</w:t>
      </w:r>
      <w:r w:rsidR="00B9324D">
        <w:t xml:space="preserve">  The associated reference signals are also derived from the detected signals.  If both synchronization signals and the associated reference signals are used for channel tracking, channel estimation, and channel measurement, UEs should assume the synchronization signals and the associated reference signals are quasi-co-located (</w:t>
      </w:r>
      <w:proofErr w:type="spellStart"/>
      <w:r w:rsidR="00B9324D">
        <w:t>QCL’d</w:t>
      </w:r>
      <w:proofErr w:type="spellEnd"/>
      <w:r w:rsidR="00B9324D">
        <w:t>)</w:t>
      </w:r>
    </w:p>
    <w:p w:rsidR="009A45D7" w:rsidRDefault="009A45D7" w:rsidP="007E7857">
      <w:pPr>
        <w:pStyle w:val="maintext"/>
        <w:spacing w:before="0" w:after="0" w:line="240" w:lineRule="auto"/>
        <w:ind w:firstLineChars="0" w:firstLine="0"/>
      </w:pPr>
    </w:p>
    <w:p w:rsidR="007E7857" w:rsidRDefault="009A45D7" w:rsidP="007E7857">
      <w:pPr>
        <w:pStyle w:val="maintext"/>
        <w:spacing w:before="0" w:after="0" w:line="240" w:lineRule="auto"/>
        <w:ind w:firstLineChars="0" w:firstLine="0"/>
      </w:pPr>
      <w:r>
        <w:rPr>
          <w:b/>
        </w:rPr>
        <w:t xml:space="preserve">Proposal 1: The NR synchronization signal design should support UE autonomous system acquisition and be used for the identity parameters for deriving the essential system information.  </w:t>
      </w:r>
      <w:r w:rsidR="004403B9">
        <w:t xml:space="preserve"> </w:t>
      </w:r>
    </w:p>
    <w:p w:rsidR="00F41B4C" w:rsidRDefault="00F41B4C" w:rsidP="007E7857">
      <w:pPr>
        <w:pStyle w:val="maintext"/>
        <w:spacing w:before="0" w:after="0" w:line="240" w:lineRule="auto"/>
        <w:ind w:firstLineChars="0" w:firstLine="0"/>
      </w:pPr>
    </w:p>
    <w:p w:rsidR="00E20A24" w:rsidRDefault="00A85860" w:rsidP="007E7857">
      <w:pPr>
        <w:pStyle w:val="maintext"/>
        <w:spacing w:before="0" w:after="0" w:line="240" w:lineRule="auto"/>
        <w:ind w:firstLineChars="0" w:firstLine="0"/>
        <w:rPr>
          <w:b/>
          <w:lang w:val="en-US"/>
        </w:rPr>
      </w:pPr>
      <w:r w:rsidRPr="00A85860">
        <w:rPr>
          <w:b/>
        </w:rPr>
        <w:lastRenderedPageBreak/>
        <w:t xml:space="preserve">Proposal 2: </w:t>
      </w:r>
      <w:r w:rsidR="00DC794A" w:rsidRPr="00A85860">
        <w:rPr>
          <w:b/>
        </w:rPr>
        <w:t>The</w:t>
      </w:r>
      <w:r w:rsidR="007E7857" w:rsidRPr="00A85860">
        <w:rPr>
          <w:b/>
        </w:rPr>
        <w:t xml:space="preserve"> functions of </w:t>
      </w:r>
      <w:r w:rsidR="00DC794A" w:rsidRPr="00A85860">
        <w:rPr>
          <w:b/>
        </w:rPr>
        <w:t xml:space="preserve"> </w:t>
      </w:r>
      <w:r w:rsidR="00010FCA" w:rsidRPr="00A85860">
        <w:rPr>
          <w:b/>
        </w:rPr>
        <w:t>DL synchroniza</w:t>
      </w:r>
      <w:r w:rsidR="007E7857" w:rsidRPr="00A85860">
        <w:rPr>
          <w:b/>
        </w:rPr>
        <w:t xml:space="preserve">tion signals(s) in the NR system design includes the UE </w:t>
      </w:r>
      <w:r w:rsidR="0028207F" w:rsidRPr="00A85860">
        <w:rPr>
          <w:b/>
          <w:lang w:val="en-US"/>
        </w:rPr>
        <w:t>Initial signal</w:t>
      </w:r>
      <w:r w:rsidR="007E7857" w:rsidRPr="00A85860">
        <w:rPr>
          <w:b/>
          <w:lang w:val="en-US"/>
        </w:rPr>
        <w:t xml:space="preserve"> detection and timing acquisition, c</w:t>
      </w:r>
      <w:r w:rsidR="0028207F" w:rsidRPr="00A85860">
        <w:rPr>
          <w:b/>
          <w:lang w:val="en-US"/>
        </w:rPr>
        <w:t>hannel tracking and channel estimation</w:t>
      </w:r>
      <w:r w:rsidR="007E7857" w:rsidRPr="00A85860">
        <w:rPr>
          <w:b/>
          <w:lang w:val="en-US"/>
        </w:rPr>
        <w:t xml:space="preserve">, and channel measurement for </w:t>
      </w:r>
      <w:r w:rsidR="009A45D7" w:rsidRPr="00A85860">
        <w:rPr>
          <w:b/>
          <w:lang w:val="en-US"/>
        </w:rPr>
        <w:t xml:space="preserve">link adaptation, RRM,  and RLM.   </w:t>
      </w:r>
    </w:p>
    <w:p w:rsidR="00B9324D" w:rsidRDefault="00B9324D" w:rsidP="007E7857">
      <w:pPr>
        <w:pStyle w:val="maintext"/>
        <w:spacing w:before="0" w:after="0" w:line="240" w:lineRule="auto"/>
        <w:ind w:firstLineChars="0" w:firstLine="0"/>
        <w:rPr>
          <w:b/>
          <w:lang w:val="en-US"/>
        </w:rPr>
      </w:pPr>
    </w:p>
    <w:p w:rsidR="00B9324D" w:rsidRPr="00B9324D" w:rsidRDefault="00B9324D" w:rsidP="007E7857">
      <w:pPr>
        <w:pStyle w:val="maintext"/>
        <w:spacing w:before="0" w:after="0" w:line="240" w:lineRule="auto"/>
        <w:ind w:firstLineChars="0" w:firstLine="0"/>
        <w:rPr>
          <w:b/>
        </w:rPr>
      </w:pPr>
      <w:r>
        <w:rPr>
          <w:b/>
          <w:lang w:val="en-US"/>
        </w:rPr>
        <w:t xml:space="preserve">Proposal 3: </w:t>
      </w:r>
      <w:r w:rsidRPr="00B9324D">
        <w:rPr>
          <w:b/>
          <w:lang w:val="en-US"/>
        </w:rPr>
        <w:t>UEs should assume the synchronization signals and the associated reference signals are quasi-co-located (</w:t>
      </w:r>
      <w:proofErr w:type="spellStart"/>
      <w:r w:rsidRPr="00B9324D">
        <w:rPr>
          <w:b/>
          <w:lang w:val="en-US"/>
        </w:rPr>
        <w:t>QCL’d</w:t>
      </w:r>
      <w:proofErr w:type="spellEnd"/>
      <w:r w:rsidRPr="00B9324D">
        <w:rPr>
          <w:b/>
          <w:lang w:val="en-US"/>
        </w:rPr>
        <w:t>)</w:t>
      </w:r>
    </w:p>
    <w:p w:rsidR="00A85860" w:rsidRDefault="00A85860" w:rsidP="00A85860">
      <w:pPr>
        <w:pStyle w:val="maintext"/>
        <w:spacing w:before="0" w:after="0" w:line="240" w:lineRule="auto"/>
        <w:ind w:firstLineChars="0" w:firstLine="0"/>
        <w:rPr>
          <w:lang w:val="en-US"/>
        </w:rPr>
      </w:pPr>
    </w:p>
    <w:p w:rsidR="004E453A" w:rsidRDefault="00A85860" w:rsidP="00B9324D">
      <w:pPr>
        <w:pStyle w:val="maintext"/>
        <w:spacing w:before="0" w:after="0" w:line="240" w:lineRule="auto"/>
        <w:ind w:firstLineChars="0" w:firstLine="0"/>
        <w:rPr>
          <w:lang w:val="en-US"/>
        </w:rPr>
      </w:pPr>
      <w:r>
        <w:rPr>
          <w:lang w:val="en-US"/>
        </w:rPr>
        <w:t xml:space="preserve">The synchronization signals and associated reference signals for channel measurements need to support diverse range of the system bandwidth.  In LTE, the system bandwidth was from 1.4 MHz to 20 </w:t>
      </w:r>
      <w:proofErr w:type="spellStart"/>
      <w:r>
        <w:rPr>
          <w:lang w:val="en-US"/>
        </w:rPr>
        <w:t>MHz.</w:t>
      </w:r>
      <w:proofErr w:type="spellEnd"/>
      <w:r>
        <w:rPr>
          <w:lang w:val="en-US"/>
        </w:rPr>
        <w:t xml:space="preserve">   The synchronization signal and CRS in LTE was designed based on 1.4 MHz system bandwidth.   With additional </w:t>
      </w:r>
      <w:proofErr w:type="spellStart"/>
      <w:r>
        <w:rPr>
          <w:lang w:val="en-US"/>
        </w:rPr>
        <w:t>eMTC</w:t>
      </w:r>
      <w:proofErr w:type="spellEnd"/>
      <w:r>
        <w:rPr>
          <w:lang w:val="en-US"/>
        </w:rPr>
        <w:t xml:space="preserve"> and NB </w:t>
      </w:r>
      <w:proofErr w:type="spellStart"/>
      <w:r>
        <w:rPr>
          <w:lang w:val="en-US"/>
        </w:rPr>
        <w:t>IoT</w:t>
      </w:r>
      <w:proofErr w:type="spellEnd"/>
      <w:r>
        <w:rPr>
          <w:lang w:val="en-US"/>
        </w:rPr>
        <w:t xml:space="preserve"> features, the system bandwidth supported by LTE span down to 180 KHz and up to 20 </w:t>
      </w:r>
      <w:proofErr w:type="spellStart"/>
      <w:r>
        <w:rPr>
          <w:lang w:val="en-US"/>
        </w:rPr>
        <w:t>MHz.</w:t>
      </w:r>
      <w:proofErr w:type="spellEnd"/>
      <w:r>
        <w:rPr>
          <w:lang w:val="en-US"/>
        </w:rPr>
        <w:t xml:space="preserve">   Additional synchronization signal type was added for the initial acquisition of the NB </w:t>
      </w:r>
      <w:proofErr w:type="spellStart"/>
      <w:r>
        <w:rPr>
          <w:lang w:val="en-US"/>
        </w:rPr>
        <w:t>IoT</w:t>
      </w:r>
      <w:proofErr w:type="spellEnd"/>
      <w:r>
        <w:rPr>
          <w:lang w:val="en-US"/>
        </w:rPr>
        <w:t xml:space="preserve"> system embedded within LTE carrier. </w:t>
      </w:r>
      <w:r w:rsidR="004E453A">
        <w:rPr>
          <w:lang w:val="en-US"/>
        </w:rPr>
        <w:t xml:space="preserve"> It was agreed in RAN1#84bis that the maximum system BW should be at least 80 </w:t>
      </w:r>
      <w:proofErr w:type="spellStart"/>
      <w:r w:rsidR="004E453A">
        <w:rPr>
          <w:lang w:val="en-US"/>
        </w:rPr>
        <w:t>MHz.</w:t>
      </w:r>
      <w:proofErr w:type="spellEnd"/>
      <w:r w:rsidR="004E453A">
        <w:rPr>
          <w:lang w:val="en-US"/>
        </w:rPr>
        <w:t xml:space="preserve">    The expected system bandwidth supported could be from 180 KHz to more than 80 </w:t>
      </w:r>
      <w:proofErr w:type="spellStart"/>
      <w:r w:rsidR="004E453A">
        <w:rPr>
          <w:lang w:val="en-US"/>
        </w:rPr>
        <w:t>MHz.</w:t>
      </w:r>
      <w:proofErr w:type="spellEnd"/>
      <w:r w:rsidR="004E453A">
        <w:rPr>
          <w:lang w:val="en-US"/>
        </w:rPr>
        <w:t xml:space="preserve">   In RAN1#85, it was agreed that NR should support flexible operating bandwidth as follows,  </w:t>
      </w:r>
    </w:p>
    <w:p w:rsidR="00B9324D" w:rsidRPr="00B9324D" w:rsidRDefault="00B9324D" w:rsidP="00B9324D">
      <w:pPr>
        <w:pStyle w:val="maintext"/>
        <w:spacing w:before="0" w:after="0" w:line="240" w:lineRule="auto"/>
        <w:ind w:firstLineChars="0" w:firstLine="0"/>
        <w:rPr>
          <w:lang w:val="en-US"/>
        </w:rPr>
      </w:pPr>
    </w:p>
    <w:p w:rsidR="004E453A" w:rsidRPr="004E453A" w:rsidRDefault="004E453A" w:rsidP="004E453A">
      <w:pPr>
        <w:pStyle w:val="afa"/>
        <w:numPr>
          <w:ilvl w:val="0"/>
          <w:numId w:val="28"/>
        </w:numPr>
        <w:rPr>
          <w:rFonts w:eastAsia="MS Mincho"/>
          <w:sz w:val="20"/>
          <w:szCs w:val="20"/>
        </w:rPr>
      </w:pPr>
      <w:r w:rsidRPr="004E453A">
        <w:rPr>
          <w:rFonts w:eastAsia="MS Mincho" w:hint="eastAsia"/>
          <w:sz w:val="20"/>
          <w:szCs w:val="20"/>
        </w:rPr>
        <w:t xml:space="preserve">NR </w:t>
      </w:r>
      <w:r w:rsidRPr="004E453A">
        <w:rPr>
          <w:rFonts w:eastAsia="MS Mincho"/>
          <w:sz w:val="20"/>
          <w:szCs w:val="20"/>
        </w:rPr>
        <w:t>should</w:t>
      </w:r>
      <w:r w:rsidRPr="004E453A">
        <w:rPr>
          <w:rFonts w:eastAsia="MS Mincho" w:hint="eastAsia"/>
          <w:sz w:val="20"/>
          <w:szCs w:val="20"/>
        </w:rPr>
        <w:t xml:space="preserve"> support of flexible NW and UE channel bandwidth</w:t>
      </w:r>
    </w:p>
    <w:p w:rsidR="004E453A" w:rsidRPr="004E453A" w:rsidRDefault="004E453A" w:rsidP="004E453A">
      <w:pPr>
        <w:pStyle w:val="afa"/>
        <w:numPr>
          <w:ilvl w:val="0"/>
          <w:numId w:val="28"/>
        </w:numPr>
        <w:rPr>
          <w:rFonts w:eastAsia="MS Mincho"/>
          <w:sz w:val="20"/>
          <w:szCs w:val="20"/>
        </w:rPr>
      </w:pPr>
      <w:r w:rsidRPr="004E453A">
        <w:rPr>
          <w:rFonts w:eastAsia="MS Mincho" w:hint="eastAsia"/>
          <w:sz w:val="20"/>
          <w:szCs w:val="20"/>
        </w:rPr>
        <w:t xml:space="preserve">FFS: </w:t>
      </w:r>
      <w:r w:rsidRPr="004E453A">
        <w:rPr>
          <w:sz w:val="20"/>
          <w:szCs w:val="20"/>
        </w:rPr>
        <w:t xml:space="preserve">NR </w:t>
      </w:r>
      <w:r w:rsidRPr="004E453A">
        <w:rPr>
          <w:rFonts w:eastAsia="MS Mincho" w:hint="eastAsia"/>
          <w:sz w:val="20"/>
          <w:szCs w:val="20"/>
        </w:rPr>
        <w:t>carrier</w:t>
      </w:r>
      <w:r w:rsidRPr="004E453A">
        <w:rPr>
          <w:sz w:val="20"/>
          <w:szCs w:val="20"/>
        </w:rPr>
        <w:t xml:space="preserve"> bandwidth should </w:t>
      </w:r>
      <w:r w:rsidRPr="004E453A">
        <w:rPr>
          <w:rFonts w:eastAsia="MS Mincho" w:hint="eastAsia"/>
          <w:sz w:val="20"/>
          <w:szCs w:val="20"/>
        </w:rPr>
        <w:t xml:space="preserve">consider </w:t>
      </w:r>
      <w:r w:rsidRPr="004E453A">
        <w:rPr>
          <w:sz w:val="20"/>
          <w:szCs w:val="20"/>
        </w:rPr>
        <w:t>to allow efficient unlicensed spectrum access</w:t>
      </w:r>
    </w:p>
    <w:p w:rsidR="004E453A" w:rsidRPr="004E453A" w:rsidRDefault="004E453A" w:rsidP="004E453A">
      <w:pPr>
        <w:pStyle w:val="afa"/>
        <w:numPr>
          <w:ilvl w:val="0"/>
          <w:numId w:val="28"/>
        </w:numPr>
        <w:rPr>
          <w:rFonts w:eastAsia="MS Mincho"/>
          <w:sz w:val="20"/>
          <w:szCs w:val="20"/>
        </w:rPr>
      </w:pPr>
      <w:r w:rsidRPr="004E453A">
        <w:rPr>
          <w:rFonts w:eastAsia="MS Mincho"/>
          <w:sz w:val="20"/>
          <w:szCs w:val="20"/>
        </w:rPr>
        <w:t xml:space="preserve">The NR physical-layer design should allow for </w:t>
      </w:r>
      <w:r w:rsidRPr="004E453A">
        <w:rPr>
          <w:rFonts w:eastAsia="MS Mincho" w:hint="eastAsia"/>
          <w:sz w:val="20"/>
          <w:szCs w:val="20"/>
        </w:rPr>
        <w:t xml:space="preserve">fine </w:t>
      </w:r>
      <w:r w:rsidRPr="004E453A">
        <w:rPr>
          <w:rFonts w:eastAsia="MS Mincho"/>
          <w:sz w:val="20"/>
          <w:szCs w:val="20"/>
        </w:rPr>
        <w:t>granularity</w:t>
      </w:r>
      <w:r w:rsidRPr="004E453A">
        <w:rPr>
          <w:rFonts w:eastAsia="MS Mincho" w:hint="eastAsia"/>
          <w:sz w:val="20"/>
          <w:szCs w:val="20"/>
        </w:rPr>
        <w:t xml:space="preserve"> in terms of NR</w:t>
      </w:r>
      <w:r w:rsidRPr="004E453A">
        <w:rPr>
          <w:rFonts w:eastAsia="MS Mincho"/>
          <w:sz w:val="20"/>
          <w:szCs w:val="20"/>
        </w:rPr>
        <w:t xml:space="preserve"> carrier bandwidth </w:t>
      </w:r>
    </w:p>
    <w:p w:rsidR="004E453A" w:rsidRPr="004E453A" w:rsidRDefault="004E453A" w:rsidP="004E453A">
      <w:pPr>
        <w:pStyle w:val="afa"/>
        <w:numPr>
          <w:ilvl w:val="0"/>
          <w:numId w:val="28"/>
        </w:numPr>
        <w:rPr>
          <w:rFonts w:eastAsia="MS Mincho"/>
          <w:sz w:val="20"/>
          <w:szCs w:val="20"/>
        </w:rPr>
      </w:pPr>
      <w:r w:rsidRPr="004E453A">
        <w:rPr>
          <w:rFonts w:eastAsia="MS Mincho"/>
          <w:sz w:val="20"/>
          <w:szCs w:val="20"/>
        </w:rPr>
        <w:t xml:space="preserve">The NR physical-layer design should be such that devices with different bandwidth capabilities </w:t>
      </w:r>
      <w:r w:rsidRPr="004E453A">
        <w:rPr>
          <w:rFonts w:eastAsia="MS Mincho" w:hint="eastAsia"/>
          <w:sz w:val="20"/>
          <w:szCs w:val="20"/>
        </w:rPr>
        <w:t>can</w:t>
      </w:r>
      <w:r w:rsidRPr="004E453A">
        <w:rPr>
          <w:rFonts w:eastAsia="MS Mincho"/>
          <w:sz w:val="20"/>
          <w:szCs w:val="20"/>
        </w:rPr>
        <w:t xml:space="preserve"> efficiently access the same </w:t>
      </w:r>
      <w:r w:rsidRPr="004E453A">
        <w:rPr>
          <w:rFonts w:eastAsia="MS Mincho" w:hint="eastAsia"/>
          <w:sz w:val="20"/>
          <w:szCs w:val="20"/>
        </w:rPr>
        <w:t>NR</w:t>
      </w:r>
      <w:r w:rsidRPr="004E453A">
        <w:rPr>
          <w:rFonts w:eastAsia="MS Mincho"/>
          <w:sz w:val="20"/>
          <w:szCs w:val="20"/>
        </w:rPr>
        <w:t xml:space="preserve"> carrier</w:t>
      </w:r>
      <w:r w:rsidRPr="004E453A">
        <w:rPr>
          <w:rFonts w:eastAsia="MS Mincho" w:hint="eastAsia"/>
          <w:sz w:val="20"/>
          <w:szCs w:val="20"/>
        </w:rPr>
        <w:t xml:space="preserve"> regardless of the NR carrier bandwidth</w:t>
      </w:r>
    </w:p>
    <w:p w:rsidR="004E453A" w:rsidRPr="004E453A" w:rsidRDefault="004E453A" w:rsidP="004E453A">
      <w:pPr>
        <w:pStyle w:val="afa"/>
        <w:numPr>
          <w:ilvl w:val="1"/>
          <w:numId w:val="28"/>
        </w:numPr>
        <w:rPr>
          <w:rFonts w:eastAsia="MS Mincho"/>
          <w:sz w:val="20"/>
          <w:szCs w:val="20"/>
        </w:rPr>
      </w:pPr>
      <w:r w:rsidRPr="004E453A">
        <w:rPr>
          <w:rFonts w:eastAsia="MS Mincho" w:hint="eastAsia"/>
          <w:sz w:val="20"/>
          <w:szCs w:val="20"/>
        </w:rPr>
        <w:t>FFS: minimum bandwidth</w:t>
      </w:r>
    </w:p>
    <w:p w:rsidR="004E453A" w:rsidRPr="004E453A" w:rsidRDefault="004E453A" w:rsidP="004E453A">
      <w:pPr>
        <w:pStyle w:val="afa"/>
        <w:numPr>
          <w:ilvl w:val="0"/>
          <w:numId w:val="28"/>
        </w:numPr>
        <w:rPr>
          <w:rFonts w:eastAsia="MS Mincho"/>
          <w:sz w:val="20"/>
          <w:szCs w:val="20"/>
        </w:rPr>
      </w:pPr>
      <w:r w:rsidRPr="004E453A">
        <w:rPr>
          <w:rFonts w:eastAsia="MS Mincho" w:hint="eastAsia"/>
          <w:sz w:val="20"/>
          <w:szCs w:val="20"/>
        </w:rPr>
        <w:t xml:space="preserve">FFS: </w:t>
      </w:r>
      <w:r w:rsidRPr="004E453A">
        <w:rPr>
          <w:rFonts w:eastAsia="MS Mincho"/>
          <w:sz w:val="20"/>
          <w:szCs w:val="20"/>
        </w:rPr>
        <w:t>There should not be an assumption that devices necessarily support the same set of bandwidths for transmission and reception</w:t>
      </w:r>
    </w:p>
    <w:p w:rsidR="004E453A" w:rsidRPr="004E453A" w:rsidRDefault="004E453A" w:rsidP="004E453A">
      <w:pPr>
        <w:pStyle w:val="afa"/>
        <w:numPr>
          <w:ilvl w:val="0"/>
          <w:numId w:val="28"/>
        </w:numPr>
        <w:rPr>
          <w:rFonts w:eastAsia="MS Mincho"/>
          <w:sz w:val="20"/>
          <w:szCs w:val="20"/>
        </w:rPr>
      </w:pPr>
      <w:r w:rsidRPr="004E453A">
        <w:rPr>
          <w:rFonts w:eastAsia="MS Mincho" w:hint="eastAsia"/>
          <w:sz w:val="20"/>
          <w:szCs w:val="20"/>
        </w:rPr>
        <w:t xml:space="preserve">FFS: </w:t>
      </w:r>
      <w:r w:rsidRPr="004E453A">
        <w:rPr>
          <w:rFonts w:eastAsia="MS Mincho"/>
          <w:sz w:val="20"/>
          <w:szCs w:val="20"/>
        </w:rPr>
        <w:t>There should not be an assumption that the network carrier bandwidth is necessarily the same for downlink and uplink</w:t>
      </w:r>
    </w:p>
    <w:p w:rsidR="007E7857" w:rsidRDefault="007E7857" w:rsidP="00CF6971">
      <w:pPr>
        <w:pStyle w:val="maintext"/>
        <w:spacing w:before="0" w:after="0" w:line="240" w:lineRule="auto"/>
        <w:ind w:firstLineChars="100"/>
        <w:rPr>
          <w:lang w:val="en-US"/>
        </w:rPr>
      </w:pPr>
    </w:p>
    <w:p w:rsidR="00CF6971" w:rsidRPr="00CF6971" w:rsidRDefault="00CF6971" w:rsidP="00CF6971">
      <w:pPr>
        <w:pStyle w:val="maintext"/>
        <w:spacing w:before="0" w:after="0" w:line="240" w:lineRule="auto"/>
        <w:ind w:firstLineChars="0" w:firstLine="0"/>
        <w:rPr>
          <w:b/>
          <w:lang w:val="en-US"/>
        </w:rPr>
      </w:pPr>
      <w:r w:rsidRPr="00CF6971">
        <w:rPr>
          <w:b/>
          <w:lang w:val="en-US"/>
        </w:rPr>
        <w:t xml:space="preserve">Proposal 4: The synchronization signal in the NR system needs to support not only the wide range of the system bandwidth but also flexible channel bandwidth.  </w:t>
      </w:r>
    </w:p>
    <w:p w:rsidR="00CF6971" w:rsidRDefault="00CF6971" w:rsidP="00CF6971">
      <w:pPr>
        <w:pStyle w:val="maintext"/>
        <w:spacing w:before="0" w:after="0" w:line="240" w:lineRule="auto"/>
        <w:ind w:firstLineChars="100"/>
        <w:rPr>
          <w:lang w:val="en-US"/>
        </w:rPr>
      </w:pPr>
    </w:p>
    <w:p w:rsidR="00CF6971" w:rsidRDefault="00CF6971" w:rsidP="00CF6971">
      <w:pPr>
        <w:pStyle w:val="maintext"/>
        <w:spacing w:before="0" w:after="0" w:line="240" w:lineRule="auto"/>
        <w:ind w:firstLineChars="100"/>
        <w:rPr>
          <w:lang w:val="en-US"/>
        </w:rPr>
      </w:pPr>
    </w:p>
    <w:p w:rsidR="009A45D7" w:rsidRPr="00CF6971" w:rsidRDefault="00CF6971" w:rsidP="00CF6971">
      <w:pPr>
        <w:pStyle w:val="maintext"/>
        <w:spacing w:before="0"/>
        <w:ind w:firstLineChars="0" w:firstLine="0"/>
        <w:rPr>
          <w:lang w:val="en-US"/>
        </w:rPr>
      </w:pPr>
      <w:r>
        <w:rPr>
          <w:lang w:val="en-US"/>
        </w:rPr>
        <w:t xml:space="preserve">In RAN1#85, it was agreed that NR system should support multiplexing different numerologies within a same NR carrier bandwidth as follows,  </w:t>
      </w:r>
      <w:r w:rsidR="0028207F" w:rsidRPr="007E7857">
        <w:rPr>
          <w:lang w:val="en-US"/>
        </w:rPr>
        <w:t xml:space="preserve"> </w:t>
      </w:r>
    </w:p>
    <w:p w:rsidR="009A45D7" w:rsidRPr="007435D0" w:rsidRDefault="009A45D7" w:rsidP="009A45D7">
      <w:pPr>
        <w:numPr>
          <w:ilvl w:val="0"/>
          <w:numId w:val="19"/>
        </w:numPr>
        <w:spacing w:after="0"/>
        <w:rPr>
          <w:lang w:val="en-US"/>
        </w:rPr>
      </w:pPr>
      <w:r w:rsidRPr="007435D0">
        <w:rPr>
          <w:lang w:val="en-US"/>
        </w:rPr>
        <w:t>Forward compatibility of NR shall ensure smooth introduction of future services and features with no impact on the access of earlier services and UEs</w:t>
      </w:r>
    </w:p>
    <w:p w:rsidR="009A45D7" w:rsidRDefault="009A45D7" w:rsidP="009A45D7">
      <w:pPr>
        <w:numPr>
          <w:ilvl w:val="1"/>
          <w:numId w:val="19"/>
        </w:numPr>
        <w:spacing w:after="0"/>
        <w:rPr>
          <w:lang w:val="en-US"/>
        </w:rPr>
      </w:pPr>
      <w:r w:rsidRPr="007435D0">
        <w:rPr>
          <w:lang w:val="en-US"/>
        </w:rPr>
        <w:t>Multiplexing different numerologies within a same NR carrier</w:t>
      </w:r>
      <w:r w:rsidRPr="0042500D">
        <w:rPr>
          <w:rFonts w:ascii="Century" w:hAnsi="Calibri"/>
          <w:color w:val="FF0000"/>
          <w:kern w:val="24"/>
          <w:sz w:val="40"/>
          <w:szCs w:val="40"/>
        </w:rPr>
        <w:t xml:space="preserve"> </w:t>
      </w:r>
      <w:r w:rsidRPr="004A5AFF">
        <w:t xml:space="preserve">bandwidth </w:t>
      </w:r>
      <w:r w:rsidRPr="007435D0">
        <w:rPr>
          <w:lang w:val="en-US"/>
        </w:rPr>
        <w:t>(from the network perspective)</w:t>
      </w:r>
      <w:r>
        <w:rPr>
          <w:lang w:val="en-US"/>
        </w:rPr>
        <w:t xml:space="preserve"> </w:t>
      </w:r>
      <w:r>
        <w:rPr>
          <w:rFonts w:hint="eastAsia"/>
          <w:lang w:val="en-US"/>
        </w:rPr>
        <w:t>is supported</w:t>
      </w:r>
    </w:p>
    <w:p w:rsidR="009A45D7" w:rsidRPr="005320AB" w:rsidRDefault="009A45D7" w:rsidP="009A45D7">
      <w:pPr>
        <w:numPr>
          <w:ilvl w:val="2"/>
          <w:numId w:val="19"/>
        </w:numPr>
        <w:spacing w:after="0"/>
        <w:rPr>
          <w:lang w:val="en-US"/>
        </w:rPr>
      </w:pPr>
      <w:r>
        <w:rPr>
          <w:rFonts w:hint="eastAsia"/>
          <w:lang w:val="en-US"/>
        </w:rPr>
        <w:t>FDM and/or TDM multiplexing can be considered</w:t>
      </w:r>
    </w:p>
    <w:p w:rsidR="009A45D7" w:rsidRPr="00CF6971" w:rsidRDefault="00CF6971" w:rsidP="009A45D7">
      <w:pPr>
        <w:rPr>
          <w:lang w:val="en-US"/>
        </w:rPr>
      </w:pPr>
      <w:r>
        <w:rPr>
          <w:lang w:val="en-US"/>
        </w:rPr>
        <w:t>AND</w:t>
      </w:r>
    </w:p>
    <w:p w:rsidR="009A45D7" w:rsidRPr="008C1930" w:rsidRDefault="009A45D7" w:rsidP="009A45D7">
      <w:pPr>
        <w:numPr>
          <w:ilvl w:val="0"/>
          <w:numId w:val="26"/>
        </w:numPr>
        <w:spacing w:after="0"/>
        <w:rPr>
          <w:lang w:val="en-US"/>
        </w:rPr>
      </w:pPr>
      <w:r w:rsidRPr="008C1930">
        <w:rPr>
          <w:lang w:val="en-US"/>
        </w:rPr>
        <w:t>For a NR carrier (from network perspective) using multiple numerologies, at least the following</w:t>
      </w:r>
      <w:r>
        <w:rPr>
          <w:rFonts w:hint="eastAsia"/>
          <w:lang w:val="en-US"/>
        </w:rPr>
        <w:t xml:space="preserve"> is for further study</w:t>
      </w:r>
    </w:p>
    <w:p w:rsidR="009A45D7" w:rsidRPr="008C1930" w:rsidRDefault="009A45D7" w:rsidP="009A45D7">
      <w:pPr>
        <w:numPr>
          <w:ilvl w:val="1"/>
          <w:numId w:val="26"/>
        </w:numPr>
        <w:spacing w:after="0"/>
        <w:rPr>
          <w:lang w:val="en-US"/>
        </w:rPr>
      </w:pPr>
      <w:r w:rsidRPr="008C1930">
        <w:rPr>
          <w:lang w:val="en-US"/>
        </w:rPr>
        <w:t>multiple frequency</w:t>
      </w:r>
      <w:r>
        <w:rPr>
          <w:rFonts w:hint="eastAsia"/>
          <w:lang w:val="en-US"/>
        </w:rPr>
        <w:t>/time</w:t>
      </w:r>
      <w:r w:rsidRPr="008C1930">
        <w:rPr>
          <w:lang w:val="en-US"/>
        </w:rPr>
        <w:t xml:space="preserve"> portions using different numerologies share a synchronization signal</w:t>
      </w:r>
    </w:p>
    <w:p w:rsidR="009A45D7" w:rsidRPr="008C1930" w:rsidRDefault="009A45D7" w:rsidP="009A45D7">
      <w:pPr>
        <w:numPr>
          <w:ilvl w:val="2"/>
          <w:numId w:val="26"/>
        </w:numPr>
        <w:spacing w:after="0"/>
        <w:rPr>
          <w:lang w:val="en-US"/>
        </w:rPr>
      </w:pPr>
      <w:r w:rsidRPr="008C1930">
        <w:rPr>
          <w:lang w:val="en-US"/>
        </w:rPr>
        <w:t>Note: The synchronization signal refers to the signal itself and the time-frequency resource used to transmit the synchronization signal</w:t>
      </w:r>
    </w:p>
    <w:p w:rsidR="009A45D7" w:rsidRPr="007E7857" w:rsidRDefault="009A45D7" w:rsidP="007E7857">
      <w:pPr>
        <w:pStyle w:val="maintext"/>
        <w:spacing w:before="0" w:after="0" w:line="240" w:lineRule="auto"/>
        <w:ind w:firstLine="400"/>
        <w:rPr>
          <w:lang w:val="en-US"/>
        </w:rPr>
      </w:pPr>
    </w:p>
    <w:p w:rsidR="007E7857" w:rsidRDefault="007E7857" w:rsidP="00DC794A">
      <w:pPr>
        <w:pStyle w:val="maintext"/>
        <w:spacing w:before="0" w:after="0" w:line="240" w:lineRule="auto"/>
        <w:ind w:firstLine="400"/>
      </w:pPr>
    </w:p>
    <w:p w:rsidR="00FD26B7" w:rsidRDefault="00CF6971" w:rsidP="00086ACB">
      <w:pPr>
        <w:rPr>
          <w:bCs/>
        </w:rPr>
      </w:pPr>
      <w:r>
        <w:rPr>
          <w:bCs/>
        </w:rPr>
        <w:t xml:space="preserve">The NR synchronization signal and the decoded essential system information should be designed to support multiplexing of different numerologies within a NR carrier.  </w:t>
      </w:r>
      <w:r w:rsidR="004F79D6">
        <w:rPr>
          <w:bCs/>
        </w:rPr>
        <w:t xml:space="preserve">The purpose of multiplexing different numerologies within a NR carrier is to support UE with different types of radio channels.  For example, the large subcarrier spacing could be considered for users in the high speed train to mitigate the effect of large frequency offset.   </w:t>
      </w:r>
      <w:r>
        <w:rPr>
          <w:bCs/>
        </w:rPr>
        <w:t xml:space="preserve">The synchronization signals and the associated reference signals need to </w:t>
      </w:r>
      <w:r w:rsidR="004F79D6">
        <w:rPr>
          <w:bCs/>
        </w:rPr>
        <w:t xml:space="preserve">support autonomous detection of sub-band operating in different numerology.   </w:t>
      </w:r>
    </w:p>
    <w:p w:rsidR="004F79D6" w:rsidRPr="004F79D6" w:rsidRDefault="004F79D6" w:rsidP="00086ACB">
      <w:pPr>
        <w:rPr>
          <w:b/>
          <w:bCs/>
        </w:rPr>
      </w:pPr>
      <w:r>
        <w:rPr>
          <w:b/>
          <w:bCs/>
        </w:rPr>
        <w:t xml:space="preserve">Proposal 5:  </w:t>
      </w:r>
      <w:r w:rsidRPr="004F79D6">
        <w:rPr>
          <w:b/>
          <w:bCs/>
        </w:rPr>
        <w:t>The synchronization signals and the associated reference signals need to support autonomous det</w:t>
      </w:r>
      <w:r w:rsidR="005B2B85">
        <w:rPr>
          <w:b/>
          <w:bCs/>
        </w:rPr>
        <w:t xml:space="preserve">ection of sub-band operating with </w:t>
      </w:r>
      <w:r w:rsidRPr="004F79D6">
        <w:rPr>
          <w:b/>
          <w:bCs/>
        </w:rPr>
        <w:t>different numerology</w:t>
      </w:r>
    </w:p>
    <w:p w:rsidR="004F79D6" w:rsidRDefault="004F79D6" w:rsidP="00086ACB">
      <w:pPr>
        <w:rPr>
          <w:bCs/>
        </w:rPr>
      </w:pPr>
      <w:r>
        <w:rPr>
          <w:bCs/>
        </w:rPr>
        <w:t xml:space="preserve">When UE connect to the network, UE continues to perform acquisition and search of TRPs in the neighbourhood.  The procedures of the initial timing acquisition and channel measurements in the initial access could be used for neighboring TRP search and measurement.  The neighboring TRP search and channel measurements are part of NR mobility measurements.  When UE detects a neighboring TRP with stronger channel measurements, mobility management </w:t>
      </w:r>
      <w:r>
        <w:rPr>
          <w:bCs/>
        </w:rPr>
        <w:lastRenderedPageBreak/>
        <w:t xml:space="preserve">procedure will kick off.  </w:t>
      </w:r>
      <w:r w:rsidR="00E42762">
        <w:rPr>
          <w:bCs/>
        </w:rPr>
        <w:t>T</w:t>
      </w:r>
      <w:r>
        <w:rPr>
          <w:bCs/>
        </w:rPr>
        <w:t>he synchronization sign</w:t>
      </w:r>
      <w:r w:rsidR="00E42762">
        <w:rPr>
          <w:bCs/>
        </w:rPr>
        <w:t>als and reference signals</w:t>
      </w:r>
      <w:r>
        <w:rPr>
          <w:bCs/>
        </w:rPr>
        <w:t xml:space="preserve"> for </w:t>
      </w:r>
      <w:r w:rsidR="00E42762">
        <w:rPr>
          <w:bCs/>
        </w:rPr>
        <w:t xml:space="preserve">TRP acquisition and channel measurements need to take mobility management procedure into account.  </w:t>
      </w:r>
    </w:p>
    <w:p w:rsidR="00E42762" w:rsidRPr="00E42762" w:rsidRDefault="00E42762" w:rsidP="00086ACB">
      <w:pPr>
        <w:rPr>
          <w:b/>
          <w:bCs/>
        </w:rPr>
      </w:pPr>
      <w:r>
        <w:rPr>
          <w:b/>
          <w:bCs/>
        </w:rPr>
        <w:t xml:space="preserve">Proposal 6:  </w:t>
      </w:r>
      <w:r w:rsidRPr="00E42762">
        <w:rPr>
          <w:b/>
          <w:bCs/>
        </w:rPr>
        <w:t>The synchronization signals and reference signals for TRP acquisition and channel measurements need to take mobility management procedure into account</w:t>
      </w:r>
    </w:p>
    <w:p w:rsidR="00E42762" w:rsidRPr="00CF6971" w:rsidRDefault="00E42762" w:rsidP="00086ACB">
      <w:pPr>
        <w:rPr>
          <w:bCs/>
        </w:rPr>
      </w:pPr>
    </w:p>
    <w:p w:rsidR="000859B2" w:rsidRPr="001D1EC3" w:rsidRDefault="000859B2" w:rsidP="00200DCD">
      <w:pPr>
        <w:pStyle w:val="1"/>
      </w:pPr>
      <w:r>
        <w:t>Conclusion</w:t>
      </w:r>
    </w:p>
    <w:p w:rsidR="00E42762" w:rsidRDefault="00380740" w:rsidP="00E42762">
      <w:r>
        <w:t>Thi</w:t>
      </w:r>
      <w:r w:rsidR="00E42762">
        <w:t xml:space="preserve">s paper discusses the NR physical layer aspects for the initial access and mobility management.  We propose the following, </w:t>
      </w:r>
      <w:r w:rsidR="00D42529">
        <w:t xml:space="preserve"> </w:t>
      </w:r>
    </w:p>
    <w:p w:rsidR="00E42762" w:rsidRPr="00E42762" w:rsidRDefault="00E42762" w:rsidP="00E42762">
      <w:pPr>
        <w:pStyle w:val="maintext"/>
        <w:numPr>
          <w:ilvl w:val="0"/>
          <w:numId w:val="29"/>
        </w:numPr>
        <w:spacing w:before="0" w:after="0" w:line="240" w:lineRule="auto"/>
        <w:ind w:firstLineChars="0"/>
      </w:pPr>
      <w:r w:rsidRPr="00E42762">
        <w:t xml:space="preserve">Proposal 1: The NR synchronization signal design should support UE autonomous system acquisition and be used for the identity parameters for deriving the essential system information.   </w:t>
      </w:r>
    </w:p>
    <w:p w:rsidR="00E42762" w:rsidRPr="00E42762" w:rsidRDefault="00E42762" w:rsidP="00E42762">
      <w:pPr>
        <w:pStyle w:val="maintext"/>
        <w:spacing w:before="0" w:after="0" w:line="240" w:lineRule="auto"/>
        <w:ind w:firstLineChars="0" w:firstLine="0"/>
      </w:pPr>
    </w:p>
    <w:p w:rsidR="00E42762" w:rsidRPr="00E42762" w:rsidRDefault="00E42762" w:rsidP="00E42762">
      <w:pPr>
        <w:pStyle w:val="maintext"/>
        <w:numPr>
          <w:ilvl w:val="0"/>
          <w:numId w:val="29"/>
        </w:numPr>
        <w:spacing w:before="0" w:after="0" w:line="240" w:lineRule="auto"/>
        <w:ind w:firstLineChars="0"/>
        <w:rPr>
          <w:lang w:val="en-US"/>
        </w:rPr>
      </w:pPr>
      <w:r w:rsidRPr="00E42762">
        <w:t xml:space="preserve">Proposal 2: The functions of  DL synchronization signals(s) in the NR system design includes the UE </w:t>
      </w:r>
      <w:r w:rsidRPr="00E42762">
        <w:rPr>
          <w:lang w:val="en-US"/>
        </w:rPr>
        <w:t xml:space="preserve">Initial signal detection and timing acquisition, channel tracking and channel estimation, and channel measurement for link adaptation, RRM,  and RLM.   </w:t>
      </w:r>
    </w:p>
    <w:p w:rsidR="00E42762" w:rsidRPr="00E42762" w:rsidRDefault="00E42762" w:rsidP="00E42762">
      <w:pPr>
        <w:pStyle w:val="maintext"/>
        <w:spacing w:before="0" w:after="0" w:line="240" w:lineRule="auto"/>
        <w:ind w:firstLineChars="0" w:firstLine="0"/>
        <w:rPr>
          <w:lang w:val="en-US"/>
        </w:rPr>
      </w:pPr>
    </w:p>
    <w:p w:rsidR="00E42762" w:rsidRPr="00E42762" w:rsidRDefault="00E42762" w:rsidP="00E42762">
      <w:pPr>
        <w:pStyle w:val="maintext"/>
        <w:numPr>
          <w:ilvl w:val="0"/>
          <w:numId w:val="29"/>
        </w:numPr>
        <w:spacing w:before="0" w:after="0" w:line="240" w:lineRule="auto"/>
        <w:ind w:firstLineChars="0"/>
      </w:pPr>
      <w:r w:rsidRPr="00E42762">
        <w:rPr>
          <w:lang w:val="en-US"/>
        </w:rPr>
        <w:t>Proposal 3: UEs should assume the synchronization signals and the associated reference signals are quasi-co-located (</w:t>
      </w:r>
      <w:proofErr w:type="spellStart"/>
      <w:r w:rsidRPr="00E42762">
        <w:rPr>
          <w:lang w:val="en-US"/>
        </w:rPr>
        <w:t>QCL’d</w:t>
      </w:r>
      <w:proofErr w:type="spellEnd"/>
      <w:r w:rsidRPr="00E42762">
        <w:rPr>
          <w:lang w:val="en-US"/>
        </w:rPr>
        <w:t>)</w:t>
      </w:r>
    </w:p>
    <w:p w:rsidR="00E42762" w:rsidRPr="00E42762" w:rsidRDefault="00E42762" w:rsidP="00E42762">
      <w:pPr>
        <w:pStyle w:val="maintext"/>
        <w:spacing w:before="0" w:after="0" w:line="240" w:lineRule="auto"/>
        <w:ind w:firstLineChars="0" w:firstLine="0"/>
        <w:rPr>
          <w:lang w:val="en-US"/>
        </w:rPr>
      </w:pPr>
    </w:p>
    <w:p w:rsidR="00E42762" w:rsidRPr="00E42762" w:rsidRDefault="00E42762" w:rsidP="00E42762">
      <w:pPr>
        <w:pStyle w:val="maintext"/>
        <w:numPr>
          <w:ilvl w:val="0"/>
          <w:numId w:val="29"/>
        </w:numPr>
        <w:spacing w:before="0" w:after="0" w:line="240" w:lineRule="auto"/>
        <w:ind w:firstLineChars="0"/>
        <w:rPr>
          <w:lang w:val="en-US"/>
        </w:rPr>
      </w:pPr>
      <w:r w:rsidRPr="00E42762">
        <w:rPr>
          <w:lang w:val="en-US"/>
        </w:rPr>
        <w:t xml:space="preserve">Proposal 4: The synchronization signal in the NR system needs to support not only the wide range of the system bandwidth but also flexible channel bandwidth.  </w:t>
      </w:r>
    </w:p>
    <w:p w:rsidR="00E42762" w:rsidRPr="00E42762" w:rsidRDefault="00E42762" w:rsidP="00E42762">
      <w:pPr>
        <w:pStyle w:val="maintext"/>
        <w:spacing w:before="0" w:after="0" w:line="240" w:lineRule="auto"/>
        <w:ind w:firstLineChars="100"/>
        <w:rPr>
          <w:lang w:val="en-US"/>
        </w:rPr>
      </w:pPr>
    </w:p>
    <w:p w:rsidR="005B2B85" w:rsidRDefault="00E42762" w:rsidP="005B2B85">
      <w:pPr>
        <w:pStyle w:val="afa"/>
        <w:numPr>
          <w:ilvl w:val="0"/>
          <w:numId w:val="29"/>
        </w:numPr>
        <w:rPr>
          <w:bCs/>
          <w:sz w:val="20"/>
          <w:szCs w:val="20"/>
        </w:rPr>
      </w:pPr>
      <w:r w:rsidRPr="005B2B85">
        <w:rPr>
          <w:bCs/>
          <w:sz w:val="20"/>
          <w:szCs w:val="20"/>
        </w:rPr>
        <w:t>Proposal 5:  The synchronization signals and the associated reference signals need to support autonomous de</w:t>
      </w:r>
      <w:r w:rsidR="005B2B85">
        <w:rPr>
          <w:bCs/>
          <w:sz w:val="20"/>
          <w:szCs w:val="20"/>
        </w:rPr>
        <w:t>tection of sub-band operating with</w:t>
      </w:r>
      <w:r w:rsidRPr="005B2B85">
        <w:rPr>
          <w:bCs/>
          <w:sz w:val="20"/>
          <w:szCs w:val="20"/>
        </w:rPr>
        <w:t xml:space="preserve"> different numerology</w:t>
      </w:r>
    </w:p>
    <w:p w:rsidR="005B2B85" w:rsidRPr="005B2B85" w:rsidRDefault="005B2B85" w:rsidP="005B2B85">
      <w:pPr>
        <w:rPr>
          <w:bCs/>
        </w:rPr>
      </w:pPr>
    </w:p>
    <w:p w:rsidR="00E42762" w:rsidRPr="005B2B85" w:rsidRDefault="00E42762" w:rsidP="00E42762">
      <w:pPr>
        <w:pStyle w:val="afa"/>
        <w:numPr>
          <w:ilvl w:val="0"/>
          <w:numId w:val="29"/>
        </w:numPr>
        <w:rPr>
          <w:bCs/>
          <w:sz w:val="20"/>
          <w:szCs w:val="20"/>
        </w:rPr>
      </w:pPr>
      <w:r w:rsidRPr="005B2B85">
        <w:rPr>
          <w:bCs/>
          <w:sz w:val="20"/>
          <w:szCs w:val="20"/>
        </w:rPr>
        <w:t>Proposal 6:  The synchronization signals and reference signals for TRP acquisition and channel measurements need to take mobility management procedure into account</w:t>
      </w:r>
    </w:p>
    <w:p w:rsidR="00F42B0B" w:rsidRPr="005B2B85" w:rsidRDefault="00F42B0B" w:rsidP="00086ACB"/>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p w:rsidR="00171C01" w:rsidRPr="00171C01" w:rsidRDefault="00E20A24" w:rsidP="00171C01">
      <w:pPr>
        <w:pStyle w:val="afa"/>
        <w:numPr>
          <w:ilvl w:val="0"/>
          <w:numId w:val="6"/>
        </w:numPr>
        <w:rPr>
          <w:rFonts w:eastAsia="MS Mincho"/>
          <w:sz w:val="20"/>
          <w:szCs w:val="20"/>
        </w:rPr>
      </w:pPr>
      <w:hyperlink r:id="rId8" w:history="1">
        <w:r w:rsidR="00171C01" w:rsidRPr="00171C01">
          <w:rPr>
            <w:rStyle w:val="aa"/>
            <w:rFonts w:eastAsia="MS Mincho"/>
            <w:sz w:val="20"/>
            <w:szCs w:val="20"/>
          </w:rPr>
          <w:t>R1-163997</w:t>
        </w:r>
      </w:hyperlink>
      <w:r w:rsidR="00171C01">
        <w:rPr>
          <w:rFonts w:eastAsia="MS Mincho"/>
          <w:sz w:val="20"/>
          <w:szCs w:val="20"/>
        </w:rPr>
        <w:t xml:space="preserve">, “ </w:t>
      </w:r>
      <w:r w:rsidR="00171C01" w:rsidRPr="00171C01">
        <w:rPr>
          <w:rFonts w:eastAsia="MS Mincho"/>
          <w:sz w:val="20"/>
          <w:szCs w:val="20"/>
        </w:rPr>
        <w:t>Cell search for NR: design consideration</w:t>
      </w:r>
      <w:r w:rsidR="00171C01">
        <w:rPr>
          <w:rFonts w:eastAsia="MS Mincho"/>
          <w:sz w:val="20"/>
          <w:szCs w:val="20"/>
        </w:rPr>
        <w:t xml:space="preserve">”, </w:t>
      </w:r>
      <w:r w:rsidR="00171C01" w:rsidRPr="00171C01">
        <w:rPr>
          <w:rFonts w:eastAsia="MS Mincho"/>
          <w:sz w:val="20"/>
          <w:szCs w:val="20"/>
        </w:rPr>
        <w:t>Samsung</w:t>
      </w:r>
    </w:p>
    <w:p w:rsidR="00415673" w:rsidRPr="00415673" w:rsidRDefault="00415673" w:rsidP="00415673">
      <w:pPr>
        <w:pStyle w:val="afa"/>
        <w:numPr>
          <w:ilvl w:val="0"/>
          <w:numId w:val="6"/>
        </w:numPr>
        <w:rPr>
          <w:rFonts w:eastAsia="MS Mincho"/>
          <w:sz w:val="20"/>
          <w:szCs w:val="20"/>
        </w:rPr>
      </w:pPr>
      <w:r w:rsidRPr="00415673">
        <w:rPr>
          <w:rFonts w:eastAsia="MS Mincho"/>
          <w:sz w:val="20"/>
          <w:szCs w:val="20"/>
        </w:rPr>
        <w:t>R1-164242</w:t>
      </w:r>
      <w:r>
        <w:rPr>
          <w:sz w:val="20"/>
          <w:szCs w:val="20"/>
        </w:rPr>
        <w:t>,  “</w:t>
      </w:r>
      <w:r w:rsidRPr="00415673">
        <w:rPr>
          <w:rFonts w:eastAsia="MS Mincho"/>
          <w:sz w:val="20"/>
          <w:szCs w:val="20"/>
        </w:rPr>
        <w:t>NR system design for forward compatibility</w:t>
      </w:r>
      <w:r>
        <w:rPr>
          <w:rFonts w:eastAsia="MS Mincho"/>
          <w:sz w:val="20"/>
          <w:szCs w:val="20"/>
        </w:rPr>
        <w:t>”,</w:t>
      </w:r>
      <w:r w:rsidRPr="00415673">
        <w:rPr>
          <w:rFonts w:eastAsia="MS Mincho"/>
          <w:sz w:val="20"/>
          <w:szCs w:val="20"/>
        </w:rPr>
        <w:tab/>
        <w:t>CATT</w:t>
      </w:r>
    </w:p>
    <w:bookmarkEnd w:id="0"/>
    <w:p w:rsidR="00E42E42" w:rsidRPr="00ED418A" w:rsidRDefault="00E42E42" w:rsidP="00086ACB"/>
    <w:sectPr w:rsidR="00E42E42" w:rsidRPr="00ED418A"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470" w:rsidRDefault="00C94470" w:rsidP="00086ACB">
      <w:r>
        <w:separator/>
      </w:r>
    </w:p>
  </w:endnote>
  <w:endnote w:type="continuationSeparator" w:id="0">
    <w:p w:rsidR="00C94470" w:rsidRDefault="00C94470"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E20A24"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E20A24"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5B2B85">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470" w:rsidRDefault="00C94470" w:rsidP="00086ACB">
      <w:r>
        <w:separator/>
      </w:r>
    </w:p>
  </w:footnote>
  <w:footnote w:type="continuationSeparator" w:id="0">
    <w:p w:rsidR="00C94470" w:rsidRDefault="00C94470"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4">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6">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15">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0">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2">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8"/>
  </w:num>
  <w:num w:numId="2">
    <w:abstractNumId w:val="24"/>
  </w:num>
  <w:num w:numId="3">
    <w:abstractNumId w:val="23"/>
  </w:num>
  <w:num w:numId="4">
    <w:abstractNumId w:val="9"/>
  </w:num>
  <w:num w:numId="5">
    <w:abstractNumId w:val="17"/>
  </w:num>
  <w:num w:numId="6">
    <w:abstractNumId w:val="11"/>
  </w:num>
  <w:num w:numId="7">
    <w:abstractNumId w:val="25"/>
  </w:num>
  <w:num w:numId="8">
    <w:abstractNumId w:val="26"/>
  </w:num>
  <w:num w:numId="9">
    <w:abstractNumId w:val="13"/>
  </w:num>
  <w:num w:numId="10">
    <w:abstractNumId w:val="16"/>
  </w:num>
  <w:num w:numId="11">
    <w:abstractNumId w:val="15"/>
  </w:num>
  <w:num w:numId="12">
    <w:abstractNumId w:val="6"/>
  </w:num>
  <w:num w:numId="13">
    <w:abstractNumId w:val="18"/>
  </w:num>
  <w:num w:numId="14">
    <w:abstractNumId w:val="12"/>
  </w:num>
  <w:num w:numId="15">
    <w:abstractNumId w:val="27"/>
  </w:num>
  <w:num w:numId="16">
    <w:abstractNumId w:val="4"/>
  </w:num>
  <w:num w:numId="17">
    <w:abstractNumId w:val="19"/>
  </w:num>
  <w:num w:numId="18">
    <w:abstractNumId w:val="5"/>
  </w:num>
  <w:num w:numId="19">
    <w:abstractNumId w:val="0"/>
  </w:num>
  <w:num w:numId="20">
    <w:abstractNumId w:val="1"/>
  </w:num>
  <w:num w:numId="21">
    <w:abstractNumId w:val="20"/>
  </w:num>
  <w:num w:numId="22">
    <w:abstractNumId w:val="22"/>
  </w:num>
  <w:num w:numId="23">
    <w:abstractNumId w:val="7"/>
  </w:num>
  <w:num w:numId="24">
    <w:abstractNumId w:val="3"/>
  </w:num>
  <w:num w:numId="25">
    <w:abstractNumId w:val="14"/>
  </w:num>
  <w:num w:numId="26">
    <w:abstractNumId w:val="21"/>
  </w:num>
  <w:num w:numId="27">
    <w:abstractNumId w:val="10"/>
  </w:num>
  <w:num w:numId="28">
    <w:abstractNumId w:val="2"/>
  </w:num>
  <w:num w:numId="29">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734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0"/>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1"/>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0">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2"/>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2">
    <w:name w:val="列出段落 Char"/>
    <w:link w:val="afa"/>
    <w:uiPriority w:val="34"/>
    <w:rsid w:val="00910742"/>
    <w:rPr>
      <w:rFonts w:ascii="Times New Roman" w:eastAsia="Times New Roman" w:hAnsi="Times New Roman"/>
      <w:sz w:val="24"/>
      <w:szCs w:val="24"/>
      <w:lang w:eastAsia="en-US"/>
    </w:rPr>
  </w:style>
  <w:style w:type="character" w:customStyle="1" w:styleId="Char1">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3gpp\wg1-85%20Nanjing\R1-16399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167959F6-986B-4321-9B88-30800448F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1441</TotalTime>
  <Pages>3</Pages>
  <Words>1358</Words>
  <Characters>7741</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9081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34</cp:revision>
  <cp:lastPrinted>2006-02-09T13:55:00Z</cp:lastPrinted>
  <dcterms:created xsi:type="dcterms:W3CDTF">2016-04-01T07:08:00Z</dcterms:created>
  <dcterms:modified xsi:type="dcterms:W3CDTF">2016-08-12T23:07:00Z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