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06C" w:rsidRPr="00821C4D"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734648">
        <w:rPr>
          <w:rFonts w:ascii="Arial" w:hAnsi="Arial" w:cs="Arial" w:hint="eastAsia"/>
          <w:b/>
          <w:lang w:eastAsia="ja-JP"/>
        </w:rPr>
        <w:t>6</w:t>
      </w:r>
      <w:r w:rsidR="00B11ADD">
        <w:rPr>
          <w:rFonts w:ascii="Arial" w:hAnsi="Arial" w:cs="Arial" w:hint="eastAsia"/>
          <w:b/>
          <w:lang w:eastAsia="ja-JP"/>
        </w:rPr>
        <w:tab/>
      </w:r>
      <w:r w:rsidR="0027406C" w:rsidRPr="000664E2">
        <w:rPr>
          <w:rFonts w:eastAsia="MS Mincho"/>
          <w:b/>
          <w:lang w:val="en-US"/>
        </w:rPr>
        <w:t xml:space="preserve">                </w:t>
      </w:r>
      <w:r w:rsidR="0027406C" w:rsidRPr="000664E2">
        <w:rPr>
          <w:rFonts w:eastAsia="SimSun"/>
          <w:b/>
          <w:lang w:val="en-US" w:eastAsia="zh-CN"/>
        </w:rPr>
        <w:t xml:space="preserve"> </w:t>
      </w:r>
      <w:r w:rsidR="0027406C" w:rsidRPr="000664E2">
        <w:rPr>
          <w:rFonts w:eastAsia="MS Mincho"/>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724DE8">
        <w:rPr>
          <w:rFonts w:eastAsiaTheme="minorEastAsia" w:hint="eastAsia"/>
          <w:b/>
          <w:lang w:val="en-US" w:eastAsia="ja-JP"/>
        </w:rPr>
        <w:t xml:space="preserve">     </w:t>
      </w:r>
      <w:r w:rsidR="00724DE8" w:rsidRPr="009718FF">
        <w:rPr>
          <w:rFonts w:asciiTheme="majorHAnsi" w:eastAsiaTheme="minorEastAsia" w:hAnsiTheme="majorHAnsi" w:cstheme="majorHAnsi"/>
          <w:b/>
          <w:lang w:val="en-US" w:eastAsia="ja-JP"/>
        </w:rPr>
        <w:t>R1-</w:t>
      </w:r>
      <w:r w:rsidR="00C04D40" w:rsidRPr="009718FF">
        <w:rPr>
          <w:rFonts w:asciiTheme="majorHAnsi" w:eastAsiaTheme="minorEastAsia" w:hAnsiTheme="majorHAnsi" w:cstheme="majorHAnsi"/>
          <w:b/>
          <w:lang w:val="en-US" w:eastAsia="ja-JP"/>
        </w:rPr>
        <w:t>16</w:t>
      </w:r>
      <w:r w:rsidR="00C04D40">
        <w:rPr>
          <w:rFonts w:asciiTheme="majorHAnsi" w:eastAsiaTheme="minorEastAsia" w:hAnsiTheme="majorHAnsi" w:cstheme="majorHAnsi"/>
          <w:b/>
          <w:lang w:val="en-US" w:eastAsia="ja-JP"/>
        </w:rPr>
        <w:t>6225</w:t>
      </w:r>
    </w:p>
    <w:p w:rsidR="001F3086" w:rsidRPr="00055E47" w:rsidRDefault="00A67BBA" w:rsidP="00465C79">
      <w:pPr>
        <w:spacing w:line="276" w:lineRule="auto"/>
        <w:rPr>
          <w:rFonts w:asciiTheme="majorHAnsi" w:eastAsia="MS Mincho" w:hAnsiTheme="majorHAnsi" w:cstheme="majorHAnsi"/>
          <w:b/>
          <w:bCs/>
          <w:sz w:val="28"/>
          <w:lang w:val="en-US" w:eastAsia="ja-JP"/>
        </w:rPr>
      </w:pPr>
      <w:proofErr w:type="spellStart"/>
      <w:r w:rsidRPr="00A67BBA">
        <w:rPr>
          <w:rFonts w:ascii="Arial" w:eastAsiaTheme="minorEastAsia" w:hAnsi="Arial"/>
          <w:b/>
          <w:lang w:eastAsia="ja-JP"/>
        </w:rPr>
        <w:t>Göteborg</w:t>
      </w:r>
      <w:proofErr w:type="spellEnd"/>
      <w:r w:rsidR="005D2035">
        <w:rPr>
          <w:rFonts w:ascii="Arial" w:eastAsia="SimSun" w:hAnsi="Arial"/>
          <w:b/>
          <w:lang w:eastAsia="zh-CN"/>
        </w:rPr>
        <w:t>,</w:t>
      </w:r>
      <w:r w:rsidR="00734648">
        <w:rPr>
          <w:rFonts w:ascii="Arial" w:eastAsiaTheme="minorEastAsia" w:hAnsi="Arial" w:hint="eastAsia"/>
          <w:b/>
          <w:lang w:eastAsia="ja-JP"/>
        </w:rPr>
        <w:t xml:space="preserve"> Sweden,</w:t>
      </w:r>
      <w:r w:rsidR="005D2035" w:rsidRPr="00477343">
        <w:rPr>
          <w:rFonts w:ascii="Arial" w:hAnsi="Arial"/>
          <w:b/>
          <w:lang w:val="pt-BR" w:eastAsia="ja-JP"/>
        </w:rPr>
        <w:t xml:space="preserve"> </w:t>
      </w:r>
      <w:r w:rsidR="00734648">
        <w:rPr>
          <w:rFonts w:ascii="Arial" w:hAnsi="Arial" w:hint="eastAsia"/>
          <w:b/>
          <w:lang w:eastAsia="ja-JP"/>
        </w:rPr>
        <w:t>22</w:t>
      </w:r>
      <w:r w:rsidR="005D2035" w:rsidRPr="00477343">
        <w:rPr>
          <w:rFonts w:ascii="Arial" w:hAnsi="Arial"/>
          <w:b/>
          <w:lang w:eastAsia="ja-JP"/>
        </w:rPr>
        <w:t xml:space="preserve"> </w:t>
      </w:r>
      <w:r w:rsidR="005D2035" w:rsidRPr="00477343">
        <w:rPr>
          <w:rFonts w:ascii="Arial" w:eastAsia="SimSun" w:hAnsi="Arial"/>
          <w:b/>
          <w:lang w:eastAsia="zh-CN"/>
        </w:rPr>
        <w:t xml:space="preserve">– </w:t>
      </w:r>
      <w:r w:rsidR="005941EF">
        <w:rPr>
          <w:rFonts w:ascii="Arial" w:eastAsiaTheme="minorEastAsia" w:hAnsi="Arial" w:hint="eastAsia"/>
          <w:b/>
          <w:lang w:eastAsia="ja-JP"/>
        </w:rPr>
        <w:t>2</w:t>
      </w:r>
      <w:r w:rsidR="00734648">
        <w:rPr>
          <w:rFonts w:ascii="Arial" w:eastAsiaTheme="minorEastAsia" w:hAnsi="Arial" w:hint="eastAsia"/>
          <w:b/>
          <w:lang w:eastAsia="ja-JP"/>
        </w:rPr>
        <w:t>6</w:t>
      </w:r>
      <w:r w:rsidR="005D2035" w:rsidRPr="00477343">
        <w:rPr>
          <w:rFonts w:ascii="Arial" w:hAnsi="Arial"/>
          <w:b/>
          <w:lang w:eastAsia="ja-JP"/>
        </w:rPr>
        <w:t xml:space="preserve"> </w:t>
      </w:r>
      <w:r w:rsidR="000C01A4">
        <w:rPr>
          <w:rFonts w:ascii="Arial" w:eastAsiaTheme="minorEastAsia" w:hAnsi="Arial" w:hint="eastAsia"/>
          <w:b/>
          <w:lang w:eastAsia="ja-JP"/>
        </w:rPr>
        <w:t>Aug</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En-tte"/>
        <w:spacing w:line="276" w:lineRule="auto"/>
        <w:rPr>
          <w:rFonts w:asciiTheme="majorHAnsi" w:hAnsiTheme="majorHAnsi" w:cstheme="majorHAnsi"/>
          <w:noProof w:val="0"/>
        </w:rPr>
      </w:pPr>
    </w:p>
    <w:p w:rsidR="00DD4444" w:rsidRPr="00055E47"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055E47">
        <w:rPr>
          <w:rFonts w:asciiTheme="majorHAnsi" w:eastAsia="MS Gothic" w:hAnsiTheme="majorHAnsi" w:cstheme="majorHAnsi"/>
          <w:noProof w:val="0"/>
          <w:sz w:val="24"/>
        </w:rPr>
        <w:t>Source:</w:t>
      </w:r>
      <w:r w:rsidRPr="00055E47">
        <w:rPr>
          <w:rFonts w:asciiTheme="majorHAnsi" w:eastAsia="MS Gothic" w:hAnsiTheme="majorHAnsi" w:cstheme="majorHAnsi"/>
          <w:noProof w:val="0"/>
          <w:sz w:val="24"/>
        </w:rPr>
        <w:tab/>
      </w:r>
      <w:r w:rsidR="00495BBB" w:rsidRPr="00055E47">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013BE">
        <w:rPr>
          <w:rFonts w:asciiTheme="majorHAnsi" w:eastAsia="MS Gothic" w:hAnsiTheme="majorHAnsi" w:cstheme="majorHAnsi"/>
          <w:noProof w:val="0"/>
          <w:sz w:val="24"/>
          <w:lang w:eastAsia="ja-JP"/>
        </w:rPr>
        <w:t xml:space="preserve">Considerations on numerology for </w:t>
      </w:r>
      <w:r w:rsidR="00FF62E4">
        <w:rPr>
          <w:rFonts w:asciiTheme="majorHAnsi" w:eastAsia="MS Gothic" w:hAnsiTheme="majorHAnsi" w:cstheme="majorHAnsi"/>
          <w:noProof w:val="0"/>
          <w:sz w:val="24"/>
          <w:lang w:eastAsia="ja-JP"/>
        </w:rPr>
        <w:t>support of flexible guard lengths</w:t>
      </w:r>
      <w:r w:rsidR="00B013BE">
        <w:rPr>
          <w:rFonts w:asciiTheme="majorHAnsi" w:eastAsia="MS Gothic" w:hAnsiTheme="majorHAnsi" w:cstheme="majorHAnsi"/>
          <w:noProof w:val="0"/>
          <w:sz w:val="24"/>
          <w:lang w:eastAsia="ja-JP"/>
        </w:rPr>
        <w:t xml:space="preserve"> </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583275">
        <w:rPr>
          <w:rFonts w:asciiTheme="majorHAnsi" w:eastAsia="MS Gothic" w:hAnsiTheme="majorHAnsi" w:cstheme="majorHAnsi"/>
          <w:noProof w:val="0"/>
          <w:sz w:val="24"/>
          <w:lang w:eastAsia="ja-JP"/>
        </w:rPr>
        <w:t>8.1.</w:t>
      </w:r>
      <w:r w:rsidR="00B013BE">
        <w:rPr>
          <w:rFonts w:asciiTheme="majorHAnsi" w:eastAsia="MS Gothic" w:hAnsiTheme="majorHAnsi" w:cstheme="majorHAnsi"/>
          <w:noProof w:val="0"/>
          <w:sz w:val="24"/>
          <w:lang w:eastAsia="ja-JP"/>
        </w:rPr>
        <w:t>3.1</w:t>
      </w:r>
      <w:r w:rsidR="00583275">
        <w:rPr>
          <w:rFonts w:asciiTheme="majorHAnsi" w:eastAsia="MS Gothic" w:hAnsiTheme="majorHAnsi" w:cstheme="majorHAnsi" w:hint="eastAsia"/>
          <w:noProof w:val="0"/>
          <w:sz w:val="24"/>
          <w:lang w:eastAsia="ja-JP"/>
        </w:rPr>
        <w:t xml:space="preserve"> </w:t>
      </w:r>
      <w:r w:rsidR="00B013BE">
        <w:rPr>
          <w:rFonts w:asciiTheme="majorHAnsi" w:eastAsia="MS Gothic" w:hAnsiTheme="majorHAnsi" w:cstheme="majorHAnsi"/>
          <w:noProof w:val="0"/>
          <w:sz w:val="24"/>
          <w:lang w:eastAsia="ja-JP"/>
        </w:rPr>
        <w:t>Numerology</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BE3C51" w:rsidRPr="00497BF9" w:rsidRDefault="0085152C" w:rsidP="00B013BE">
      <w:pPr>
        <w:spacing w:after="120"/>
        <w:ind w:firstLineChars="50" w:firstLine="120"/>
        <w:jc w:val="both"/>
        <w:rPr>
          <w:lang w:val="en-US" w:eastAsia="ja-JP"/>
        </w:rPr>
      </w:pPr>
      <w:r w:rsidRPr="00497BF9">
        <w:rPr>
          <w:lang w:val="en-US" w:eastAsia="ja-JP"/>
        </w:rPr>
        <w:t>In RAN1 #8</w:t>
      </w:r>
      <w:r w:rsidR="00BE3C51" w:rsidRPr="00497BF9">
        <w:rPr>
          <w:lang w:val="en-US" w:eastAsia="ja-JP"/>
        </w:rPr>
        <w:t>4b, it was agreed that</w:t>
      </w:r>
    </w:p>
    <w:p w:rsidR="00BE3C51" w:rsidRPr="00497BF9" w:rsidRDefault="00BE3C51" w:rsidP="00BE3C51">
      <w:pPr>
        <w:pStyle w:val="Paragraphedeliste"/>
        <w:numPr>
          <w:ilvl w:val="0"/>
          <w:numId w:val="8"/>
        </w:numPr>
        <w:spacing w:after="120"/>
        <w:ind w:leftChars="0"/>
        <w:jc w:val="both"/>
        <w:rPr>
          <w:rFonts w:ascii="Times New Roman" w:hAnsi="Times New Roman" w:cs="Times New Roman"/>
          <w:i/>
        </w:rPr>
      </w:pPr>
      <w:r w:rsidRPr="00497BF9">
        <w:rPr>
          <w:rFonts w:ascii="Times New Roman" w:hAnsi="Times New Roman" w:cs="Times New Roman"/>
          <w:i/>
        </w:rPr>
        <w:t>For NR, it is necessary to support more than one values of subcarrier-spacing</w:t>
      </w:r>
    </w:p>
    <w:p w:rsidR="00BE3C51" w:rsidRPr="00497BF9" w:rsidRDefault="00BE3C51" w:rsidP="00BE3C51">
      <w:pPr>
        <w:pStyle w:val="Paragraphedeliste"/>
        <w:numPr>
          <w:ilvl w:val="1"/>
          <w:numId w:val="8"/>
        </w:numPr>
        <w:spacing w:after="120"/>
        <w:ind w:leftChars="0"/>
        <w:jc w:val="both"/>
        <w:rPr>
          <w:rFonts w:ascii="Times New Roman" w:hAnsi="Times New Roman" w:cs="Times New Roman"/>
          <w:i/>
        </w:rPr>
      </w:pPr>
      <w:r w:rsidRPr="00497BF9">
        <w:rPr>
          <w:rFonts w:ascii="Times New Roman" w:hAnsi="Times New Roman" w:cs="Times New Roman"/>
          <w:i/>
        </w:rPr>
        <w:t>Values of subcarrier-spacing are derived from a particular value of subcarrier-spacing multiplied by N where N is an integer</w:t>
      </w:r>
    </w:p>
    <w:p w:rsidR="00BE3C51" w:rsidRPr="00497BF9" w:rsidRDefault="00BE3C51" w:rsidP="00B013BE">
      <w:pPr>
        <w:spacing w:after="120"/>
        <w:ind w:firstLineChars="50" w:firstLine="120"/>
        <w:jc w:val="both"/>
        <w:rPr>
          <w:lang w:val="en-US" w:eastAsia="ja-JP"/>
        </w:rPr>
      </w:pPr>
      <w:r w:rsidRPr="00497BF9">
        <w:rPr>
          <w:lang w:val="en-US" w:eastAsia="ja-JP"/>
        </w:rPr>
        <w:t>The following working assumption was made in RAN1#85</w:t>
      </w:r>
    </w:p>
    <w:p w:rsidR="00BE3C51" w:rsidRPr="00497BF9" w:rsidRDefault="00BE3C51" w:rsidP="00BE3C51">
      <w:pPr>
        <w:pStyle w:val="Paragraphedeliste"/>
        <w:numPr>
          <w:ilvl w:val="0"/>
          <w:numId w:val="8"/>
        </w:numPr>
        <w:spacing w:after="120"/>
        <w:ind w:leftChars="0"/>
        <w:jc w:val="both"/>
        <w:rPr>
          <w:rFonts w:ascii="Times New Roman" w:hAnsi="Times New Roman" w:cs="Times New Roman"/>
          <w:i/>
        </w:rPr>
      </w:pPr>
      <w:r w:rsidRPr="00497BF9">
        <w:rPr>
          <w:rFonts w:ascii="Times New Roman" w:hAnsi="Times New Roman" w:cs="Times New Roman"/>
          <w:i/>
        </w:rPr>
        <w:t>RAN1 concludes on alternative 1 (15 kHz) as the baseline design assumption for the NR numerology</w:t>
      </w:r>
    </w:p>
    <w:p w:rsidR="00BE3C51" w:rsidRPr="00D94CFB" w:rsidRDefault="00BE3C51" w:rsidP="00BE3C51">
      <w:pPr>
        <w:pStyle w:val="Paragraphedeliste"/>
        <w:numPr>
          <w:ilvl w:val="0"/>
          <w:numId w:val="8"/>
        </w:numPr>
        <w:spacing w:after="120"/>
        <w:ind w:leftChars="0"/>
        <w:jc w:val="both"/>
        <w:rPr>
          <w:rFonts w:ascii="Times New Roman" w:hAnsi="Times New Roman" w:cs="Times New Roman"/>
          <w:i/>
          <w:lang w:val="en-GB"/>
        </w:rPr>
      </w:pPr>
      <w:r w:rsidRPr="00497BF9">
        <w:rPr>
          <w:rFonts w:ascii="Times New Roman" w:hAnsi="Times New Roman" w:cs="Times New Roman"/>
          <w:i/>
        </w:rPr>
        <w:t>RAN1 concludes on scale factors N =2</w:t>
      </w:r>
      <w:r w:rsidRPr="00497BF9">
        <w:rPr>
          <w:rFonts w:ascii="Times New Roman" w:hAnsi="Times New Roman" w:cs="Times New Roman"/>
          <w:i/>
          <w:vertAlign w:val="superscript"/>
        </w:rPr>
        <w:t>n</w:t>
      </w:r>
      <w:r w:rsidRPr="00497BF9">
        <w:rPr>
          <w:rFonts w:ascii="Times New Roman" w:hAnsi="Times New Roman" w:cs="Times New Roman"/>
          <w:i/>
        </w:rPr>
        <w:t xml:space="preserve"> for subcarrier spacing as the baseline design assumption for the NR numerology</w:t>
      </w:r>
    </w:p>
    <w:p w:rsidR="00D94CFB" w:rsidRPr="00D94CFB" w:rsidRDefault="00D94CFB" w:rsidP="00D94CFB">
      <w:pPr>
        <w:spacing w:after="120"/>
        <w:jc w:val="both"/>
      </w:pPr>
      <w:r w:rsidRPr="00D94CFB">
        <w:t>The following was agreed</w:t>
      </w:r>
      <w:r>
        <w:t xml:space="preserve"> </w:t>
      </w:r>
      <w:r w:rsidRPr="00497BF9">
        <w:rPr>
          <w:lang w:val="en-US" w:eastAsia="ja-JP"/>
        </w:rPr>
        <w:t>in RAN1#85</w:t>
      </w:r>
      <w:r>
        <w:rPr>
          <w:lang w:val="en-US" w:eastAsia="ja-JP"/>
        </w:rPr>
        <w:t>:</w:t>
      </w:r>
    </w:p>
    <w:p w:rsidR="00000000" w:rsidRPr="0001440B" w:rsidRDefault="003D5C3B" w:rsidP="00D94CFB">
      <w:pPr>
        <w:numPr>
          <w:ilvl w:val="0"/>
          <w:numId w:val="8"/>
        </w:numPr>
        <w:spacing w:after="120"/>
        <w:ind w:left="839" w:hanging="357"/>
        <w:rPr>
          <w:rFonts w:eastAsia="MS Mincho"/>
          <w:i/>
          <w:szCs w:val="20"/>
        </w:rPr>
      </w:pPr>
      <w:r w:rsidRPr="0001440B">
        <w:rPr>
          <w:rFonts w:eastAsia="MS Mincho" w:hint="eastAsia"/>
          <w:i/>
          <w:szCs w:val="20"/>
          <w:lang w:val="en-US" w:eastAsia="ja-JP"/>
        </w:rPr>
        <w:t xml:space="preserve">For the numerology with 15 kHz and larger subcarrier spacing ,1 </w:t>
      </w:r>
      <w:proofErr w:type="spellStart"/>
      <w:r w:rsidRPr="0001440B">
        <w:rPr>
          <w:rFonts w:eastAsia="MS Mincho" w:hint="eastAsia"/>
          <w:i/>
          <w:szCs w:val="20"/>
          <w:lang w:val="en-US" w:eastAsia="ja-JP"/>
        </w:rPr>
        <w:t>msec</w:t>
      </w:r>
      <w:proofErr w:type="spellEnd"/>
      <w:r w:rsidRPr="0001440B">
        <w:rPr>
          <w:rFonts w:eastAsia="MS Mincho" w:hint="eastAsia"/>
          <w:i/>
          <w:szCs w:val="20"/>
          <w:lang w:val="en-US" w:eastAsia="ja-JP"/>
        </w:rPr>
        <w:t xml:space="preserve"> alignment is supported</w:t>
      </w:r>
    </w:p>
    <w:p w:rsidR="00EA0674" w:rsidRPr="00497BF9" w:rsidRDefault="00B013BE" w:rsidP="00D94CFB">
      <w:pPr>
        <w:spacing w:after="120"/>
        <w:ind w:firstLineChars="50" w:firstLine="120"/>
        <w:jc w:val="both"/>
        <w:rPr>
          <w:lang w:val="en-US" w:eastAsia="ja-JP"/>
        </w:rPr>
      </w:pPr>
      <w:r w:rsidRPr="00497BF9">
        <w:rPr>
          <w:lang w:val="en-US" w:eastAsia="ja-JP"/>
        </w:rPr>
        <w:t xml:space="preserve">In this contribution, </w:t>
      </w:r>
      <w:r w:rsidR="00BE3C51" w:rsidRPr="00497BF9">
        <w:rPr>
          <w:lang w:val="en-US" w:eastAsia="ja-JP"/>
        </w:rPr>
        <w:t>we discuss the links between numerology and waveform design, and we also address some issues regarding CP/guard interval requirements in NR.</w:t>
      </w:r>
    </w:p>
    <w:p w:rsidR="00324558" w:rsidRPr="00055E47" w:rsidRDefault="0055591B" w:rsidP="00324558">
      <w:pPr>
        <w:pStyle w:val="Titre1"/>
        <w:spacing w:line="360" w:lineRule="auto"/>
        <w:rPr>
          <w:rFonts w:asciiTheme="majorHAnsi" w:hAnsiTheme="majorHAnsi" w:cstheme="majorHAnsi"/>
          <w:lang w:val="en-US"/>
        </w:rPr>
      </w:pPr>
      <w:r>
        <w:rPr>
          <w:rFonts w:asciiTheme="majorHAnsi" w:hAnsiTheme="majorHAnsi" w:cstheme="majorHAnsi"/>
          <w:lang w:val="en-US"/>
        </w:rPr>
        <w:t xml:space="preserve">Discussion on flexible guard </w:t>
      </w:r>
      <w:r w:rsidR="004A6DCA">
        <w:rPr>
          <w:rFonts w:asciiTheme="majorHAnsi" w:hAnsiTheme="majorHAnsi" w:cstheme="majorHAnsi"/>
          <w:lang w:val="en-US"/>
        </w:rPr>
        <w:t>length</w:t>
      </w:r>
      <w:r>
        <w:rPr>
          <w:rFonts w:asciiTheme="majorHAnsi" w:hAnsiTheme="majorHAnsi" w:cstheme="majorHAnsi"/>
          <w:lang w:val="en-US"/>
        </w:rPr>
        <w:t xml:space="preserve"> </w:t>
      </w:r>
      <w:r w:rsidR="00497BF9">
        <w:rPr>
          <w:rFonts w:asciiTheme="majorHAnsi" w:hAnsiTheme="majorHAnsi" w:cstheme="majorHAnsi"/>
          <w:lang w:val="en-US"/>
        </w:rPr>
        <w:t>for</w:t>
      </w:r>
      <w:r>
        <w:rPr>
          <w:rFonts w:asciiTheme="majorHAnsi" w:hAnsiTheme="majorHAnsi" w:cstheme="majorHAnsi"/>
          <w:lang w:val="en-US"/>
        </w:rPr>
        <w:t xml:space="preserve"> OFDM</w:t>
      </w:r>
      <w:r w:rsidR="00497BF9">
        <w:rPr>
          <w:rFonts w:asciiTheme="majorHAnsi" w:hAnsiTheme="majorHAnsi" w:cstheme="majorHAnsi"/>
          <w:lang w:val="en-US"/>
        </w:rPr>
        <w:t>-based</w:t>
      </w:r>
      <w:r>
        <w:rPr>
          <w:rFonts w:asciiTheme="majorHAnsi" w:hAnsiTheme="majorHAnsi" w:cstheme="majorHAnsi"/>
          <w:lang w:val="en-US"/>
        </w:rPr>
        <w:t xml:space="preserve"> </w:t>
      </w:r>
      <w:r w:rsidR="00497BF9">
        <w:rPr>
          <w:rFonts w:asciiTheme="majorHAnsi" w:hAnsiTheme="majorHAnsi" w:cstheme="majorHAnsi"/>
          <w:lang w:val="en-US"/>
        </w:rPr>
        <w:t>waveforms</w:t>
      </w:r>
    </w:p>
    <w:p w:rsidR="0055591B" w:rsidRPr="00497BF9" w:rsidRDefault="00674176" w:rsidP="00D02305">
      <w:pPr>
        <w:spacing w:after="120" w:line="276" w:lineRule="auto"/>
        <w:jc w:val="both"/>
        <w:rPr>
          <w:lang w:val="en-US" w:eastAsia="ja-JP"/>
        </w:rPr>
      </w:pPr>
      <w:r w:rsidRPr="00497BF9">
        <w:rPr>
          <w:lang w:val="en-US" w:eastAsia="ja-JP"/>
        </w:rPr>
        <w:t xml:space="preserve">To limit the inter-symbol interference due to the propagation through a multipath channel, a guard interval is needed to absorb the different channel delays. In LTE, the cyclic prefix acts as guard between two successive symbols. LTE numerology includes both normal CP and extended CP to cope with different channel delay spreads. </w:t>
      </w:r>
    </w:p>
    <w:p w:rsidR="00674176" w:rsidRPr="00497BF9" w:rsidRDefault="00674176" w:rsidP="00D02305">
      <w:pPr>
        <w:spacing w:after="120" w:line="276" w:lineRule="auto"/>
        <w:jc w:val="both"/>
        <w:rPr>
          <w:lang w:val="en-US" w:eastAsia="ja-JP"/>
        </w:rPr>
      </w:pPr>
      <w:r w:rsidRPr="00497BF9">
        <w:rPr>
          <w:lang w:val="en-US" w:eastAsia="ja-JP"/>
        </w:rPr>
        <w:t>For NR waveform candidates, different types of guard between two symbols may exist, depending on the proposed candidate, for example CP or ZP (zero padding) for OFDM; CP, UW (unique word)</w:t>
      </w:r>
      <w:r w:rsidR="0055591B" w:rsidRPr="00497BF9">
        <w:rPr>
          <w:lang w:val="en-US" w:eastAsia="ja-JP"/>
        </w:rPr>
        <w:t>,</w:t>
      </w:r>
      <w:r w:rsidRPr="00497BF9">
        <w:rPr>
          <w:lang w:val="en-US" w:eastAsia="ja-JP"/>
        </w:rPr>
        <w:t xml:space="preserve"> </w:t>
      </w:r>
      <w:r w:rsidR="0055591B" w:rsidRPr="00497BF9">
        <w:rPr>
          <w:lang w:val="en-US" w:eastAsia="ja-JP"/>
        </w:rPr>
        <w:t xml:space="preserve">ZT (zero-tail), </w:t>
      </w:r>
      <w:r w:rsidRPr="00497BF9">
        <w:rPr>
          <w:lang w:val="en-US" w:eastAsia="ja-JP"/>
        </w:rPr>
        <w:t xml:space="preserve">or other pre-DFT or post-IFFT guard interval (GI) </w:t>
      </w:r>
      <w:r w:rsidR="0055591B" w:rsidRPr="00497BF9">
        <w:rPr>
          <w:lang w:val="en-US" w:eastAsia="ja-JP"/>
        </w:rPr>
        <w:t xml:space="preserve">reserved within the </w:t>
      </w:r>
      <w:r w:rsidR="0055591B" w:rsidRPr="00497BF9">
        <w:rPr>
          <w:i/>
          <w:lang w:val="en-US" w:eastAsia="ja-JP"/>
        </w:rPr>
        <w:t>N</w:t>
      </w:r>
      <w:r w:rsidR="0055591B" w:rsidRPr="00497BF9">
        <w:rPr>
          <w:vertAlign w:val="subscript"/>
          <w:lang w:val="en-US" w:eastAsia="ja-JP"/>
        </w:rPr>
        <w:t>FFT</w:t>
      </w:r>
      <w:r w:rsidR="0055591B" w:rsidRPr="00497BF9">
        <w:rPr>
          <w:lang w:val="en-US" w:eastAsia="ja-JP"/>
        </w:rPr>
        <w:t xml:space="preserve"> samples at the output of the IFFT </w:t>
      </w:r>
      <w:r w:rsidRPr="00497BF9">
        <w:rPr>
          <w:lang w:val="en-US" w:eastAsia="ja-JP"/>
        </w:rPr>
        <w:t>for DFT-s-OFDM, etc</w:t>
      </w:r>
      <w:r w:rsidR="0055591B" w:rsidRPr="00497BF9">
        <w:rPr>
          <w:lang w:val="en-US" w:eastAsia="ja-JP"/>
        </w:rPr>
        <w:t xml:space="preserve">… CP and ZP assume adding </w:t>
      </w:r>
      <w:r w:rsidR="0055591B" w:rsidRPr="00497BF9">
        <w:rPr>
          <w:i/>
          <w:lang w:val="en-US" w:eastAsia="ja-JP"/>
        </w:rPr>
        <w:t>N</w:t>
      </w:r>
      <w:r w:rsidR="0055591B" w:rsidRPr="00497BF9">
        <w:rPr>
          <w:vertAlign w:val="subscript"/>
          <w:lang w:val="en-US" w:eastAsia="ja-JP"/>
        </w:rPr>
        <w:t xml:space="preserve">CP/ZP </w:t>
      </w:r>
      <w:r w:rsidR="0055591B" w:rsidRPr="00497BF9">
        <w:rPr>
          <w:lang w:val="en-US" w:eastAsia="ja-JP"/>
        </w:rPr>
        <w:t xml:space="preserve">samples after the IFFT for an effective guard time of </w:t>
      </w:r>
      <w:r w:rsidR="0055591B" w:rsidRPr="00497BF9">
        <w:rPr>
          <w:i/>
          <w:lang w:val="en-US" w:eastAsia="ja-JP"/>
        </w:rPr>
        <w:t>N</w:t>
      </w:r>
      <w:r w:rsidR="0055591B" w:rsidRPr="00497BF9">
        <w:rPr>
          <w:vertAlign w:val="subscript"/>
          <w:lang w:val="en-US" w:eastAsia="ja-JP"/>
        </w:rPr>
        <w:t>CP/ZP</w:t>
      </w:r>
      <w:r w:rsidR="0055591B" w:rsidRPr="00497BF9">
        <w:rPr>
          <w:lang w:val="en-US" w:eastAsia="ja-JP"/>
        </w:rPr>
        <w:t>/F</w:t>
      </w:r>
      <w:r w:rsidR="0055591B" w:rsidRPr="00497BF9">
        <w:rPr>
          <w:vertAlign w:val="subscript"/>
          <w:lang w:val="en-US" w:eastAsia="ja-JP"/>
        </w:rPr>
        <w:t>s</w:t>
      </w:r>
      <w:r w:rsidR="0055591B" w:rsidRPr="00497BF9">
        <w:rPr>
          <w:lang w:val="en-US" w:eastAsia="ja-JP"/>
        </w:rPr>
        <w:t xml:space="preserve"> (s)</w:t>
      </w:r>
      <w:r w:rsidR="00051059">
        <w:rPr>
          <w:rFonts w:hint="eastAsia"/>
          <w:lang w:val="en-US" w:eastAsia="ja-JP"/>
        </w:rPr>
        <w:t xml:space="preserve">, where </w:t>
      </w:r>
      <w:r w:rsidR="00051059" w:rsidRPr="00497BF9">
        <w:rPr>
          <w:lang w:val="en-US" w:eastAsia="ja-JP"/>
        </w:rPr>
        <w:t>F</w:t>
      </w:r>
      <w:r w:rsidR="00051059" w:rsidRPr="00497BF9">
        <w:rPr>
          <w:vertAlign w:val="subscript"/>
          <w:lang w:val="en-US" w:eastAsia="ja-JP"/>
        </w:rPr>
        <w:t>s</w:t>
      </w:r>
      <w:r w:rsidR="00051059">
        <w:rPr>
          <w:rFonts w:hint="eastAsia"/>
          <w:vertAlign w:val="subscript"/>
          <w:lang w:val="en-US" w:eastAsia="ja-JP"/>
        </w:rPr>
        <w:t xml:space="preserve"> </w:t>
      </w:r>
      <w:r w:rsidR="00051059">
        <w:rPr>
          <w:rFonts w:hint="eastAsia"/>
          <w:lang w:val="en-US" w:eastAsia="ja-JP"/>
        </w:rPr>
        <w:t>is the sampling frequency</w:t>
      </w:r>
      <w:r w:rsidR="0055591B" w:rsidRPr="00497BF9">
        <w:rPr>
          <w:lang w:val="en-US" w:eastAsia="ja-JP"/>
        </w:rPr>
        <w:t xml:space="preserve">. Symbol length (guard included) varies with the length of the guard. For UW/ZT/GI </w:t>
      </w:r>
      <w:proofErr w:type="spellStart"/>
      <w:r w:rsidR="0055591B" w:rsidRPr="00497BF9">
        <w:rPr>
          <w:lang w:val="en-US" w:eastAsia="ja-JP"/>
        </w:rPr>
        <w:t>DFTsOFDM</w:t>
      </w:r>
      <w:proofErr w:type="spellEnd"/>
      <w:r w:rsidR="0055591B" w:rsidRPr="00497BF9">
        <w:rPr>
          <w:lang w:val="en-US" w:eastAsia="ja-JP"/>
        </w:rPr>
        <w:t xml:space="preserve">, guard time is implemented by replacing </w:t>
      </w:r>
      <w:r w:rsidR="0055591B" w:rsidRPr="00497BF9">
        <w:rPr>
          <w:i/>
          <w:lang w:val="en-US" w:eastAsia="ja-JP"/>
        </w:rPr>
        <w:t>M</w:t>
      </w:r>
      <w:r w:rsidR="0055591B" w:rsidRPr="00497BF9">
        <w:rPr>
          <w:vertAlign w:val="subscript"/>
          <w:lang w:val="en-US" w:eastAsia="ja-JP"/>
        </w:rPr>
        <w:t xml:space="preserve">UW/ZT/GI </w:t>
      </w:r>
      <w:r w:rsidR="0055591B" w:rsidRPr="00497BF9">
        <w:rPr>
          <w:lang w:val="en-US" w:eastAsia="ja-JP"/>
        </w:rPr>
        <w:t xml:space="preserve">out of </w:t>
      </w:r>
      <w:r w:rsidR="0055591B" w:rsidRPr="00497BF9">
        <w:rPr>
          <w:i/>
          <w:lang w:val="en-US" w:eastAsia="ja-JP"/>
        </w:rPr>
        <w:t>M</w:t>
      </w:r>
      <w:r w:rsidR="0055591B" w:rsidRPr="00497BF9">
        <w:rPr>
          <w:lang w:val="en-US" w:eastAsia="ja-JP"/>
        </w:rPr>
        <w:t xml:space="preserve"> </w:t>
      </w:r>
      <w:r w:rsidR="00051059">
        <w:rPr>
          <w:rFonts w:hint="eastAsia"/>
          <w:lang w:val="en-US" w:eastAsia="ja-JP"/>
        </w:rPr>
        <w:t>data</w:t>
      </w:r>
      <w:r w:rsidR="00051059" w:rsidRPr="00497BF9">
        <w:rPr>
          <w:lang w:val="en-US" w:eastAsia="ja-JP"/>
        </w:rPr>
        <w:t xml:space="preserve"> </w:t>
      </w:r>
      <w:r w:rsidR="0055591B" w:rsidRPr="00497BF9">
        <w:rPr>
          <w:lang w:val="en-US" w:eastAsia="ja-JP"/>
        </w:rPr>
        <w:t xml:space="preserve">symbols before the DFT with a desired sequence, which creates an equivalent guard of </w:t>
      </w:r>
      <w:r w:rsidR="0055591B" w:rsidRPr="00497BF9">
        <w:rPr>
          <w:i/>
          <w:lang w:val="en-US" w:eastAsia="ja-JP"/>
        </w:rPr>
        <w:t>N</w:t>
      </w:r>
      <w:r w:rsidR="0055591B" w:rsidRPr="00497BF9">
        <w:rPr>
          <w:vertAlign w:val="subscript"/>
          <w:lang w:val="en-US" w:eastAsia="ja-JP"/>
        </w:rPr>
        <w:t xml:space="preserve">UW/ZT/GI </w:t>
      </w:r>
      <w:r w:rsidR="0055591B" w:rsidRPr="00497BF9">
        <w:rPr>
          <w:lang w:val="en-US" w:eastAsia="ja-JP"/>
        </w:rPr>
        <w:t xml:space="preserve">= </w:t>
      </w:r>
      <w:r w:rsidR="0055591B" w:rsidRPr="00497BF9">
        <w:rPr>
          <w:i/>
          <w:lang w:val="en-US" w:eastAsia="ja-JP"/>
        </w:rPr>
        <w:t>M</w:t>
      </w:r>
      <w:r w:rsidR="0055591B" w:rsidRPr="00497BF9">
        <w:rPr>
          <w:vertAlign w:val="subscript"/>
          <w:lang w:val="en-US" w:eastAsia="ja-JP"/>
        </w:rPr>
        <w:t>UW/ZT/GI</w:t>
      </w:r>
      <w:r w:rsidR="0055591B" w:rsidRPr="00497BF9">
        <w:rPr>
          <w:lang w:val="en-US" w:eastAsia="ja-JP"/>
        </w:rPr>
        <w:t>*</w:t>
      </w:r>
      <w:r w:rsidR="0055591B" w:rsidRPr="00497BF9">
        <w:rPr>
          <w:i/>
          <w:lang w:val="en-US" w:eastAsia="ja-JP"/>
        </w:rPr>
        <w:t xml:space="preserve"> N</w:t>
      </w:r>
      <w:r w:rsidR="0055591B" w:rsidRPr="00497BF9">
        <w:rPr>
          <w:vertAlign w:val="subscript"/>
          <w:lang w:val="en-US" w:eastAsia="ja-JP"/>
        </w:rPr>
        <w:t>FFT</w:t>
      </w:r>
      <w:r w:rsidR="0055591B" w:rsidRPr="00497BF9">
        <w:rPr>
          <w:lang w:val="en-US" w:eastAsia="ja-JP"/>
        </w:rPr>
        <w:t xml:space="preserve"> /</w:t>
      </w:r>
      <w:r w:rsidR="0055591B" w:rsidRPr="00497BF9">
        <w:rPr>
          <w:i/>
          <w:lang w:val="en-US" w:eastAsia="ja-JP"/>
        </w:rPr>
        <w:t>M</w:t>
      </w:r>
      <w:r w:rsidR="0055591B" w:rsidRPr="00497BF9">
        <w:rPr>
          <w:lang w:val="en-US" w:eastAsia="ja-JP"/>
        </w:rPr>
        <w:t xml:space="preserve"> samples between data parts in two successive symbols</w:t>
      </w:r>
      <w:r w:rsidR="00036195">
        <w:rPr>
          <w:lang w:val="en-US" w:eastAsia="ja-JP"/>
        </w:rPr>
        <w:t xml:space="preserve"> </w:t>
      </w:r>
      <w:r w:rsidR="009C21DE">
        <w:rPr>
          <w:lang w:val="en-US" w:eastAsia="ja-JP"/>
        </w:rPr>
        <w:fldChar w:fldCharType="begin"/>
      </w:r>
      <w:r w:rsidR="00036195">
        <w:rPr>
          <w:lang w:val="en-US" w:eastAsia="ja-JP"/>
        </w:rPr>
        <w:instrText xml:space="preserve"> REF _Ref457689800 \r \h </w:instrText>
      </w:r>
      <w:r w:rsidR="009C21DE">
        <w:rPr>
          <w:lang w:val="en-US" w:eastAsia="ja-JP"/>
        </w:rPr>
      </w:r>
      <w:r w:rsidR="009C21DE">
        <w:rPr>
          <w:lang w:val="en-US" w:eastAsia="ja-JP"/>
        </w:rPr>
        <w:fldChar w:fldCharType="separate"/>
      </w:r>
      <w:r w:rsidR="00036195">
        <w:rPr>
          <w:lang w:val="en-US" w:eastAsia="ja-JP"/>
        </w:rPr>
        <w:t>[2]</w:t>
      </w:r>
      <w:r w:rsidR="009C21DE">
        <w:rPr>
          <w:lang w:val="en-US" w:eastAsia="ja-JP"/>
        </w:rPr>
        <w:fldChar w:fldCharType="end"/>
      </w:r>
      <w:r w:rsidR="00036195">
        <w:rPr>
          <w:lang w:val="en-US" w:eastAsia="ja-JP"/>
        </w:rPr>
        <w:t>.</w:t>
      </w:r>
      <w:r w:rsidR="0055591B" w:rsidRPr="00497BF9">
        <w:rPr>
          <w:lang w:val="en-US" w:eastAsia="ja-JP"/>
        </w:rPr>
        <w:t xml:space="preserve"> </w:t>
      </w:r>
      <w:r w:rsidR="00497BF9" w:rsidRPr="00497BF9">
        <w:rPr>
          <w:lang w:val="en-US" w:eastAsia="ja-JP"/>
        </w:rPr>
        <w:t>No further CP is appended</w:t>
      </w:r>
      <w:r w:rsidR="00036195">
        <w:rPr>
          <w:lang w:val="en-US" w:eastAsia="ja-JP"/>
        </w:rPr>
        <w:t xml:space="preserve">, which has to be taken into account when setting numerology choices </w:t>
      </w:r>
      <w:r w:rsidR="009C21DE">
        <w:rPr>
          <w:lang w:val="en-US" w:eastAsia="ja-JP"/>
        </w:rPr>
        <w:fldChar w:fldCharType="begin"/>
      </w:r>
      <w:r w:rsidR="00036195">
        <w:rPr>
          <w:lang w:val="en-US" w:eastAsia="ja-JP"/>
        </w:rPr>
        <w:instrText xml:space="preserve"> REF _Ref457689947 \r \h </w:instrText>
      </w:r>
      <w:r w:rsidR="009C21DE">
        <w:rPr>
          <w:lang w:val="en-US" w:eastAsia="ja-JP"/>
        </w:rPr>
      </w:r>
      <w:r w:rsidR="009C21DE">
        <w:rPr>
          <w:lang w:val="en-US" w:eastAsia="ja-JP"/>
        </w:rPr>
        <w:fldChar w:fldCharType="separate"/>
      </w:r>
      <w:r w:rsidR="00036195">
        <w:rPr>
          <w:lang w:val="en-US" w:eastAsia="ja-JP"/>
        </w:rPr>
        <w:t>[3]</w:t>
      </w:r>
      <w:r w:rsidR="009C21DE">
        <w:rPr>
          <w:lang w:val="en-US" w:eastAsia="ja-JP"/>
        </w:rPr>
        <w:fldChar w:fldCharType="end"/>
      </w:r>
      <w:r w:rsidR="00036195">
        <w:rPr>
          <w:lang w:val="en-US" w:eastAsia="ja-JP"/>
        </w:rPr>
        <w:t xml:space="preserve">, </w:t>
      </w:r>
      <w:r w:rsidR="009C21DE">
        <w:rPr>
          <w:lang w:val="en-US" w:eastAsia="ja-JP"/>
        </w:rPr>
        <w:fldChar w:fldCharType="begin"/>
      </w:r>
      <w:r w:rsidR="00036195">
        <w:rPr>
          <w:lang w:val="en-US" w:eastAsia="ja-JP"/>
        </w:rPr>
        <w:instrText xml:space="preserve"> REF _Ref457689949 \r \h </w:instrText>
      </w:r>
      <w:r w:rsidR="009C21DE">
        <w:rPr>
          <w:lang w:val="en-US" w:eastAsia="ja-JP"/>
        </w:rPr>
      </w:r>
      <w:r w:rsidR="009C21DE">
        <w:rPr>
          <w:lang w:val="en-US" w:eastAsia="ja-JP"/>
        </w:rPr>
        <w:fldChar w:fldCharType="separate"/>
      </w:r>
      <w:r w:rsidR="00036195">
        <w:rPr>
          <w:lang w:val="en-US" w:eastAsia="ja-JP"/>
        </w:rPr>
        <w:t>[4]</w:t>
      </w:r>
      <w:r w:rsidR="009C21DE">
        <w:rPr>
          <w:lang w:val="en-US" w:eastAsia="ja-JP"/>
        </w:rPr>
        <w:fldChar w:fldCharType="end"/>
      </w:r>
      <w:r w:rsidR="00036195">
        <w:rPr>
          <w:lang w:val="en-US" w:eastAsia="ja-JP"/>
        </w:rPr>
        <w:t xml:space="preserve">, </w:t>
      </w:r>
      <w:r w:rsidR="009C21DE">
        <w:rPr>
          <w:lang w:val="en-US" w:eastAsia="ja-JP"/>
        </w:rPr>
        <w:fldChar w:fldCharType="begin"/>
      </w:r>
      <w:r w:rsidR="00036195">
        <w:rPr>
          <w:lang w:val="en-US" w:eastAsia="ja-JP"/>
        </w:rPr>
        <w:instrText xml:space="preserve"> REF _Ref457689951 \r \h </w:instrText>
      </w:r>
      <w:r w:rsidR="009C21DE">
        <w:rPr>
          <w:lang w:val="en-US" w:eastAsia="ja-JP"/>
        </w:rPr>
      </w:r>
      <w:r w:rsidR="009C21DE">
        <w:rPr>
          <w:lang w:val="en-US" w:eastAsia="ja-JP"/>
        </w:rPr>
        <w:fldChar w:fldCharType="separate"/>
      </w:r>
      <w:r w:rsidR="00036195">
        <w:rPr>
          <w:lang w:val="en-US" w:eastAsia="ja-JP"/>
        </w:rPr>
        <w:t>[5]</w:t>
      </w:r>
      <w:r w:rsidR="009C21DE">
        <w:rPr>
          <w:lang w:val="en-US" w:eastAsia="ja-JP"/>
        </w:rPr>
        <w:fldChar w:fldCharType="end"/>
      </w:r>
      <w:r w:rsidR="00497BF9" w:rsidRPr="00497BF9">
        <w:rPr>
          <w:lang w:val="en-US" w:eastAsia="ja-JP"/>
        </w:rPr>
        <w:t xml:space="preserve">. There is thus no </w:t>
      </w:r>
      <w:r w:rsidR="0055591B" w:rsidRPr="00497BF9">
        <w:rPr>
          <w:lang w:val="en-US" w:eastAsia="ja-JP"/>
        </w:rPr>
        <w:t xml:space="preserve">modification of the symbol length (guard included), irrespective of the length of the guard. This leads to an effective guard time of </w:t>
      </w:r>
      <w:r w:rsidR="0055591B" w:rsidRPr="00497BF9">
        <w:rPr>
          <w:i/>
          <w:lang w:val="en-US" w:eastAsia="ja-JP"/>
        </w:rPr>
        <w:t>N</w:t>
      </w:r>
      <w:r w:rsidR="0055591B" w:rsidRPr="00497BF9">
        <w:rPr>
          <w:vertAlign w:val="subscript"/>
          <w:lang w:val="en-US" w:eastAsia="ja-JP"/>
        </w:rPr>
        <w:t xml:space="preserve">UW/ZT/GI </w:t>
      </w:r>
      <w:r w:rsidR="0055591B" w:rsidRPr="00497BF9">
        <w:rPr>
          <w:lang w:val="en-US" w:eastAsia="ja-JP"/>
        </w:rPr>
        <w:t>/F</w:t>
      </w:r>
      <w:r w:rsidR="0055591B" w:rsidRPr="00497BF9">
        <w:rPr>
          <w:vertAlign w:val="subscript"/>
          <w:lang w:val="en-US" w:eastAsia="ja-JP"/>
        </w:rPr>
        <w:t>s</w:t>
      </w:r>
      <w:r w:rsidR="0055591B" w:rsidRPr="00497BF9">
        <w:rPr>
          <w:lang w:val="en-US" w:eastAsia="ja-JP"/>
        </w:rPr>
        <w:t xml:space="preserve"> (s).</w:t>
      </w:r>
    </w:p>
    <w:p w:rsidR="0055591B" w:rsidRDefault="0055591B" w:rsidP="00D02305">
      <w:pPr>
        <w:spacing w:after="120" w:line="276" w:lineRule="auto"/>
        <w:jc w:val="both"/>
        <w:rPr>
          <w:lang w:val="en-US" w:eastAsia="ja-JP"/>
        </w:rPr>
      </w:pPr>
      <w:r w:rsidRPr="00497BF9">
        <w:rPr>
          <w:lang w:val="en-US" w:eastAsia="ja-JP"/>
        </w:rPr>
        <w:t>Guard</w:t>
      </w:r>
      <w:r w:rsidR="00674176" w:rsidRPr="00497BF9">
        <w:rPr>
          <w:lang w:val="en-US" w:eastAsia="ja-JP"/>
        </w:rPr>
        <w:t xml:space="preserve"> lengths choice is usually made based on the RMS delay spread of the typical channels. </w:t>
      </w:r>
      <w:r w:rsidRPr="00497BF9">
        <w:rPr>
          <w:lang w:val="en-US" w:eastAsia="ja-JP"/>
        </w:rPr>
        <w:t xml:space="preserve">Other factors may be taken into account, such as the need for a larger guard for the first symbol in order to allow beam switching. In NR, especially in </w:t>
      </w:r>
      <w:proofErr w:type="spellStart"/>
      <w:r w:rsidRPr="00497BF9">
        <w:rPr>
          <w:lang w:val="en-US" w:eastAsia="ja-JP"/>
        </w:rPr>
        <w:t>mmW</w:t>
      </w:r>
      <w:r w:rsidR="0098613C" w:rsidRPr="00497BF9">
        <w:rPr>
          <w:lang w:val="en-US" w:eastAsia="ja-JP"/>
        </w:rPr>
        <w:t>ave</w:t>
      </w:r>
      <w:proofErr w:type="spellEnd"/>
      <w:r w:rsidR="0098613C" w:rsidRPr="00497BF9">
        <w:rPr>
          <w:lang w:val="en-US" w:eastAsia="ja-JP"/>
        </w:rPr>
        <w:t xml:space="preserve"> bands, the delay spread of the channel is </w:t>
      </w:r>
      <w:r w:rsidR="0098613C" w:rsidRPr="00497BF9">
        <w:rPr>
          <w:lang w:val="en-US" w:eastAsia="ja-JP"/>
        </w:rPr>
        <w:lastRenderedPageBreak/>
        <w:t xml:space="preserve">significantly reduced due to narrow </w:t>
      </w:r>
      <w:proofErr w:type="spellStart"/>
      <w:r w:rsidR="0098613C" w:rsidRPr="00497BF9">
        <w:rPr>
          <w:lang w:val="en-US" w:eastAsia="ja-JP"/>
        </w:rPr>
        <w:t>beamforming</w:t>
      </w:r>
      <w:proofErr w:type="spellEnd"/>
      <w:r w:rsidRPr="00497BF9">
        <w:rPr>
          <w:lang w:val="en-US" w:eastAsia="ja-JP"/>
        </w:rPr>
        <w:t xml:space="preserve">. In UL for example, the effective delay spread experienced by each UE depends </w:t>
      </w:r>
      <w:proofErr w:type="gramStart"/>
      <w:r w:rsidRPr="00497BF9">
        <w:rPr>
          <w:lang w:val="en-US" w:eastAsia="ja-JP"/>
        </w:rPr>
        <w:t>on</w:t>
      </w:r>
      <w:r w:rsidR="00036195">
        <w:rPr>
          <w:lang w:val="en-US" w:eastAsia="ja-JP"/>
        </w:rPr>
        <w:t xml:space="preserve"> </w:t>
      </w:r>
      <w:r w:rsidRPr="00497BF9">
        <w:rPr>
          <w:lang w:val="en-US" w:eastAsia="ja-JP"/>
        </w:rPr>
        <w:t xml:space="preserve"> the</w:t>
      </w:r>
      <w:proofErr w:type="gramEnd"/>
      <w:r w:rsidRPr="00497BF9">
        <w:rPr>
          <w:lang w:val="en-US" w:eastAsia="ja-JP"/>
        </w:rPr>
        <w:t xml:space="preserve"> number of the antennas at the UE. Guard overhead should be as small as possible in order to maximize the throughput. </w:t>
      </w:r>
    </w:p>
    <w:p w:rsidR="004A6DCA" w:rsidRPr="00497BF9" w:rsidRDefault="004A6DCA" w:rsidP="00D02305">
      <w:pPr>
        <w:spacing w:after="120" w:line="276" w:lineRule="auto"/>
        <w:jc w:val="both"/>
        <w:rPr>
          <w:lang w:val="en-US" w:eastAsia="ja-JP"/>
        </w:rPr>
      </w:pPr>
      <w:r w:rsidRPr="004A6DCA">
        <w:rPr>
          <w:b/>
          <w:lang w:val="en-US" w:eastAsia="ja-JP"/>
        </w:rPr>
        <w:t>Observation</w:t>
      </w:r>
      <w:r>
        <w:rPr>
          <w:b/>
          <w:lang w:val="en-US" w:eastAsia="ja-JP"/>
        </w:rPr>
        <w:t xml:space="preserve"> 1</w:t>
      </w:r>
      <w:r w:rsidRPr="004A6DCA">
        <w:rPr>
          <w:b/>
          <w:lang w:val="en-US" w:eastAsia="ja-JP"/>
        </w:rPr>
        <w:t>:</w:t>
      </w:r>
      <w:r>
        <w:rPr>
          <w:lang w:val="en-US" w:eastAsia="ja-JP"/>
        </w:rPr>
        <w:t xml:space="preserve"> </w:t>
      </w:r>
      <w:r w:rsidRPr="004A6DCA">
        <w:rPr>
          <w:i/>
          <w:iCs/>
        </w:rPr>
        <w:t>Guard length</w:t>
      </w:r>
      <w:r w:rsidRPr="004A6DCA">
        <w:rPr>
          <w:rFonts w:hint="eastAsia"/>
          <w:i/>
          <w:iCs/>
        </w:rPr>
        <w:t xml:space="preserve"> should flexible </w:t>
      </w:r>
      <w:r>
        <w:rPr>
          <w:i/>
          <w:iCs/>
        </w:rPr>
        <w:t>so as to minimize guard overhead in a large variety of scenarios.</w:t>
      </w:r>
    </w:p>
    <w:p w:rsidR="00674176" w:rsidRPr="00497BF9" w:rsidRDefault="0055591B" w:rsidP="00D02305">
      <w:pPr>
        <w:spacing w:after="120" w:line="276" w:lineRule="auto"/>
        <w:jc w:val="both"/>
        <w:rPr>
          <w:lang w:val="en-US" w:eastAsia="ja-JP"/>
        </w:rPr>
      </w:pPr>
      <w:r w:rsidRPr="00497BF9">
        <w:rPr>
          <w:lang w:val="en-US" w:eastAsia="ja-JP"/>
        </w:rPr>
        <w:t>There is thus a need of flexibility for the guard time choice. To a certain extent, guard time can be adapted through subcarrier spacing scaling. Scaling ∆f with 2</w:t>
      </w:r>
      <w:r w:rsidRPr="00497BF9">
        <w:rPr>
          <w:i/>
          <w:vertAlign w:val="superscript"/>
          <w:lang w:val="en-US" w:eastAsia="ja-JP"/>
        </w:rPr>
        <w:t>n</w:t>
      </w:r>
      <w:r w:rsidRPr="00497BF9">
        <w:rPr>
          <w:lang w:val="en-US" w:eastAsia="ja-JP"/>
        </w:rPr>
        <w:t xml:space="preserve"> for a larger SCS while keeping the same IFFT size divides by 2</w:t>
      </w:r>
      <w:r w:rsidRPr="00497BF9">
        <w:rPr>
          <w:i/>
          <w:vertAlign w:val="superscript"/>
          <w:lang w:val="en-US" w:eastAsia="ja-JP"/>
        </w:rPr>
        <w:t>n</w:t>
      </w:r>
      <w:r w:rsidRPr="00497BF9">
        <w:rPr>
          <w:lang w:val="en-US" w:eastAsia="ja-JP"/>
        </w:rPr>
        <w:t xml:space="preserve"> the symbol duration and implicitly the guard time. But as discussed here-above, flexible guard time adaptation may be necessary </w:t>
      </w:r>
      <w:proofErr w:type="gramStart"/>
      <w:r w:rsidRPr="00497BF9">
        <w:rPr>
          <w:lang w:val="en-US" w:eastAsia="ja-JP"/>
        </w:rPr>
        <w:t>for each subcarrier spacing</w:t>
      </w:r>
      <w:proofErr w:type="gramEnd"/>
      <w:r w:rsidRPr="00497BF9">
        <w:rPr>
          <w:lang w:val="en-US" w:eastAsia="ja-JP"/>
        </w:rPr>
        <w:t xml:space="preserve">. </w:t>
      </w:r>
    </w:p>
    <w:p w:rsidR="0001728D" w:rsidRDefault="009C21DE" w:rsidP="00D02305">
      <w:pPr>
        <w:spacing w:after="120" w:line="276" w:lineRule="auto"/>
        <w:jc w:val="both"/>
        <w:rPr>
          <w:lang w:val="en-US" w:eastAsia="ja-JP"/>
        </w:rPr>
      </w:pPr>
      <w:fldSimple w:instr=" REF _Ref456790856 \h  \* MERGEFORMAT ">
        <w:r w:rsidR="00497BF9" w:rsidRPr="00497BF9">
          <w:t>Figure 1</w:t>
        </w:r>
      </w:fldSimple>
      <w:r w:rsidR="00497BF9" w:rsidRPr="00497BF9">
        <w:rPr>
          <w:lang w:val="en-US" w:eastAsia="ja-JP"/>
        </w:rPr>
        <w:t xml:space="preserve"> </w:t>
      </w:r>
      <w:r w:rsidR="00497BF9">
        <w:rPr>
          <w:lang w:val="en-US" w:eastAsia="ja-JP"/>
        </w:rPr>
        <w:t xml:space="preserve">shows an example of multiple CP lengths (a, b) for CP-based waveforms and flexible guard time adaptation (c, d) for CP-less waveforms. The example is given for the baseline design with </w:t>
      </w:r>
      <w:r w:rsidR="00497BF9" w:rsidRPr="00497BF9">
        <w:rPr>
          <w:lang w:val="en-US" w:eastAsia="ja-JP"/>
        </w:rPr>
        <w:t>∆f</w:t>
      </w:r>
      <w:r w:rsidR="00497BF9">
        <w:rPr>
          <w:lang w:val="en-US" w:eastAsia="ja-JP"/>
        </w:rPr>
        <w:t>=</w:t>
      </w:r>
      <w:proofErr w:type="gramStart"/>
      <w:r w:rsidR="00497BF9">
        <w:rPr>
          <w:lang w:val="en-US" w:eastAsia="ja-JP"/>
        </w:rPr>
        <w:t>15kHz</w:t>
      </w:r>
      <w:proofErr w:type="gramEnd"/>
      <w:r w:rsidR="00497BF9">
        <w:rPr>
          <w:lang w:val="en-US" w:eastAsia="ja-JP"/>
        </w:rPr>
        <w:t xml:space="preserve"> and TTI length of 1ms. Cases </w:t>
      </w:r>
      <w:proofErr w:type="gramStart"/>
      <w:r w:rsidR="00497BF9">
        <w:rPr>
          <w:lang w:val="en-US" w:eastAsia="ja-JP"/>
        </w:rPr>
        <w:t>a and</w:t>
      </w:r>
      <w:proofErr w:type="gramEnd"/>
      <w:r w:rsidR="00497BF9">
        <w:rPr>
          <w:lang w:val="en-US" w:eastAsia="ja-JP"/>
        </w:rPr>
        <w:t xml:space="preserve"> b represent LTE-based numerology with normal and extended CP respectively. Cases c and d represent an example of numerology suitable for </w:t>
      </w:r>
      <w:proofErr w:type="spellStart"/>
      <w:r w:rsidR="00497BF9">
        <w:rPr>
          <w:lang w:val="en-US" w:eastAsia="ja-JP"/>
        </w:rPr>
        <w:t>CPless</w:t>
      </w:r>
      <w:proofErr w:type="spellEnd"/>
      <w:r w:rsidR="00497BF9">
        <w:rPr>
          <w:lang w:val="en-US" w:eastAsia="ja-JP"/>
        </w:rPr>
        <w:t xml:space="preserve"> waveforms (e.g. UW/ZT/GI </w:t>
      </w:r>
      <w:proofErr w:type="spellStart"/>
      <w:r w:rsidR="00497BF9">
        <w:rPr>
          <w:lang w:val="en-US" w:eastAsia="ja-JP"/>
        </w:rPr>
        <w:t>DFTsOFDM</w:t>
      </w:r>
      <w:proofErr w:type="spellEnd"/>
      <w:r w:rsidR="00497BF9">
        <w:rPr>
          <w:lang w:val="en-US" w:eastAsia="ja-JP"/>
        </w:rPr>
        <w:t xml:space="preserve">). To fill a 1ms TTI, one extra symbol is needed </w:t>
      </w:r>
      <w:proofErr w:type="spellStart"/>
      <w:r w:rsidR="00497BF9">
        <w:rPr>
          <w:lang w:val="en-US" w:eastAsia="ja-JP"/>
        </w:rPr>
        <w:t>wrt</w:t>
      </w:r>
      <w:proofErr w:type="spellEnd"/>
      <w:r w:rsidR="00497BF9">
        <w:rPr>
          <w:lang w:val="en-US" w:eastAsia="ja-JP"/>
        </w:rPr>
        <w:t xml:space="preserve"> CP-based waveforms with normal CP, assuming that all other parameters remain unchanged (bandwidth, SCS, N</w:t>
      </w:r>
      <w:r w:rsidR="00497BF9" w:rsidRPr="00497BF9">
        <w:rPr>
          <w:vertAlign w:val="subscript"/>
          <w:lang w:val="en-US" w:eastAsia="ja-JP"/>
        </w:rPr>
        <w:t>FFT</w:t>
      </w:r>
      <w:r w:rsidR="00497BF9">
        <w:rPr>
          <w:lang w:val="en-US" w:eastAsia="ja-JP"/>
        </w:rPr>
        <w:t>, F</w:t>
      </w:r>
      <w:r w:rsidR="00497BF9" w:rsidRPr="00497BF9">
        <w:rPr>
          <w:vertAlign w:val="subscript"/>
          <w:lang w:val="en-US" w:eastAsia="ja-JP"/>
        </w:rPr>
        <w:t>s</w:t>
      </w:r>
      <w:r w:rsidR="00497BF9">
        <w:rPr>
          <w:lang w:val="en-US" w:eastAsia="ja-JP"/>
        </w:rPr>
        <w:t>)</w:t>
      </w:r>
      <w:r w:rsidR="0001728D">
        <w:rPr>
          <w:lang w:val="en-US" w:eastAsia="ja-JP"/>
        </w:rPr>
        <w:t xml:space="preserve">. The example in </w:t>
      </w:r>
      <w:fldSimple w:instr=" REF _Ref456790856 \h  \* MERGEFORMAT ">
        <w:r w:rsidR="0001728D" w:rsidRPr="00497BF9">
          <w:t>Figure 1</w:t>
        </w:r>
      </w:fldSimple>
      <w:r w:rsidR="0001728D">
        <w:rPr>
          <w:lang w:val="en-US" w:eastAsia="ja-JP"/>
        </w:rPr>
        <w:t xml:space="preserve"> c and d shows a UW </w:t>
      </w:r>
      <w:proofErr w:type="spellStart"/>
      <w:r w:rsidR="0001728D">
        <w:rPr>
          <w:lang w:val="en-US" w:eastAsia="ja-JP"/>
        </w:rPr>
        <w:t>DFTsOFDM</w:t>
      </w:r>
      <w:proofErr w:type="spellEnd"/>
      <w:r w:rsidR="0001728D">
        <w:rPr>
          <w:lang w:val="en-US" w:eastAsia="ja-JP"/>
        </w:rPr>
        <w:t xml:space="preserve"> symbol where the UW is split between symbol head and tail. UW can be implemented as head only or tail only. ZT and GI </w:t>
      </w:r>
      <w:proofErr w:type="spellStart"/>
      <w:r w:rsidR="0001728D">
        <w:rPr>
          <w:lang w:val="en-US" w:eastAsia="ja-JP"/>
        </w:rPr>
        <w:t>DFTsOFDM</w:t>
      </w:r>
      <w:proofErr w:type="spellEnd"/>
      <w:r w:rsidR="0001728D">
        <w:rPr>
          <w:lang w:val="en-US" w:eastAsia="ja-JP"/>
        </w:rPr>
        <w:t xml:space="preserve"> can be seen as particular cases of UW, with a specific UW choice/position.</w:t>
      </w:r>
    </w:p>
    <w:p w:rsidR="00D02305" w:rsidRDefault="00D02305" w:rsidP="00D02305">
      <w:pPr>
        <w:spacing w:after="120" w:line="276" w:lineRule="auto"/>
        <w:jc w:val="both"/>
        <w:rPr>
          <w:lang w:val="en-US" w:eastAsia="ja-JP"/>
        </w:rPr>
      </w:pPr>
    </w:p>
    <w:p w:rsidR="0055591B" w:rsidRDefault="0098613C" w:rsidP="0055591B">
      <w:pPr>
        <w:keepNext/>
        <w:spacing w:after="120" w:line="276" w:lineRule="auto"/>
        <w:jc w:val="both"/>
      </w:pPr>
      <w:r>
        <w:rPr>
          <w:rFonts w:asciiTheme="majorHAnsi" w:hAnsiTheme="majorHAnsi" w:cstheme="majorHAnsi"/>
          <w:noProof/>
          <w:lang w:val="fr-FR" w:eastAsia="fr-FR"/>
        </w:rPr>
        <w:drawing>
          <wp:inline distT="0" distB="0" distL="0" distR="0">
            <wp:extent cx="6332220" cy="2352040"/>
            <wp:effectExtent l="19050" t="0" r="0" b="0"/>
            <wp:docPr id="1" name="Image 0" descr="C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png"/>
                    <pic:cNvPicPr/>
                  </pic:nvPicPr>
                  <pic:blipFill>
                    <a:blip r:embed="rId8" cstate="print"/>
                    <a:stretch>
                      <a:fillRect/>
                    </a:stretch>
                  </pic:blipFill>
                  <pic:spPr>
                    <a:xfrm>
                      <a:off x="0" y="0"/>
                      <a:ext cx="6332220" cy="2352040"/>
                    </a:xfrm>
                    <a:prstGeom prst="rect">
                      <a:avLst/>
                    </a:prstGeom>
                  </pic:spPr>
                </pic:pic>
              </a:graphicData>
            </a:graphic>
          </wp:inline>
        </w:drawing>
      </w:r>
    </w:p>
    <w:p w:rsidR="00D02305" w:rsidRPr="001F6AB5" w:rsidRDefault="0055591B" w:rsidP="0055591B">
      <w:pPr>
        <w:pStyle w:val="Lgende"/>
        <w:jc w:val="both"/>
        <w:rPr>
          <w:rFonts w:asciiTheme="majorHAnsi" w:hAnsiTheme="majorHAnsi" w:cstheme="majorHAnsi"/>
          <w:lang w:val="en-US" w:eastAsia="ja-JP"/>
        </w:rPr>
      </w:pPr>
      <w:bookmarkStart w:id="0" w:name="_Ref456790856"/>
      <w:r>
        <w:t xml:space="preserve">Figure </w:t>
      </w:r>
      <w:r w:rsidR="009C21DE">
        <w:fldChar w:fldCharType="begin"/>
      </w:r>
      <w:r w:rsidR="00FA2D5D">
        <w:instrText xml:space="preserve"> SEQ Figure \* ARABIC </w:instrText>
      </w:r>
      <w:r w:rsidR="009C21DE">
        <w:fldChar w:fldCharType="separate"/>
      </w:r>
      <w:proofErr w:type="gramStart"/>
      <w:r>
        <w:rPr>
          <w:noProof/>
        </w:rPr>
        <w:t>1</w:t>
      </w:r>
      <w:r w:rsidR="009C21DE">
        <w:rPr>
          <w:noProof/>
        </w:rPr>
        <w:fldChar w:fldCharType="end"/>
      </w:r>
      <w:bookmarkEnd w:id="0"/>
      <w:r>
        <w:t xml:space="preserve"> Multiple CP lengths </w:t>
      </w:r>
      <w:proofErr w:type="spellStart"/>
      <w:r>
        <w:t>vs</w:t>
      </w:r>
      <w:proofErr w:type="spellEnd"/>
      <w:r>
        <w:t xml:space="preserve"> flexible guard time adaptation</w:t>
      </w:r>
      <w:r w:rsidR="003D5C3B">
        <w:rPr>
          <w:rFonts w:hint="eastAsia"/>
          <w:lang w:eastAsia="ja-JP"/>
        </w:rPr>
        <w:t xml:space="preserve"> for 15kHz</w:t>
      </w:r>
      <w:proofErr w:type="gramEnd"/>
      <w:r w:rsidR="003D5C3B">
        <w:rPr>
          <w:rFonts w:hint="eastAsia"/>
          <w:lang w:eastAsia="ja-JP"/>
        </w:rPr>
        <w:t xml:space="preserve"> SCS</w:t>
      </w:r>
    </w:p>
    <w:p w:rsidR="00497BF9" w:rsidRDefault="00497BF9" w:rsidP="00497BF9">
      <w:pPr>
        <w:spacing w:after="120" w:line="276" w:lineRule="auto"/>
        <w:jc w:val="both"/>
        <w:rPr>
          <w:lang w:val="en-US" w:eastAsia="ja-JP"/>
        </w:rPr>
      </w:pPr>
    </w:p>
    <w:p w:rsidR="004A6DCA" w:rsidRDefault="004A6DCA" w:rsidP="004A6DCA">
      <w:pPr>
        <w:spacing w:after="120" w:line="276" w:lineRule="auto"/>
        <w:jc w:val="both"/>
        <w:rPr>
          <w:lang w:val="en-US" w:eastAsia="ja-JP"/>
        </w:rPr>
      </w:pPr>
      <w:r>
        <w:rPr>
          <w:lang w:val="en-US" w:eastAsia="ja-JP"/>
        </w:rPr>
        <w:t xml:space="preserve">Fine granularity of the guard length can be obtained by varying the number of QAM symbols to be replaced with a known UW, </w:t>
      </w:r>
      <w:r w:rsidRPr="00497BF9">
        <w:rPr>
          <w:i/>
          <w:lang w:val="en-US" w:eastAsia="ja-JP"/>
        </w:rPr>
        <w:t>M</w:t>
      </w:r>
      <w:r w:rsidRPr="00497BF9">
        <w:rPr>
          <w:vertAlign w:val="subscript"/>
          <w:lang w:val="en-US" w:eastAsia="ja-JP"/>
        </w:rPr>
        <w:t>UW</w:t>
      </w:r>
      <w:r>
        <w:rPr>
          <w:lang w:val="en-US" w:eastAsia="ja-JP"/>
        </w:rPr>
        <w:t>. A numerical example</w:t>
      </w:r>
      <w:r w:rsidR="001E7FE0">
        <w:rPr>
          <w:rFonts w:hint="eastAsia"/>
          <w:lang w:val="en-US" w:eastAsia="ja-JP"/>
        </w:rPr>
        <w:t xml:space="preserve"> using M</w:t>
      </w:r>
      <w:r w:rsidR="00251505" w:rsidRPr="00251505">
        <w:rPr>
          <w:vertAlign w:val="subscript"/>
          <w:lang w:val="en-US" w:eastAsia="ja-JP"/>
        </w:rPr>
        <w:t>UW</w:t>
      </w:r>
      <w:r w:rsidR="00051059">
        <w:rPr>
          <w:rFonts w:hint="eastAsia"/>
          <w:lang w:val="en-US" w:eastAsia="ja-JP"/>
        </w:rPr>
        <w:t xml:space="preserve"> for SCS of </w:t>
      </w:r>
      <w:proofErr w:type="gramStart"/>
      <w:r w:rsidR="00051059">
        <w:rPr>
          <w:rFonts w:hint="eastAsia"/>
          <w:lang w:val="en-US" w:eastAsia="ja-JP"/>
        </w:rPr>
        <w:t>15kHz</w:t>
      </w:r>
      <w:proofErr w:type="gramEnd"/>
      <w:r w:rsidR="00051059">
        <w:rPr>
          <w:rFonts w:hint="eastAsia"/>
          <w:lang w:val="en-US" w:eastAsia="ja-JP"/>
        </w:rPr>
        <w:t>, 60kHz and 75kHz</w:t>
      </w:r>
      <w:r>
        <w:rPr>
          <w:lang w:val="en-US" w:eastAsia="ja-JP"/>
        </w:rPr>
        <w:t xml:space="preserve"> is given in </w:t>
      </w:r>
      <w:r w:rsidR="009C21DE">
        <w:rPr>
          <w:lang w:val="en-US" w:eastAsia="ja-JP"/>
        </w:rPr>
        <w:fldChar w:fldCharType="begin"/>
      </w:r>
      <w:r>
        <w:rPr>
          <w:lang w:val="en-US" w:eastAsia="ja-JP"/>
        </w:rPr>
        <w:instrText xml:space="preserve"> REF _Ref456800400 \h </w:instrText>
      </w:r>
      <w:r w:rsidR="009C21DE">
        <w:rPr>
          <w:lang w:val="en-US" w:eastAsia="ja-JP"/>
        </w:rPr>
      </w:r>
      <w:r w:rsidR="009C21DE">
        <w:rPr>
          <w:lang w:val="en-US" w:eastAsia="ja-JP"/>
        </w:rPr>
        <w:fldChar w:fldCharType="separate"/>
      </w:r>
      <w:r>
        <w:t xml:space="preserve">Table </w:t>
      </w:r>
      <w:r>
        <w:rPr>
          <w:noProof/>
        </w:rPr>
        <w:t>1</w:t>
      </w:r>
      <w:r w:rsidR="009C21DE">
        <w:rPr>
          <w:lang w:val="en-US" w:eastAsia="ja-JP"/>
        </w:rPr>
        <w:fldChar w:fldCharType="end"/>
      </w:r>
      <w:r>
        <w:rPr>
          <w:lang w:val="en-US" w:eastAsia="ja-JP"/>
        </w:rPr>
        <w:t>.</w:t>
      </w:r>
      <w:r w:rsidR="001E7FE0">
        <w:rPr>
          <w:rFonts w:hint="eastAsia"/>
          <w:lang w:val="en-US" w:eastAsia="ja-JP"/>
        </w:rPr>
        <w:t xml:space="preserve"> The same analysis can be conducted for ZT or GI DFT-s-OFDM.</w:t>
      </w:r>
      <w:r>
        <w:rPr>
          <w:lang w:val="en-US" w:eastAsia="ja-JP"/>
        </w:rPr>
        <w:t xml:space="preserve"> Guard length can be adapted per user, without any change in the frame structure. Symbol level boundary alignment can be achieved irrespective of the guard length (UW</w:t>
      </w:r>
      <w:r w:rsidR="00590294">
        <w:rPr>
          <w:rFonts w:hint="eastAsia"/>
          <w:lang w:val="en-US" w:eastAsia="ja-JP"/>
        </w:rPr>
        <w:t>/ZT/GI</w:t>
      </w:r>
      <w:r>
        <w:rPr>
          <w:lang w:val="en-US" w:eastAsia="ja-JP"/>
        </w:rPr>
        <w:t xml:space="preserve"> length)</w:t>
      </w:r>
      <w:r w:rsidR="00010F43">
        <w:rPr>
          <w:lang w:val="en-US" w:eastAsia="ja-JP"/>
        </w:rPr>
        <w:t xml:space="preserve"> as in Figure 1 c and d</w:t>
      </w:r>
      <w:r>
        <w:rPr>
          <w:lang w:val="en-US" w:eastAsia="ja-JP"/>
        </w:rPr>
        <w:t>.</w:t>
      </w:r>
    </w:p>
    <w:p w:rsidR="004A6DCA" w:rsidRDefault="0001440B" w:rsidP="004A6DCA">
      <w:pPr>
        <w:spacing w:after="120" w:line="276" w:lineRule="auto"/>
        <w:jc w:val="both"/>
        <w:rPr>
          <w:lang w:val="en-US" w:eastAsia="ja-JP"/>
        </w:rPr>
      </w:pPr>
      <w:r>
        <w:rPr>
          <w:b/>
          <w:lang w:val="en-US" w:eastAsia="ja-JP"/>
        </w:rPr>
        <w:t>Proposal 1</w:t>
      </w:r>
      <w:r w:rsidR="004A6DCA" w:rsidRPr="004A6DCA">
        <w:rPr>
          <w:b/>
          <w:lang w:val="en-US" w:eastAsia="ja-JP"/>
        </w:rPr>
        <w:t>:</w:t>
      </w:r>
      <w:r w:rsidR="004A6DCA">
        <w:rPr>
          <w:lang w:val="en-US" w:eastAsia="ja-JP"/>
        </w:rPr>
        <w:t xml:space="preserve"> </w:t>
      </w:r>
      <w:r w:rsidR="004A6DCA" w:rsidRPr="004A6DCA">
        <w:rPr>
          <w:i/>
          <w:lang w:val="en-US" w:eastAsia="ja-JP"/>
        </w:rPr>
        <w:t>CP length 0 should be supported in order to allow implementation of CP-less waveforms with flexible guard length</w:t>
      </w:r>
      <w:r w:rsidR="004A6DCA">
        <w:rPr>
          <w:lang w:val="en-US" w:eastAsia="ja-JP"/>
        </w:rPr>
        <w:t>.</w:t>
      </w:r>
    </w:p>
    <w:p w:rsidR="004A6DCA" w:rsidRPr="00497BF9" w:rsidRDefault="004A6DCA" w:rsidP="00497BF9">
      <w:pPr>
        <w:spacing w:after="120" w:line="276" w:lineRule="auto"/>
        <w:jc w:val="both"/>
        <w:rPr>
          <w:lang w:val="en-US" w:eastAsia="ja-JP"/>
        </w:rPr>
      </w:pPr>
    </w:p>
    <w:p w:rsidR="00497BF9" w:rsidRDefault="00497BF9" w:rsidP="00497BF9">
      <w:pPr>
        <w:pStyle w:val="Lgende"/>
        <w:keepNext/>
      </w:pPr>
      <w:bookmarkStart w:id="1" w:name="_Ref456800400"/>
      <w:r>
        <w:lastRenderedPageBreak/>
        <w:t xml:space="preserve">Table </w:t>
      </w:r>
      <w:r w:rsidR="009C21DE">
        <w:fldChar w:fldCharType="begin"/>
      </w:r>
      <w:r w:rsidR="00FA2D5D">
        <w:instrText xml:space="preserve"> SEQ Table \* ARABIC </w:instrText>
      </w:r>
      <w:r w:rsidR="009C21DE">
        <w:fldChar w:fldCharType="separate"/>
      </w:r>
      <w:r>
        <w:rPr>
          <w:noProof/>
        </w:rPr>
        <w:t>1</w:t>
      </w:r>
      <w:r w:rsidR="009C21DE">
        <w:rPr>
          <w:noProof/>
        </w:rPr>
        <w:fldChar w:fldCharType="end"/>
      </w:r>
      <w:bookmarkEnd w:id="1"/>
    </w:p>
    <w:tbl>
      <w:tblPr>
        <w:tblStyle w:val="Grilledutableau"/>
        <w:tblW w:w="0" w:type="auto"/>
        <w:tblLook w:val="04A0"/>
      </w:tblPr>
      <w:tblGrid>
        <w:gridCol w:w="1294"/>
        <w:gridCol w:w="937"/>
        <w:gridCol w:w="989"/>
        <w:gridCol w:w="902"/>
        <w:gridCol w:w="836"/>
        <w:gridCol w:w="824"/>
        <w:gridCol w:w="934"/>
        <w:gridCol w:w="907"/>
        <w:gridCol w:w="840"/>
        <w:gridCol w:w="873"/>
        <w:gridCol w:w="852"/>
      </w:tblGrid>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p>
        </w:tc>
        <w:tc>
          <w:tcPr>
            <w:tcW w:w="93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CP-based</w:t>
            </w:r>
          </w:p>
        </w:tc>
        <w:tc>
          <w:tcPr>
            <w:tcW w:w="3551" w:type="dxa"/>
            <w:gridSpan w:val="4"/>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CP-less</w:t>
            </w:r>
          </w:p>
        </w:tc>
        <w:tc>
          <w:tcPr>
            <w:tcW w:w="93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CP-based</w:t>
            </w:r>
          </w:p>
        </w:tc>
        <w:tc>
          <w:tcPr>
            <w:tcW w:w="3472" w:type="dxa"/>
            <w:gridSpan w:val="4"/>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CP-less</w:t>
            </w:r>
          </w:p>
        </w:tc>
      </w:tr>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BW</w:t>
            </w:r>
          </w:p>
        </w:tc>
        <w:tc>
          <w:tcPr>
            <w:tcW w:w="4488"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20MHz</w:t>
            </w:r>
          </w:p>
        </w:tc>
        <w:tc>
          <w:tcPr>
            <w:tcW w:w="4406"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80MHz</w:t>
            </w:r>
          </w:p>
        </w:tc>
      </w:tr>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SCS</w:t>
            </w:r>
          </w:p>
        </w:tc>
        <w:tc>
          <w:tcPr>
            <w:tcW w:w="4488"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15kHz</w:t>
            </w:r>
          </w:p>
        </w:tc>
        <w:tc>
          <w:tcPr>
            <w:tcW w:w="4406"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60kHz</w:t>
            </w:r>
          </w:p>
        </w:tc>
      </w:tr>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N</w:t>
            </w:r>
            <w:r w:rsidRPr="00497BF9">
              <w:rPr>
                <w:sz w:val="20"/>
                <w:szCs w:val="20"/>
                <w:vertAlign w:val="subscript"/>
                <w:lang w:val="en-US" w:eastAsia="ja-JP"/>
              </w:rPr>
              <w:t>FFT</w:t>
            </w:r>
          </w:p>
        </w:tc>
        <w:tc>
          <w:tcPr>
            <w:tcW w:w="4488"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2048</w:t>
            </w:r>
          </w:p>
        </w:tc>
        <w:tc>
          <w:tcPr>
            <w:tcW w:w="4406"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2048</w:t>
            </w:r>
          </w:p>
        </w:tc>
      </w:tr>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F</w:t>
            </w:r>
            <w:r w:rsidRPr="00497BF9">
              <w:rPr>
                <w:sz w:val="20"/>
                <w:szCs w:val="20"/>
                <w:vertAlign w:val="subscript"/>
                <w:lang w:val="en-US" w:eastAsia="ja-JP"/>
              </w:rPr>
              <w:t>s</w:t>
            </w:r>
          </w:p>
        </w:tc>
        <w:tc>
          <w:tcPr>
            <w:tcW w:w="4488"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30.72MHz</w:t>
            </w:r>
          </w:p>
        </w:tc>
        <w:tc>
          <w:tcPr>
            <w:tcW w:w="4406"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122.88MHz</w:t>
            </w:r>
          </w:p>
        </w:tc>
      </w:tr>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TTI duration</w:t>
            </w:r>
          </w:p>
        </w:tc>
        <w:tc>
          <w:tcPr>
            <w:tcW w:w="4488"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1ms</w:t>
            </w:r>
          </w:p>
        </w:tc>
        <w:tc>
          <w:tcPr>
            <w:tcW w:w="4406" w:type="dxa"/>
            <w:gridSpan w:val="5"/>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250µs</w:t>
            </w:r>
          </w:p>
        </w:tc>
      </w:tr>
      <w:tr w:rsidR="00497BF9" w:rsidRPr="00497BF9" w:rsidTr="00DF07F5">
        <w:trPr>
          <w:trHeight w:val="210"/>
        </w:trPr>
        <w:tc>
          <w:tcPr>
            <w:tcW w:w="1294" w:type="dxa"/>
            <w:vMerge w:val="restart"/>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Guard duration (NCP/ECP and UW)</w:t>
            </w:r>
          </w:p>
        </w:tc>
        <w:tc>
          <w:tcPr>
            <w:tcW w:w="937" w:type="dxa"/>
            <w:vMerge w:val="restart"/>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4.7µs/</w:t>
            </w:r>
            <w:r w:rsidRPr="00497BF9">
              <w:rPr>
                <w:sz w:val="20"/>
                <w:szCs w:val="20"/>
                <w:lang w:val="en-US" w:eastAsia="ja-JP"/>
              </w:rPr>
              <w:br/>
              <w:t>16.67µs</w:t>
            </w:r>
          </w:p>
        </w:tc>
        <w:tc>
          <w:tcPr>
            <w:tcW w:w="989"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90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w:t>
            </w:r>
          </w:p>
        </w:tc>
        <w:tc>
          <w:tcPr>
            <w:tcW w:w="836"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w:t>
            </w:r>
          </w:p>
        </w:tc>
        <w:tc>
          <w:tcPr>
            <w:tcW w:w="82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w:t>
            </w:r>
          </w:p>
        </w:tc>
        <w:tc>
          <w:tcPr>
            <w:tcW w:w="934" w:type="dxa"/>
            <w:vMerge w:val="restart"/>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1.17µs/</w:t>
            </w:r>
            <w:r w:rsidRPr="00497BF9">
              <w:rPr>
                <w:sz w:val="20"/>
                <w:szCs w:val="20"/>
                <w:lang w:val="en-US" w:eastAsia="ja-JP"/>
              </w:rPr>
              <w:br/>
              <w:t>4.16µs</w:t>
            </w:r>
          </w:p>
        </w:tc>
        <w:tc>
          <w:tcPr>
            <w:tcW w:w="90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840"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w:t>
            </w:r>
          </w:p>
        </w:tc>
        <w:tc>
          <w:tcPr>
            <w:tcW w:w="873"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w:t>
            </w:r>
          </w:p>
        </w:tc>
        <w:tc>
          <w:tcPr>
            <w:tcW w:w="85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w:t>
            </w:r>
          </w:p>
        </w:tc>
      </w:tr>
      <w:tr w:rsidR="00497BF9" w:rsidRPr="00497BF9" w:rsidTr="00DF07F5">
        <w:trPr>
          <w:trHeight w:val="208"/>
        </w:trPr>
        <w:tc>
          <w:tcPr>
            <w:tcW w:w="1294" w:type="dxa"/>
            <w:vMerge/>
            <w:vAlign w:val="center"/>
          </w:tcPr>
          <w:p w:rsidR="00497BF9" w:rsidRPr="00497BF9" w:rsidRDefault="00497BF9" w:rsidP="00DF07F5">
            <w:pPr>
              <w:spacing w:after="120" w:line="276" w:lineRule="auto"/>
              <w:jc w:val="center"/>
              <w:rPr>
                <w:sz w:val="20"/>
                <w:szCs w:val="20"/>
                <w:lang w:val="en-US" w:eastAsia="ja-JP"/>
              </w:rPr>
            </w:pPr>
          </w:p>
        </w:tc>
        <w:tc>
          <w:tcPr>
            <w:tcW w:w="937" w:type="dxa"/>
            <w:vMerge/>
            <w:vAlign w:val="center"/>
          </w:tcPr>
          <w:p w:rsidR="00497BF9" w:rsidRPr="00497BF9" w:rsidRDefault="00497BF9" w:rsidP="00DF07F5">
            <w:pPr>
              <w:spacing w:after="120" w:line="276" w:lineRule="auto"/>
              <w:jc w:val="center"/>
              <w:rPr>
                <w:sz w:val="20"/>
                <w:szCs w:val="20"/>
                <w:lang w:val="en-US" w:eastAsia="ja-JP"/>
              </w:rPr>
            </w:pPr>
          </w:p>
        </w:tc>
        <w:tc>
          <w:tcPr>
            <w:tcW w:w="989"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M=48</w:t>
            </w:r>
          </w:p>
        </w:tc>
        <w:tc>
          <w:tcPr>
            <w:tcW w:w="90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2.77µs</w:t>
            </w:r>
          </w:p>
        </w:tc>
        <w:tc>
          <w:tcPr>
            <w:tcW w:w="836"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5.55µs</w:t>
            </w:r>
          </w:p>
        </w:tc>
        <w:tc>
          <w:tcPr>
            <w:tcW w:w="82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8.33µs</w:t>
            </w:r>
          </w:p>
        </w:tc>
        <w:tc>
          <w:tcPr>
            <w:tcW w:w="934" w:type="dxa"/>
            <w:vMerge/>
            <w:vAlign w:val="center"/>
          </w:tcPr>
          <w:p w:rsidR="00497BF9" w:rsidRPr="00497BF9" w:rsidRDefault="00497BF9" w:rsidP="00DF07F5">
            <w:pPr>
              <w:spacing w:after="120" w:line="276" w:lineRule="auto"/>
              <w:jc w:val="center"/>
              <w:rPr>
                <w:sz w:val="20"/>
                <w:szCs w:val="20"/>
                <w:lang w:val="en-US" w:eastAsia="ja-JP"/>
              </w:rPr>
            </w:pPr>
          </w:p>
        </w:tc>
        <w:tc>
          <w:tcPr>
            <w:tcW w:w="90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M=48</w:t>
            </w:r>
          </w:p>
        </w:tc>
        <w:tc>
          <w:tcPr>
            <w:tcW w:w="840"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0.69µs</w:t>
            </w:r>
          </w:p>
        </w:tc>
        <w:tc>
          <w:tcPr>
            <w:tcW w:w="873"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1.38µs</w:t>
            </w:r>
          </w:p>
        </w:tc>
        <w:tc>
          <w:tcPr>
            <w:tcW w:w="85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2.08µs</w:t>
            </w:r>
          </w:p>
        </w:tc>
      </w:tr>
      <w:tr w:rsidR="00497BF9" w:rsidRPr="00497BF9" w:rsidTr="00DF07F5">
        <w:trPr>
          <w:trHeight w:val="208"/>
        </w:trPr>
        <w:tc>
          <w:tcPr>
            <w:tcW w:w="1294" w:type="dxa"/>
            <w:vMerge/>
            <w:vAlign w:val="center"/>
          </w:tcPr>
          <w:p w:rsidR="00497BF9" w:rsidRPr="00497BF9" w:rsidRDefault="00497BF9" w:rsidP="00DF07F5">
            <w:pPr>
              <w:spacing w:after="120" w:line="276" w:lineRule="auto"/>
              <w:jc w:val="center"/>
              <w:rPr>
                <w:sz w:val="20"/>
                <w:szCs w:val="20"/>
                <w:lang w:val="en-US" w:eastAsia="ja-JP"/>
              </w:rPr>
            </w:pPr>
          </w:p>
        </w:tc>
        <w:tc>
          <w:tcPr>
            <w:tcW w:w="937" w:type="dxa"/>
            <w:vMerge/>
            <w:vAlign w:val="center"/>
          </w:tcPr>
          <w:p w:rsidR="00497BF9" w:rsidRPr="00497BF9" w:rsidRDefault="00497BF9" w:rsidP="00DF07F5">
            <w:pPr>
              <w:spacing w:after="120" w:line="276" w:lineRule="auto"/>
              <w:jc w:val="center"/>
              <w:rPr>
                <w:sz w:val="20"/>
                <w:szCs w:val="20"/>
                <w:lang w:val="en-US" w:eastAsia="ja-JP"/>
              </w:rPr>
            </w:pPr>
          </w:p>
        </w:tc>
        <w:tc>
          <w:tcPr>
            <w:tcW w:w="989"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M=1200</w:t>
            </w:r>
          </w:p>
        </w:tc>
        <w:tc>
          <w:tcPr>
            <w:tcW w:w="90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0.11µs</w:t>
            </w:r>
          </w:p>
        </w:tc>
        <w:tc>
          <w:tcPr>
            <w:tcW w:w="836"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0.22µs</w:t>
            </w:r>
          </w:p>
        </w:tc>
        <w:tc>
          <w:tcPr>
            <w:tcW w:w="82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0.33µs</w:t>
            </w:r>
          </w:p>
        </w:tc>
        <w:tc>
          <w:tcPr>
            <w:tcW w:w="934" w:type="dxa"/>
            <w:vMerge/>
            <w:vAlign w:val="center"/>
          </w:tcPr>
          <w:p w:rsidR="00497BF9" w:rsidRPr="00497BF9" w:rsidRDefault="00497BF9" w:rsidP="00DF07F5">
            <w:pPr>
              <w:spacing w:after="120" w:line="276" w:lineRule="auto"/>
              <w:jc w:val="center"/>
              <w:rPr>
                <w:sz w:val="20"/>
                <w:szCs w:val="20"/>
                <w:lang w:val="en-US" w:eastAsia="ja-JP"/>
              </w:rPr>
            </w:pPr>
          </w:p>
        </w:tc>
        <w:tc>
          <w:tcPr>
            <w:tcW w:w="90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M=1200</w:t>
            </w:r>
          </w:p>
        </w:tc>
        <w:tc>
          <w:tcPr>
            <w:tcW w:w="840"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27.7ns</w:t>
            </w:r>
          </w:p>
        </w:tc>
        <w:tc>
          <w:tcPr>
            <w:tcW w:w="873"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55.56ns</w:t>
            </w:r>
          </w:p>
        </w:tc>
        <w:tc>
          <w:tcPr>
            <w:tcW w:w="85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83.33ns</w:t>
            </w:r>
          </w:p>
        </w:tc>
      </w:tr>
      <w:tr w:rsidR="00497BF9" w:rsidRPr="00497BF9" w:rsidTr="00DF07F5">
        <w:trPr>
          <w:trHeight w:val="210"/>
        </w:trPr>
        <w:tc>
          <w:tcPr>
            <w:tcW w:w="1294" w:type="dxa"/>
            <w:vMerge w:val="restart"/>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Guard overhead</w:t>
            </w:r>
          </w:p>
        </w:tc>
        <w:tc>
          <w:tcPr>
            <w:tcW w:w="937" w:type="dxa"/>
            <w:vMerge w:val="restart"/>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6.68%</w:t>
            </w:r>
            <w:r w:rsidRPr="00497BF9">
              <w:rPr>
                <w:sz w:val="20"/>
                <w:szCs w:val="20"/>
                <w:lang w:val="en-US" w:eastAsia="ja-JP"/>
              </w:rPr>
              <w:br/>
              <w:t>20%</w:t>
            </w:r>
          </w:p>
        </w:tc>
        <w:tc>
          <w:tcPr>
            <w:tcW w:w="989"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90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w:t>
            </w:r>
          </w:p>
        </w:tc>
        <w:tc>
          <w:tcPr>
            <w:tcW w:w="836"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w:t>
            </w:r>
          </w:p>
        </w:tc>
        <w:tc>
          <w:tcPr>
            <w:tcW w:w="82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w:t>
            </w:r>
          </w:p>
        </w:tc>
        <w:tc>
          <w:tcPr>
            <w:tcW w:w="934" w:type="dxa"/>
            <w:vMerge w:val="restart"/>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6.68%</w:t>
            </w:r>
            <w:r w:rsidRPr="00497BF9">
              <w:rPr>
                <w:sz w:val="20"/>
                <w:szCs w:val="20"/>
                <w:lang w:val="en-US" w:eastAsia="ja-JP"/>
              </w:rPr>
              <w:br/>
              <w:t>20%</w:t>
            </w:r>
          </w:p>
        </w:tc>
        <w:tc>
          <w:tcPr>
            <w:tcW w:w="90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840"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2</w:t>
            </w:r>
          </w:p>
        </w:tc>
        <w:tc>
          <w:tcPr>
            <w:tcW w:w="873"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w:t>
            </w:r>
          </w:p>
        </w:tc>
        <w:tc>
          <w:tcPr>
            <w:tcW w:w="85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6</w:t>
            </w:r>
          </w:p>
        </w:tc>
      </w:tr>
      <w:tr w:rsidR="00497BF9" w:rsidRPr="00497BF9" w:rsidTr="00DF07F5">
        <w:trPr>
          <w:trHeight w:val="208"/>
        </w:trPr>
        <w:tc>
          <w:tcPr>
            <w:tcW w:w="1294" w:type="dxa"/>
            <w:vMerge/>
            <w:vAlign w:val="center"/>
          </w:tcPr>
          <w:p w:rsidR="00497BF9" w:rsidRPr="00497BF9" w:rsidRDefault="00497BF9" w:rsidP="00DF07F5">
            <w:pPr>
              <w:spacing w:after="120" w:line="276" w:lineRule="auto"/>
              <w:jc w:val="center"/>
              <w:rPr>
                <w:sz w:val="20"/>
                <w:szCs w:val="20"/>
                <w:lang w:val="en-US" w:eastAsia="ja-JP"/>
              </w:rPr>
            </w:pPr>
          </w:p>
        </w:tc>
        <w:tc>
          <w:tcPr>
            <w:tcW w:w="937" w:type="dxa"/>
            <w:vMerge/>
            <w:vAlign w:val="center"/>
          </w:tcPr>
          <w:p w:rsidR="00497BF9" w:rsidRPr="00497BF9" w:rsidRDefault="00497BF9" w:rsidP="00DF07F5">
            <w:pPr>
              <w:spacing w:after="120" w:line="276" w:lineRule="auto"/>
              <w:jc w:val="center"/>
              <w:rPr>
                <w:sz w:val="20"/>
                <w:szCs w:val="20"/>
                <w:lang w:val="en-US" w:eastAsia="ja-JP"/>
              </w:rPr>
            </w:pPr>
          </w:p>
        </w:tc>
        <w:tc>
          <w:tcPr>
            <w:tcW w:w="989"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M=48</w:t>
            </w:r>
          </w:p>
        </w:tc>
        <w:tc>
          <w:tcPr>
            <w:tcW w:w="90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4.16%</w:t>
            </w:r>
          </w:p>
        </w:tc>
        <w:tc>
          <w:tcPr>
            <w:tcW w:w="836"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8.33%</w:t>
            </w:r>
          </w:p>
        </w:tc>
        <w:tc>
          <w:tcPr>
            <w:tcW w:w="82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12.5%</w:t>
            </w:r>
          </w:p>
        </w:tc>
        <w:tc>
          <w:tcPr>
            <w:tcW w:w="934" w:type="dxa"/>
            <w:vMerge/>
            <w:vAlign w:val="center"/>
          </w:tcPr>
          <w:p w:rsidR="00497BF9" w:rsidRPr="00497BF9" w:rsidRDefault="00497BF9" w:rsidP="00DF07F5">
            <w:pPr>
              <w:spacing w:after="120" w:line="276" w:lineRule="auto"/>
              <w:jc w:val="center"/>
              <w:rPr>
                <w:sz w:val="20"/>
                <w:szCs w:val="20"/>
                <w:lang w:val="en-US" w:eastAsia="ja-JP"/>
              </w:rPr>
            </w:pPr>
          </w:p>
        </w:tc>
        <w:tc>
          <w:tcPr>
            <w:tcW w:w="90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M=48</w:t>
            </w:r>
          </w:p>
        </w:tc>
        <w:tc>
          <w:tcPr>
            <w:tcW w:w="840"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4.16%</w:t>
            </w:r>
          </w:p>
        </w:tc>
        <w:tc>
          <w:tcPr>
            <w:tcW w:w="873"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8.33%</w:t>
            </w:r>
          </w:p>
        </w:tc>
        <w:tc>
          <w:tcPr>
            <w:tcW w:w="85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12.5%</w:t>
            </w:r>
          </w:p>
        </w:tc>
      </w:tr>
      <w:tr w:rsidR="00497BF9" w:rsidRPr="00497BF9" w:rsidTr="00DF07F5">
        <w:trPr>
          <w:trHeight w:val="208"/>
        </w:trPr>
        <w:tc>
          <w:tcPr>
            <w:tcW w:w="1294" w:type="dxa"/>
            <w:vMerge/>
            <w:vAlign w:val="center"/>
          </w:tcPr>
          <w:p w:rsidR="00497BF9" w:rsidRPr="00497BF9" w:rsidRDefault="00497BF9" w:rsidP="00DF07F5">
            <w:pPr>
              <w:spacing w:after="120" w:line="276" w:lineRule="auto"/>
              <w:jc w:val="center"/>
              <w:rPr>
                <w:sz w:val="20"/>
                <w:szCs w:val="20"/>
                <w:lang w:val="en-US" w:eastAsia="ja-JP"/>
              </w:rPr>
            </w:pPr>
          </w:p>
        </w:tc>
        <w:tc>
          <w:tcPr>
            <w:tcW w:w="937" w:type="dxa"/>
            <w:vMerge/>
            <w:vAlign w:val="center"/>
          </w:tcPr>
          <w:p w:rsidR="00497BF9" w:rsidRPr="00497BF9" w:rsidRDefault="00497BF9" w:rsidP="00DF07F5">
            <w:pPr>
              <w:spacing w:after="120" w:line="276" w:lineRule="auto"/>
              <w:jc w:val="center"/>
              <w:rPr>
                <w:sz w:val="20"/>
                <w:szCs w:val="20"/>
                <w:lang w:val="en-US" w:eastAsia="ja-JP"/>
              </w:rPr>
            </w:pPr>
          </w:p>
        </w:tc>
        <w:tc>
          <w:tcPr>
            <w:tcW w:w="989"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M=1200</w:t>
            </w:r>
          </w:p>
        </w:tc>
        <w:tc>
          <w:tcPr>
            <w:tcW w:w="90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0.16%</w:t>
            </w:r>
          </w:p>
        </w:tc>
        <w:tc>
          <w:tcPr>
            <w:tcW w:w="836"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0.33%</w:t>
            </w:r>
          </w:p>
        </w:tc>
        <w:tc>
          <w:tcPr>
            <w:tcW w:w="824"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0.5%</w:t>
            </w:r>
          </w:p>
        </w:tc>
        <w:tc>
          <w:tcPr>
            <w:tcW w:w="934" w:type="dxa"/>
            <w:vMerge/>
            <w:vAlign w:val="center"/>
          </w:tcPr>
          <w:p w:rsidR="00497BF9" w:rsidRPr="00497BF9" w:rsidRDefault="00497BF9" w:rsidP="00DF07F5">
            <w:pPr>
              <w:spacing w:after="120" w:line="276" w:lineRule="auto"/>
              <w:jc w:val="center"/>
              <w:rPr>
                <w:sz w:val="20"/>
                <w:szCs w:val="20"/>
                <w:lang w:val="en-US" w:eastAsia="ja-JP"/>
              </w:rPr>
            </w:pPr>
          </w:p>
        </w:tc>
        <w:tc>
          <w:tcPr>
            <w:tcW w:w="907"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M=1200</w:t>
            </w:r>
          </w:p>
        </w:tc>
        <w:tc>
          <w:tcPr>
            <w:tcW w:w="840"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0.16%</w:t>
            </w:r>
          </w:p>
        </w:tc>
        <w:tc>
          <w:tcPr>
            <w:tcW w:w="873"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0.33%</w:t>
            </w:r>
          </w:p>
        </w:tc>
        <w:tc>
          <w:tcPr>
            <w:tcW w:w="852" w:type="dxa"/>
            <w:vAlign w:val="center"/>
          </w:tcPr>
          <w:p w:rsidR="00497BF9" w:rsidRPr="00497BF9" w:rsidRDefault="00497BF9" w:rsidP="00DF07F5">
            <w:pPr>
              <w:spacing w:after="120" w:line="276" w:lineRule="auto"/>
              <w:jc w:val="center"/>
              <w:rPr>
                <w:sz w:val="20"/>
                <w:szCs w:val="20"/>
                <w:lang w:val="en-US" w:eastAsia="ja-JP"/>
              </w:rPr>
            </w:pPr>
            <w:r w:rsidRPr="00497BF9">
              <w:rPr>
                <w:sz w:val="20"/>
                <w:szCs w:val="20"/>
                <w:lang w:val="en-US" w:eastAsia="ja-JP"/>
              </w:rPr>
              <w:t>0.5%</w:t>
            </w:r>
          </w:p>
        </w:tc>
      </w:tr>
      <w:tr w:rsidR="00497BF9" w:rsidRPr="00497BF9" w:rsidTr="00DF07F5">
        <w:tc>
          <w:tcPr>
            <w:tcW w:w="1294" w:type="dxa"/>
            <w:vAlign w:val="center"/>
          </w:tcPr>
          <w:p w:rsidR="00497BF9" w:rsidRPr="00497BF9" w:rsidRDefault="00497BF9" w:rsidP="00DF07F5">
            <w:pPr>
              <w:spacing w:after="120" w:line="276" w:lineRule="auto"/>
              <w:jc w:val="center"/>
              <w:rPr>
                <w:sz w:val="20"/>
                <w:szCs w:val="20"/>
                <w:lang w:val="en-US" w:eastAsia="ja-JP"/>
              </w:rPr>
            </w:pPr>
            <w:r>
              <w:rPr>
                <w:sz w:val="20"/>
                <w:szCs w:val="20"/>
                <w:lang w:val="en-US" w:eastAsia="ja-JP"/>
              </w:rPr>
              <w:t>Number of OFDM symbols per TTI</w:t>
            </w:r>
          </w:p>
        </w:tc>
        <w:tc>
          <w:tcPr>
            <w:tcW w:w="937" w:type="dxa"/>
            <w:vAlign w:val="center"/>
          </w:tcPr>
          <w:p w:rsidR="00497BF9" w:rsidRPr="00497BF9" w:rsidRDefault="00497BF9" w:rsidP="00DF07F5">
            <w:pPr>
              <w:spacing w:after="120" w:line="276" w:lineRule="auto"/>
              <w:jc w:val="center"/>
              <w:rPr>
                <w:sz w:val="20"/>
                <w:szCs w:val="20"/>
                <w:lang w:val="en-US" w:eastAsia="ja-JP"/>
              </w:rPr>
            </w:pPr>
            <w:r>
              <w:rPr>
                <w:sz w:val="20"/>
                <w:szCs w:val="20"/>
                <w:lang w:val="en-US" w:eastAsia="ja-JP"/>
              </w:rPr>
              <w:t>14/12</w:t>
            </w:r>
          </w:p>
        </w:tc>
        <w:tc>
          <w:tcPr>
            <w:tcW w:w="3551" w:type="dxa"/>
            <w:gridSpan w:val="4"/>
            <w:vAlign w:val="center"/>
          </w:tcPr>
          <w:p w:rsidR="00497BF9" w:rsidRPr="00497BF9" w:rsidRDefault="00497BF9" w:rsidP="00DF07F5">
            <w:pPr>
              <w:spacing w:after="120" w:line="276" w:lineRule="auto"/>
              <w:jc w:val="center"/>
              <w:rPr>
                <w:sz w:val="20"/>
                <w:szCs w:val="20"/>
                <w:lang w:val="en-US" w:eastAsia="ja-JP"/>
              </w:rPr>
            </w:pPr>
            <w:r>
              <w:rPr>
                <w:sz w:val="20"/>
                <w:szCs w:val="20"/>
                <w:lang w:val="en-US" w:eastAsia="ja-JP"/>
              </w:rPr>
              <w:t>15</w:t>
            </w:r>
          </w:p>
        </w:tc>
        <w:tc>
          <w:tcPr>
            <w:tcW w:w="934" w:type="dxa"/>
            <w:vAlign w:val="center"/>
          </w:tcPr>
          <w:p w:rsidR="00497BF9" w:rsidRPr="00497BF9" w:rsidRDefault="00497BF9" w:rsidP="00DF07F5">
            <w:pPr>
              <w:spacing w:after="120" w:line="276" w:lineRule="auto"/>
              <w:jc w:val="center"/>
              <w:rPr>
                <w:sz w:val="20"/>
                <w:szCs w:val="20"/>
                <w:lang w:val="en-US" w:eastAsia="ja-JP"/>
              </w:rPr>
            </w:pPr>
            <w:r>
              <w:rPr>
                <w:sz w:val="20"/>
                <w:szCs w:val="20"/>
                <w:lang w:val="en-US" w:eastAsia="ja-JP"/>
              </w:rPr>
              <w:t>14/12</w:t>
            </w:r>
          </w:p>
        </w:tc>
        <w:tc>
          <w:tcPr>
            <w:tcW w:w="3472" w:type="dxa"/>
            <w:gridSpan w:val="4"/>
            <w:vAlign w:val="center"/>
          </w:tcPr>
          <w:p w:rsidR="00497BF9" w:rsidRPr="00497BF9" w:rsidRDefault="00497BF9" w:rsidP="00DF07F5">
            <w:pPr>
              <w:spacing w:after="120" w:line="276" w:lineRule="auto"/>
              <w:jc w:val="center"/>
              <w:rPr>
                <w:sz w:val="20"/>
                <w:szCs w:val="20"/>
                <w:lang w:val="en-US" w:eastAsia="ja-JP"/>
              </w:rPr>
            </w:pPr>
            <w:r>
              <w:rPr>
                <w:sz w:val="20"/>
                <w:szCs w:val="20"/>
                <w:lang w:val="en-US" w:eastAsia="ja-JP"/>
              </w:rPr>
              <w:t>15</w:t>
            </w:r>
          </w:p>
        </w:tc>
      </w:tr>
    </w:tbl>
    <w:p w:rsidR="00497BF9" w:rsidRPr="00497BF9" w:rsidRDefault="00497BF9" w:rsidP="00497BF9">
      <w:pPr>
        <w:spacing w:after="120" w:line="276" w:lineRule="auto"/>
        <w:jc w:val="both"/>
        <w:rPr>
          <w:lang w:val="en-US" w:eastAsia="ja-JP"/>
        </w:rPr>
      </w:pPr>
    </w:p>
    <w:tbl>
      <w:tblPr>
        <w:tblStyle w:val="Grilledutableau"/>
        <w:tblW w:w="0" w:type="auto"/>
        <w:tblLook w:val="04A0"/>
      </w:tblPr>
      <w:tblGrid>
        <w:gridCol w:w="1294"/>
        <w:gridCol w:w="937"/>
        <w:gridCol w:w="989"/>
        <w:gridCol w:w="902"/>
        <w:gridCol w:w="836"/>
        <w:gridCol w:w="824"/>
        <w:gridCol w:w="934"/>
        <w:gridCol w:w="907"/>
        <w:gridCol w:w="840"/>
        <w:gridCol w:w="873"/>
        <w:gridCol w:w="852"/>
      </w:tblGrid>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CP-based</w:t>
            </w:r>
          </w:p>
        </w:tc>
        <w:tc>
          <w:tcPr>
            <w:tcW w:w="3551" w:type="dxa"/>
            <w:gridSpan w:val="4"/>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CP-less</w:t>
            </w:r>
          </w:p>
        </w:tc>
        <w:tc>
          <w:tcPr>
            <w:tcW w:w="934" w:type="dxa"/>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3472" w:type="dxa"/>
            <w:gridSpan w:val="4"/>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BW</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10</w:t>
            </w:r>
            <w:r w:rsidRPr="00497BF9">
              <w:rPr>
                <w:sz w:val="20"/>
                <w:szCs w:val="20"/>
                <w:lang w:val="en-US" w:eastAsia="ja-JP"/>
              </w:rPr>
              <w:t>0MHz</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SCS</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75</w:t>
            </w:r>
            <w:r w:rsidRPr="00497BF9">
              <w:rPr>
                <w:sz w:val="20"/>
                <w:szCs w:val="20"/>
                <w:lang w:val="en-US" w:eastAsia="ja-JP"/>
              </w:rPr>
              <w:t>kHz</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N</w:t>
            </w:r>
            <w:r w:rsidRPr="00497BF9">
              <w:rPr>
                <w:sz w:val="20"/>
                <w:szCs w:val="20"/>
                <w:vertAlign w:val="subscript"/>
                <w:lang w:val="en-US" w:eastAsia="ja-JP"/>
              </w:rPr>
              <w:t>FFT</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2048</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F</w:t>
            </w:r>
            <w:r w:rsidRPr="00497BF9">
              <w:rPr>
                <w:sz w:val="20"/>
                <w:szCs w:val="20"/>
                <w:vertAlign w:val="subscript"/>
                <w:lang w:val="en-US" w:eastAsia="ja-JP"/>
              </w:rPr>
              <w:t>s</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153.6</w:t>
            </w:r>
            <w:r w:rsidRPr="00497BF9">
              <w:rPr>
                <w:sz w:val="20"/>
                <w:szCs w:val="20"/>
                <w:lang w:val="en-US" w:eastAsia="ja-JP"/>
              </w:rPr>
              <w:t>MHz</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TTI duration</w:t>
            </w:r>
          </w:p>
        </w:tc>
        <w:tc>
          <w:tcPr>
            <w:tcW w:w="4488" w:type="dxa"/>
            <w:gridSpan w:val="5"/>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200</w:t>
            </w:r>
            <w:r w:rsidRPr="00497BF9">
              <w:rPr>
                <w:sz w:val="20"/>
                <w:szCs w:val="20"/>
                <w:lang w:val="en-US" w:eastAsia="ja-JP"/>
              </w:rPr>
              <w:t>µs</w:t>
            </w:r>
          </w:p>
        </w:tc>
        <w:tc>
          <w:tcPr>
            <w:tcW w:w="4406" w:type="dxa"/>
            <w:gridSpan w:val="5"/>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10"/>
        </w:trPr>
        <w:tc>
          <w:tcPr>
            <w:tcW w:w="1294"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Guard duration (NCP/ECP and UW)</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0.94</w:t>
            </w:r>
            <w:r w:rsidRPr="00497BF9">
              <w:rPr>
                <w:sz w:val="20"/>
                <w:szCs w:val="20"/>
                <w:lang w:val="en-US" w:eastAsia="ja-JP"/>
              </w:rPr>
              <w:t>µs/</w:t>
            </w:r>
            <w:r w:rsidRPr="00497BF9">
              <w:rPr>
                <w:sz w:val="20"/>
                <w:szCs w:val="20"/>
                <w:lang w:val="en-US" w:eastAsia="ja-JP"/>
              </w:rPr>
              <w:br/>
            </w:r>
            <w:r>
              <w:rPr>
                <w:rFonts w:hint="eastAsia"/>
                <w:sz w:val="20"/>
                <w:szCs w:val="20"/>
                <w:lang w:val="en-US" w:eastAsia="ja-JP"/>
              </w:rPr>
              <w:t>3</w:t>
            </w:r>
            <w:r w:rsidRPr="00497BF9">
              <w:rPr>
                <w:sz w:val="20"/>
                <w:szCs w:val="20"/>
                <w:lang w:val="en-US" w:eastAsia="ja-JP"/>
              </w:rPr>
              <w:t>.</w:t>
            </w:r>
            <w:r>
              <w:rPr>
                <w:rFonts w:hint="eastAsia"/>
                <w:sz w:val="20"/>
                <w:szCs w:val="20"/>
                <w:lang w:val="en-US" w:eastAsia="ja-JP"/>
              </w:rPr>
              <w:t>34</w:t>
            </w:r>
            <w:r w:rsidRPr="00497BF9">
              <w:rPr>
                <w:sz w:val="20"/>
                <w:szCs w:val="20"/>
                <w:lang w:val="en-US" w:eastAsia="ja-JP"/>
              </w:rPr>
              <w:t>µs</w:t>
            </w: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2</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4</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6</w:t>
            </w:r>
          </w:p>
        </w:tc>
        <w:tc>
          <w:tcPr>
            <w:tcW w:w="934" w:type="dxa"/>
            <w:vMerge w:val="restart"/>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M=48</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0</w:t>
            </w:r>
            <w:r w:rsidRPr="00497BF9">
              <w:rPr>
                <w:sz w:val="20"/>
                <w:szCs w:val="20"/>
                <w:lang w:val="en-US" w:eastAsia="ja-JP"/>
              </w:rPr>
              <w:t>.</w:t>
            </w:r>
            <w:r>
              <w:rPr>
                <w:rFonts w:hint="eastAsia"/>
                <w:sz w:val="20"/>
                <w:szCs w:val="20"/>
                <w:lang w:val="en-US" w:eastAsia="ja-JP"/>
              </w:rPr>
              <w:t>55</w:t>
            </w:r>
            <w:r w:rsidRPr="00497BF9">
              <w:rPr>
                <w:sz w:val="20"/>
                <w:szCs w:val="20"/>
                <w:lang w:val="en-US" w:eastAsia="ja-JP"/>
              </w:rPr>
              <w:t>µs</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1</w:t>
            </w:r>
            <w:r w:rsidRPr="00497BF9">
              <w:rPr>
                <w:sz w:val="20"/>
                <w:szCs w:val="20"/>
                <w:lang w:val="en-US" w:eastAsia="ja-JP"/>
              </w:rPr>
              <w:t>.</w:t>
            </w:r>
            <w:r>
              <w:rPr>
                <w:rFonts w:hint="eastAsia"/>
                <w:sz w:val="20"/>
                <w:szCs w:val="20"/>
                <w:lang w:val="en-US" w:eastAsia="ja-JP"/>
              </w:rPr>
              <w:t>11</w:t>
            </w:r>
            <w:r w:rsidRPr="00497BF9">
              <w:rPr>
                <w:sz w:val="20"/>
                <w:szCs w:val="20"/>
                <w:lang w:val="en-US" w:eastAsia="ja-JP"/>
              </w:rPr>
              <w:t>µs</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1</w:t>
            </w:r>
            <w:r w:rsidRPr="00497BF9">
              <w:rPr>
                <w:sz w:val="20"/>
                <w:szCs w:val="20"/>
                <w:lang w:val="en-US" w:eastAsia="ja-JP"/>
              </w:rPr>
              <w:t>.</w:t>
            </w:r>
            <w:r>
              <w:rPr>
                <w:rFonts w:hint="eastAsia"/>
                <w:sz w:val="20"/>
                <w:szCs w:val="20"/>
                <w:lang w:val="en-US" w:eastAsia="ja-JP"/>
              </w:rPr>
              <w:t>67</w:t>
            </w:r>
            <w:r w:rsidRPr="00497BF9">
              <w:rPr>
                <w:sz w:val="20"/>
                <w:szCs w:val="20"/>
                <w:lang w:val="en-US" w:eastAsia="ja-JP"/>
              </w:rPr>
              <w:t>µs</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M=1200</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22n</w:t>
            </w:r>
            <w:r w:rsidRPr="00497BF9">
              <w:rPr>
                <w:sz w:val="20"/>
                <w:szCs w:val="20"/>
                <w:lang w:val="en-US" w:eastAsia="ja-JP"/>
              </w:rPr>
              <w:t>s</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44n</w:t>
            </w:r>
            <w:r w:rsidRPr="00497BF9">
              <w:rPr>
                <w:sz w:val="20"/>
                <w:szCs w:val="20"/>
                <w:lang w:val="en-US" w:eastAsia="ja-JP"/>
              </w:rPr>
              <w:t>s</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rFonts w:hint="eastAsia"/>
                <w:sz w:val="20"/>
                <w:szCs w:val="20"/>
                <w:lang w:val="en-US" w:eastAsia="ja-JP"/>
              </w:rPr>
              <w:t>66</w:t>
            </w:r>
            <w:r w:rsidRPr="00497BF9">
              <w:rPr>
                <w:sz w:val="20"/>
                <w:szCs w:val="20"/>
                <w:lang w:val="en-US" w:eastAsia="ja-JP"/>
              </w:rPr>
              <w:t>µs</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10"/>
        </w:trPr>
        <w:tc>
          <w:tcPr>
            <w:tcW w:w="1294"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Guard overhead</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6.68%</w:t>
            </w:r>
            <w:r w:rsidRPr="00497BF9">
              <w:rPr>
                <w:sz w:val="20"/>
                <w:szCs w:val="20"/>
                <w:lang w:val="en-US" w:eastAsia="ja-JP"/>
              </w:rPr>
              <w:br/>
              <w:t>20%</w:t>
            </w: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w:t>
            </w:r>
            <w:r w:rsidRPr="00497BF9">
              <w:rPr>
                <w:sz w:val="20"/>
                <w:szCs w:val="20"/>
                <w:vertAlign w:val="subscript"/>
                <w:lang w:val="en-US" w:eastAsia="ja-JP"/>
              </w:rPr>
              <w:t>UW</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2</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4</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6</w:t>
            </w:r>
          </w:p>
        </w:tc>
        <w:tc>
          <w:tcPr>
            <w:tcW w:w="934" w:type="dxa"/>
            <w:vMerge w:val="restart"/>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M=48</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4.16%</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8.33%</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12.5%</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rPr>
          <w:trHeight w:val="208"/>
        </w:trPr>
        <w:tc>
          <w:tcPr>
            <w:tcW w:w="1294"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37" w:type="dxa"/>
            <w:vMerge/>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p>
        </w:tc>
        <w:tc>
          <w:tcPr>
            <w:tcW w:w="989"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M=1200</w:t>
            </w:r>
          </w:p>
        </w:tc>
        <w:tc>
          <w:tcPr>
            <w:tcW w:w="902"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0.16%</w:t>
            </w:r>
          </w:p>
        </w:tc>
        <w:tc>
          <w:tcPr>
            <w:tcW w:w="836"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0.33%</w:t>
            </w:r>
          </w:p>
        </w:tc>
        <w:tc>
          <w:tcPr>
            <w:tcW w:w="82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sidRPr="00497BF9">
              <w:rPr>
                <w:sz w:val="20"/>
                <w:szCs w:val="20"/>
                <w:lang w:val="en-US" w:eastAsia="ja-JP"/>
              </w:rPr>
              <w:t>0.5%</w:t>
            </w:r>
          </w:p>
        </w:tc>
        <w:tc>
          <w:tcPr>
            <w:tcW w:w="934" w:type="dxa"/>
            <w:vMerge/>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907"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40"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73"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852" w:type="dxa"/>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r w:rsidR="003D5C3B" w:rsidRPr="00497BF9" w:rsidTr="00230B11">
        <w:tc>
          <w:tcPr>
            <w:tcW w:w="1294"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sz w:val="20"/>
                <w:szCs w:val="20"/>
                <w:lang w:val="en-US" w:eastAsia="ja-JP"/>
              </w:rPr>
              <w:t>Number of OFDM symbols per TTI</w:t>
            </w:r>
          </w:p>
        </w:tc>
        <w:tc>
          <w:tcPr>
            <w:tcW w:w="937" w:type="dxa"/>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sz w:val="20"/>
                <w:szCs w:val="20"/>
                <w:lang w:val="en-US" w:eastAsia="ja-JP"/>
              </w:rPr>
              <w:t>14/12</w:t>
            </w:r>
          </w:p>
        </w:tc>
        <w:tc>
          <w:tcPr>
            <w:tcW w:w="3551" w:type="dxa"/>
            <w:gridSpan w:val="4"/>
            <w:tcBorders>
              <w:top w:val="single" w:sz="4" w:space="0" w:color="auto"/>
              <w:left w:val="single" w:sz="4" w:space="0" w:color="auto"/>
              <w:bottom w:val="single" w:sz="4" w:space="0" w:color="auto"/>
              <w:right w:val="single" w:sz="4" w:space="0" w:color="auto"/>
            </w:tcBorders>
            <w:vAlign w:val="center"/>
          </w:tcPr>
          <w:p w:rsidR="003D5C3B" w:rsidRPr="00497BF9" w:rsidRDefault="003D5C3B" w:rsidP="00A45846">
            <w:pPr>
              <w:spacing w:after="120" w:line="276" w:lineRule="auto"/>
              <w:jc w:val="center"/>
              <w:rPr>
                <w:sz w:val="20"/>
                <w:szCs w:val="20"/>
                <w:lang w:val="en-US" w:eastAsia="ja-JP"/>
              </w:rPr>
            </w:pPr>
            <w:r>
              <w:rPr>
                <w:sz w:val="20"/>
                <w:szCs w:val="20"/>
                <w:lang w:val="en-US" w:eastAsia="ja-JP"/>
              </w:rPr>
              <w:t>15</w:t>
            </w:r>
          </w:p>
        </w:tc>
        <w:tc>
          <w:tcPr>
            <w:tcW w:w="934" w:type="dxa"/>
            <w:tcBorders>
              <w:top w:val="nil"/>
              <w:left w:val="single" w:sz="4" w:space="0" w:color="auto"/>
              <w:bottom w:val="nil"/>
              <w:right w:val="nil"/>
            </w:tcBorders>
            <w:vAlign w:val="center"/>
          </w:tcPr>
          <w:p w:rsidR="003D5C3B" w:rsidRPr="00497BF9" w:rsidRDefault="003D5C3B" w:rsidP="00A45846">
            <w:pPr>
              <w:spacing w:after="120" w:line="276" w:lineRule="auto"/>
              <w:jc w:val="center"/>
              <w:rPr>
                <w:sz w:val="20"/>
                <w:szCs w:val="20"/>
                <w:lang w:val="en-US" w:eastAsia="ja-JP"/>
              </w:rPr>
            </w:pPr>
          </w:p>
        </w:tc>
        <w:tc>
          <w:tcPr>
            <w:tcW w:w="3472" w:type="dxa"/>
            <w:gridSpan w:val="4"/>
            <w:tcBorders>
              <w:top w:val="nil"/>
              <w:left w:val="nil"/>
              <w:bottom w:val="nil"/>
              <w:right w:val="nil"/>
            </w:tcBorders>
            <w:vAlign w:val="center"/>
          </w:tcPr>
          <w:p w:rsidR="003D5C3B" w:rsidRPr="00497BF9" w:rsidRDefault="003D5C3B" w:rsidP="00A45846">
            <w:pPr>
              <w:spacing w:after="120" w:line="276" w:lineRule="auto"/>
              <w:jc w:val="center"/>
              <w:rPr>
                <w:sz w:val="20"/>
                <w:szCs w:val="20"/>
                <w:lang w:val="en-US" w:eastAsia="ja-JP"/>
              </w:rPr>
            </w:pPr>
          </w:p>
        </w:tc>
      </w:tr>
    </w:tbl>
    <w:p w:rsidR="00497BF9" w:rsidRPr="00497BF9" w:rsidRDefault="00497BF9" w:rsidP="00497BF9">
      <w:pPr>
        <w:spacing w:after="120" w:line="276" w:lineRule="auto"/>
        <w:jc w:val="both"/>
        <w:rPr>
          <w:lang w:val="en-US" w:eastAsia="ja-JP"/>
        </w:rPr>
      </w:pPr>
    </w:p>
    <w:p w:rsidR="002C13C7" w:rsidRDefault="002C13C7" w:rsidP="009A2AF7">
      <w:pPr>
        <w:rPr>
          <w:rFonts w:asciiTheme="majorHAnsi" w:hAnsiTheme="majorHAnsi" w:cstheme="majorHAnsi"/>
          <w:lang w:val="en-US" w:eastAsia="ja-JP"/>
        </w:rPr>
      </w:pPr>
    </w:p>
    <w:p w:rsidR="00C42741" w:rsidRDefault="00C42741" w:rsidP="00222DAA">
      <w:pPr>
        <w:pStyle w:val="Titre1"/>
        <w:spacing w:line="360" w:lineRule="auto"/>
        <w:rPr>
          <w:rFonts w:asciiTheme="majorHAnsi" w:hAnsiTheme="majorHAnsi" w:cstheme="majorHAnsi"/>
          <w:lang w:val="en-US"/>
        </w:rPr>
      </w:pPr>
      <w:r w:rsidRPr="00055E47">
        <w:rPr>
          <w:rFonts w:asciiTheme="majorHAnsi" w:hAnsiTheme="majorHAnsi" w:cstheme="majorHAnsi"/>
          <w:lang w:val="en-US"/>
        </w:rPr>
        <w:lastRenderedPageBreak/>
        <w:t>Conclusion</w:t>
      </w:r>
    </w:p>
    <w:p w:rsidR="004A6DCA" w:rsidRPr="00497BF9" w:rsidRDefault="004A6DCA" w:rsidP="004A6DCA">
      <w:pPr>
        <w:spacing w:after="120" w:line="276" w:lineRule="auto"/>
        <w:jc w:val="both"/>
        <w:rPr>
          <w:lang w:val="en-US" w:eastAsia="ja-JP"/>
        </w:rPr>
      </w:pPr>
      <w:r w:rsidRPr="004A6DCA">
        <w:rPr>
          <w:b/>
          <w:lang w:val="en-US" w:eastAsia="ja-JP"/>
        </w:rPr>
        <w:t>Observation</w:t>
      </w:r>
      <w:r>
        <w:rPr>
          <w:b/>
          <w:lang w:val="en-US" w:eastAsia="ja-JP"/>
        </w:rPr>
        <w:t xml:space="preserve"> 1</w:t>
      </w:r>
      <w:r w:rsidRPr="004A6DCA">
        <w:rPr>
          <w:b/>
          <w:lang w:val="en-US" w:eastAsia="ja-JP"/>
        </w:rPr>
        <w:t>:</w:t>
      </w:r>
      <w:r>
        <w:rPr>
          <w:lang w:val="en-US" w:eastAsia="ja-JP"/>
        </w:rPr>
        <w:t xml:space="preserve"> </w:t>
      </w:r>
      <w:r w:rsidRPr="004A6DCA">
        <w:rPr>
          <w:i/>
          <w:iCs/>
        </w:rPr>
        <w:t>Guard length</w:t>
      </w:r>
      <w:r w:rsidRPr="004A6DCA">
        <w:rPr>
          <w:rFonts w:hint="eastAsia"/>
          <w:i/>
          <w:iCs/>
        </w:rPr>
        <w:t xml:space="preserve"> should flexible </w:t>
      </w:r>
      <w:r>
        <w:rPr>
          <w:i/>
          <w:iCs/>
        </w:rPr>
        <w:t>so as to minimize guard overhead in a large variety of scenarios.</w:t>
      </w:r>
    </w:p>
    <w:p w:rsidR="004A6DCA" w:rsidRDefault="0001440B" w:rsidP="004A6DCA">
      <w:pPr>
        <w:spacing w:after="120" w:line="276" w:lineRule="auto"/>
        <w:jc w:val="both"/>
        <w:rPr>
          <w:lang w:val="en-US" w:eastAsia="ja-JP"/>
        </w:rPr>
      </w:pPr>
      <w:r>
        <w:rPr>
          <w:b/>
          <w:lang w:val="en-US" w:eastAsia="ja-JP"/>
        </w:rPr>
        <w:t>Proposal 1</w:t>
      </w:r>
      <w:r w:rsidR="004A6DCA" w:rsidRPr="004A6DCA">
        <w:rPr>
          <w:b/>
          <w:lang w:val="en-US" w:eastAsia="ja-JP"/>
        </w:rPr>
        <w:t>:</w:t>
      </w:r>
      <w:r w:rsidR="004A6DCA">
        <w:rPr>
          <w:lang w:val="en-US" w:eastAsia="ja-JP"/>
        </w:rPr>
        <w:t xml:space="preserve"> </w:t>
      </w:r>
      <w:r w:rsidR="004A6DCA" w:rsidRPr="004A6DCA">
        <w:rPr>
          <w:i/>
          <w:lang w:val="en-US" w:eastAsia="ja-JP"/>
        </w:rPr>
        <w:t>CP length 0 should be supported in order to allow implementation of CP-less waveforms with flexible guard length</w:t>
      </w:r>
      <w:r w:rsidR="004A6DCA">
        <w:rPr>
          <w:lang w:val="en-US" w:eastAsia="ja-JP"/>
        </w:rPr>
        <w:t>.</w:t>
      </w:r>
    </w:p>
    <w:p w:rsidR="00282B25" w:rsidRDefault="00282B25" w:rsidP="00282B25">
      <w:pPr>
        <w:rPr>
          <w:lang w:val="en-US" w:eastAsia="ja-JP"/>
        </w:rPr>
      </w:pPr>
    </w:p>
    <w:p w:rsidR="00786845" w:rsidRDefault="00786845" w:rsidP="00222DAA">
      <w:pPr>
        <w:pStyle w:val="Titre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9C21DE" w:rsidRDefault="00230B11" w:rsidP="009C21DE">
      <w:pPr>
        <w:pStyle w:val="Titre3"/>
        <w:numPr>
          <w:ilvl w:val="0"/>
          <w:numId w:val="14"/>
        </w:numPr>
        <w:spacing w:line="360" w:lineRule="auto"/>
        <w:jc w:val="both"/>
        <w:rPr>
          <w:rFonts w:asciiTheme="majorHAnsi" w:hAnsiTheme="majorHAnsi" w:cstheme="majorHAnsi"/>
          <w:lang w:val="en-US" w:eastAsia="ja-JP"/>
        </w:rPr>
      </w:pPr>
      <w:r>
        <w:rPr>
          <w:rFonts w:asciiTheme="majorHAnsi" w:hAnsiTheme="majorHAnsi" w:cstheme="majorHAnsi" w:hint="eastAsia"/>
          <w:lang w:val="en-US" w:eastAsia="ja-JP"/>
        </w:rPr>
        <w:t>Chairman</w:t>
      </w:r>
      <w:r>
        <w:rPr>
          <w:rFonts w:asciiTheme="majorHAnsi" w:hAnsiTheme="majorHAnsi" w:cstheme="majorHAnsi"/>
          <w:lang w:val="en-US" w:eastAsia="ja-JP"/>
        </w:rPr>
        <w:t>’</w:t>
      </w:r>
      <w:r>
        <w:rPr>
          <w:rFonts w:asciiTheme="majorHAnsi" w:hAnsiTheme="majorHAnsi" w:cstheme="majorHAnsi" w:hint="eastAsia"/>
          <w:lang w:val="en-US" w:eastAsia="ja-JP"/>
        </w:rPr>
        <w:t>s note, RAN1 #85, Nanjing, China, May, 2016</w:t>
      </w:r>
    </w:p>
    <w:p w:rsidR="009C21DE" w:rsidRDefault="00230B11" w:rsidP="009C21DE">
      <w:pPr>
        <w:pStyle w:val="Titre3"/>
        <w:numPr>
          <w:ilvl w:val="0"/>
          <w:numId w:val="14"/>
        </w:numPr>
        <w:spacing w:line="480" w:lineRule="auto"/>
        <w:jc w:val="both"/>
        <w:rPr>
          <w:rFonts w:asciiTheme="majorHAnsi" w:hAnsiTheme="majorHAnsi" w:cstheme="majorHAnsi"/>
          <w:lang w:val="en-US" w:eastAsia="ja-JP"/>
        </w:rPr>
      </w:pPr>
      <w:r w:rsidRPr="00230B11">
        <w:rPr>
          <w:rFonts w:asciiTheme="majorHAnsi" w:hAnsiTheme="majorHAnsi" w:cstheme="majorHAnsi"/>
          <w:lang w:val="en-US" w:eastAsia="ja-JP"/>
        </w:rPr>
        <w:t xml:space="preserve"> </w:t>
      </w:r>
      <w:bookmarkStart w:id="2" w:name="_Ref457689800"/>
      <w:r>
        <w:rPr>
          <w:rFonts w:asciiTheme="majorHAnsi" w:hAnsiTheme="majorHAnsi" w:cstheme="majorHAnsi"/>
          <w:lang w:val="en-US" w:eastAsia="ja-JP"/>
        </w:rPr>
        <w:t xml:space="preserve">R1-164028, </w:t>
      </w:r>
      <w:r>
        <w:rPr>
          <w:rFonts w:asciiTheme="majorHAnsi" w:hAnsiTheme="majorHAnsi" w:cstheme="majorHAnsi" w:hint="eastAsia"/>
          <w:lang w:eastAsia="ja-JP"/>
        </w:rPr>
        <w:t>Link-level evaluation results for UW-DFT-s-OFDM</w:t>
      </w:r>
      <w:r>
        <w:rPr>
          <w:rFonts w:asciiTheme="majorHAnsi" w:hAnsiTheme="majorHAnsi" w:cstheme="majorHAnsi"/>
          <w:lang w:eastAsia="ja-JP"/>
        </w:rPr>
        <w:t xml:space="preserve">, Mitsubishi Electric, </w:t>
      </w:r>
      <w:r>
        <w:rPr>
          <w:rFonts w:asciiTheme="majorHAnsi" w:hAnsiTheme="majorHAnsi" w:cstheme="majorHAnsi" w:hint="eastAsia"/>
          <w:lang w:val="en-US" w:eastAsia="ja-JP"/>
        </w:rPr>
        <w:t>RAN1 #85, Nanjing, China, May, 2016</w:t>
      </w:r>
      <w:bookmarkEnd w:id="2"/>
    </w:p>
    <w:p w:rsidR="009C21DE" w:rsidRDefault="00230B11" w:rsidP="009C21DE">
      <w:pPr>
        <w:pStyle w:val="Titre3"/>
        <w:numPr>
          <w:ilvl w:val="0"/>
          <w:numId w:val="14"/>
        </w:numPr>
        <w:spacing w:line="360" w:lineRule="auto"/>
        <w:jc w:val="both"/>
        <w:rPr>
          <w:rFonts w:asciiTheme="majorHAnsi" w:hAnsiTheme="majorHAnsi" w:cstheme="majorHAnsi"/>
          <w:lang w:val="en-US" w:eastAsia="ja-JP"/>
        </w:rPr>
      </w:pPr>
      <w:bookmarkStart w:id="3" w:name="_Ref457689947"/>
      <w:r w:rsidRPr="00230B11">
        <w:rPr>
          <w:rFonts w:asciiTheme="majorHAnsi" w:hAnsiTheme="majorHAnsi" w:cstheme="majorHAnsi"/>
          <w:lang w:val="en-US" w:eastAsia="ja-JP"/>
        </w:rPr>
        <w:t>R1-164176</w:t>
      </w:r>
      <w:r>
        <w:rPr>
          <w:rFonts w:asciiTheme="majorHAnsi" w:hAnsiTheme="majorHAnsi" w:cstheme="majorHAnsi"/>
          <w:lang w:val="en-US" w:eastAsia="ja-JP"/>
        </w:rPr>
        <w:t>,</w:t>
      </w:r>
      <w:r w:rsidRPr="00230B11">
        <w:rPr>
          <w:rFonts w:asciiTheme="majorHAnsi" w:hAnsiTheme="majorHAnsi" w:cstheme="majorHAnsi"/>
          <w:lang w:val="en-US" w:eastAsia="ja-JP"/>
        </w:rPr>
        <w:t xml:space="preserve"> Discussion on waveform for high frequency bands</w:t>
      </w:r>
      <w:r>
        <w:rPr>
          <w:rFonts w:asciiTheme="majorHAnsi" w:hAnsiTheme="majorHAnsi" w:cstheme="majorHAnsi"/>
          <w:lang w:val="en-US" w:eastAsia="ja-JP"/>
        </w:rPr>
        <w:t xml:space="preserve">, </w:t>
      </w:r>
      <w:r w:rsidRPr="00230B11">
        <w:rPr>
          <w:rFonts w:asciiTheme="majorHAnsi" w:hAnsiTheme="majorHAnsi" w:cstheme="majorHAnsi"/>
          <w:lang w:val="en-US" w:eastAsia="ja-JP"/>
        </w:rPr>
        <w:t>Intel Corporation</w:t>
      </w:r>
      <w:proofErr w:type="gramStart"/>
      <w:r>
        <w:rPr>
          <w:rFonts w:asciiTheme="majorHAnsi" w:hAnsiTheme="majorHAnsi" w:cstheme="majorHAnsi"/>
          <w:lang w:val="en-US" w:eastAsia="ja-JP"/>
        </w:rPr>
        <w:t xml:space="preserve">, </w:t>
      </w:r>
      <w:r>
        <w:rPr>
          <w:rFonts w:asciiTheme="majorHAnsi" w:hAnsiTheme="majorHAnsi" w:cstheme="majorHAnsi" w:hint="eastAsia"/>
          <w:lang w:val="en-US" w:eastAsia="ja-JP"/>
        </w:rPr>
        <w:t>,</w:t>
      </w:r>
      <w:proofErr w:type="gramEnd"/>
      <w:r>
        <w:rPr>
          <w:rFonts w:asciiTheme="majorHAnsi" w:hAnsiTheme="majorHAnsi" w:cstheme="majorHAnsi" w:hint="eastAsia"/>
          <w:lang w:val="en-US" w:eastAsia="ja-JP"/>
        </w:rPr>
        <w:t xml:space="preserve"> RAN1 #85, Nanjing, China, May, 2016</w:t>
      </w:r>
      <w:bookmarkEnd w:id="3"/>
    </w:p>
    <w:p w:rsidR="009C21DE" w:rsidRDefault="00036195" w:rsidP="009C21DE">
      <w:pPr>
        <w:pStyle w:val="Titre3"/>
        <w:numPr>
          <w:ilvl w:val="0"/>
          <w:numId w:val="14"/>
        </w:numPr>
        <w:spacing w:line="360" w:lineRule="auto"/>
        <w:jc w:val="both"/>
        <w:rPr>
          <w:rFonts w:asciiTheme="majorHAnsi" w:hAnsiTheme="majorHAnsi" w:cstheme="majorHAnsi"/>
          <w:lang w:val="en-US" w:eastAsia="ja-JP"/>
        </w:rPr>
      </w:pPr>
      <w:bookmarkStart w:id="4" w:name="_Ref457689949"/>
      <w:r>
        <w:rPr>
          <w:rFonts w:asciiTheme="majorHAnsi" w:hAnsiTheme="majorHAnsi" w:cstheme="majorHAnsi" w:hint="eastAsia"/>
          <w:lang w:val="en-US" w:eastAsia="ja-JP"/>
        </w:rPr>
        <w:t>R1-165057</w:t>
      </w:r>
      <w:r>
        <w:rPr>
          <w:rFonts w:asciiTheme="majorHAnsi" w:hAnsiTheme="majorHAnsi" w:cstheme="majorHAnsi"/>
          <w:lang w:val="en-US" w:eastAsia="ja-JP"/>
        </w:rPr>
        <w:t xml:space="preserve">, </w:t>
      </w:r>
      <w:r w:rsidRPr="00036195">
        <w:rPr>
          <w:rFonts w:asciiTheme="majorHAnsi" w:hAnsiTheme="majorHAnsi" w:cstheme="majorHAnsi"/>
          <w:lang w:val="en-US" w:eastAsia="ja-JP"/>
        </w:rPr>
        <w:t>Performance Evaluation of UW DFT-S-OFDM Waveform for UL</w:t>
      </w:r>
      <w:r>
        <w:rPr>
          <w:rFonts w:asciiTheme="majorHAnsi" w:hAnsiTheme="majorHAnsi" w:cstheme="majorHAnsi"/>
          <w:lang w:val="en-US" w:eastAsia="ja-JP"/>
        </w:rPr>
        <w:t>,</w:t>
      </w:r>
      <w:r w:rsidRPr="00036195">
        <w:rPr>
          <w:rFonts w:asciiTheme="majorHAnsi" w:hAnsiTheme="majorHAnsi" w:cstheme="majorHAnsi" w:hint="eastAsia"/>
          <w:lang w:val="en-US" w:eastAsia="ja-JP"/>
        </w:rPr>
        <w:t xml:space="preserve"> </w:t>
      </w:r>
      <w:proofErr w:type="spellStart"/>
      <w:r w:rsidR="00497732">
        <w:rPr>
          <w:rFonts w:asciiTheme="majorHAnsi" w:hAnsiTheme="majorHAnsi" w:cstheme="majorHAnsi" w:hint="eastAsia"/>
          <w:lang w:val="en-US" w:eastAsia="ja-JP"/>
        </w:rPr>
        <w:t>InterDigital</w:t>
      </w:r>
      <w:proofErr w:type="spellEnd"/>
      <w:r>
        <w:rPr>
          <w:rFonts w:asciiTheme="majorHAnsi" w:hAnsiTheme="majorHAnsi" w:cstheme="majorHAnsi"/>
          <w:lang w:val="en-US" w:eastAsia="ja-JP"/>
        </w:rPr>
        <w:t xml:space="preserve"> Communications, </w:t>
      </w:r>
      <w:r>
        <w:rPr>
          <w:rFonts w:asciiTheme="majorHAnsi" w:hAnsiTheme="majorHAnsi" w:cstheme="majorHAnsi" w:hint="eastAsia"/>
          <w:lang w:val="en-US" w:eastAsia="ja-JP"/>
        </w:rPr>
        <w:t>RAN1 #85, Nanjing, China, May, 2016</w:t>
      </w:r>
      <w:bookmarkEnd w:id="4"/>
    </w:p>
    <w:p w:rsidR="009C21DE" w:rsidRDefault="00036195" w:rsidP="009C21DE">
      <w:pPr>
        <w:pStyle w:val="Titre3"/>
        <w:numPr>
          <w:ilvl w:val="0"/>
          <w:numId w:val="14"/>
        </w:numPr>
        <w:spacing w:line="360" w:lineRule="auto"/>
        <w:jc w:val="both"/>
        <w:rPr>
          <w:rFonts w:asciiTheme="majorHAnsi" w:hAnsiTheme="majorHAnsi" w:cstheme="majorHAnsi"/>
          <w:lang w:val="en-US" w:eastAsia="ja-JP"/>
        </w:rPr>
      </w:pPr>
      <w:bookmarkStart w:id="5" w:name="_Ref457689951"/>
      <w:r w:rsidRPr="00F76CBF">
        <w:rPr>
          <w:rFonts w:cs="Arial"/>
          <w:bCs/>
        </w:rPr>
        <w:t>R1-</w:t>
      </w:r>
      <w:r w:rsidRPr="00FE0AEB">
        <w:rPr>
          <w:rFonts w:cs="Arial"/>
          <w:bCs/>
        </w:rPr>
        <w:t>165024</w:t>
      </w:r>
      <w:r>
        <w:rPr>
          <w:rFonts w:cs="Arial"/>
          <w:bCs/>
        </w:rPr>
        <w:t xml:space="preserve">, </w:t>
      </w:r>
      <w:r w:rsidRPr="00036195">
        <w:rPr>
          <w:rFonts w:cs="Arial"/>
          <w:bCs/>
        </w:rPr>
        <w:t>Flexible numerology for 5G</w:t>
      </w:r>
      <w:r>
        <w:rPr>
          <w:rFonts w:cs="Arial"/>
          <w:bCs/>
        </w:rPr>
        <w:t xml:space="preserve">, </w:t>
      </w:r>
      <w:r w:rsidRPr="00036195">
        <w:rPr>
          <w:rFonts w:cs="Arial"/>
          <w:bCs/>
        </w:rPr>
        <w:t>Nokia, Alcatel-Lucent Shanghai Bell</w:t>
      </w:r>
      <w:r>
        <w:rPr>
          <w:rFonts w:cs="Arial"/>
          <w:bCs/>
        </w:rPr>
        <w:t xml:space="preserve">, </w:t>
      </w:r>
      <w:r>
        <w:rPr>
          <w:rFonts w:asciiTheme="majorHAnsi" w:hAnsiTheme="majorHAnsi" w:cstheme="majorHAnsi" w:hint="eastAsia"/>
          <w:lang w:val="en-US" w:eastAsia="ja-JP"/>
        </w:rPr>
        <w:t>RAN1 #85, Nanjing, China, May, 2016</w:t>
      </w:r>
      <w:bookmarkEnd w:id="5"/>
    </w:p>
    <w:p w:rsidR="00101C06" w:rsidRDefault="00101C06" w:rsidP="00F3157A">
      <w:pPr>
        <w:rPr>
          <w:lang w:val="en-US" w:eastAsia="ja-JP"/>
        </w:rPr>
      </w:pPr>
    </w:p>
    <w:sectPr w:rsidR="00101C06"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A99" w:rsidRDefault="00C43A99">
      <w:r>
        <w:separator/>
      </w:r>
    </w:p>
  </w:endnote>
  <w:endnote w:type="continuationSeparator" w:id="0">
    <w:p w:rsidR="00C43A99" w:rsidRDefault="00C43A99">
      <w:r>
        <w:continuationSeparator/>
      </w:r>
    </w:p>
  </w:endnote>
  <w:endnote w:type="continuationNotice" w:id="1">
    <w:p w:rsidR="00C43A99" w:rsidRDefault="00C43A9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A99" w:rsidRDefault="00C43A99">
      <w:r>
        <w:separator/>
      </w:r>
    </w:p>
  </w:footnote>
  <w:footnote w:type="continuationSeparator" w:id="0">
    <w:p w:rsidR="00C43A99" w:rsidRDefault="00C43A99">
      <w:r>
        <w:continuationSeparator/>
      </w:r>
    </w:p>
  </w:footnote>
  <w:footnote w:type="continuationNotice" w:id="1">
    <w:p w:rsidR="00C43A99" w:rsidRDefault="00C43A99"/>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A6C7340"/>
    <w:multiLevelType w:val="hybridMultilevel"/>
    <w:tmpl w:val="AC56051E"/>
    <w:lvl w:ilvl="0" w:tplc="040C0001">
      <w:start w:val="1"/>
      <w:numFmt w:val="bullet"/>
      <w:lvlText w:val=""/>
      <w:lvlJc w:val="left"/>
      <w:pPr>
        <w:ind w:left="840" w:hanging="360"/>
      </w:pPr>
      <w:rPr>
        <w:rFonts w:ascii="Symbol" w:hAnsi="Symbol" w:hint="default"/>
      </w:rPr>
    </w:lvl>
    <w:lvl w:ilvl="1" w:tplc="040C0003">
      <w:start w:val="1"/>
      <w:numFmt w:val="bullet"/>
      <w:lvlText w:val="o"/>
      <w:lvlJc w:val="left"/>
      <w:pPr>
        <w:ind w:left="1560" w:hanging="360"/>
      </w:pPr>
      <w:rPr>
        <w:rFonts w:ascii="Courier New" w:hAnsi="Courier New" w:cs="Courier New" w:hint="default"/>
      </w:rPr>
    </w:lvl>
    <w:lvl w:ilvl="2" w:tplc="8CAC30A2">
      <w:numFmt w:val="bullet"/>
      <w:lvlText w:val="•"/>
      <w:lvlJc w:val="left"/>
      <w:pPr>
        <w:ind w:left="2640" w:hanging="720"/>
      </w:pPr>
      <w:rPr>
        <w:rFonts w:ascii="Arial" w:eastAsia="MS Gothic" w:hAnsi="Arial" w:cs="Arial"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
    <w:nsid w:val="12267A4F"/>
    <w:multiLevelType w:val="hybridMultilevel"/>
    <w:tmpl w:val="D132E048"/>
    <w:lvl w:ilvl="0" w:tplc="D3DC5262">
      <w:start w:val="1"/>
      <w:numFmt w:val="bullet"/>
      <w:lvlText w:val="•"/>
      <w:lvlJc w:val="left"/>
      <w:pPr>
        <w:tabs>
          <w:tab w:val="num" w:pos="720"/>
        </w:tabs>
        <w:ind w:left="720" w:hanging="360"/>
      </w:pPr>
      <w:rPr>
        <w:rFonts w:ascii="Arial" w:hAnsi="Arial" w:hint="default"/>
      </w:rPr>
    </w:lvl>
    <w:lvl w:ilvl="1" w:tplc="CBC03A46" w:tentative="1">
      <w:start w:val="1"/>
      <w:numFmt w:val="bullet"/>
      <w:lvlText w:val="•"/>
      <w:lvlJc w:val="left"/>
      <w:pPr>
        <w:tabs>
          <w:tab w:val="num" w:pos="1440"/>
        </w:tabs>
        <w:ind w:left="1440" w:hanging="360"/>
      </w:pPr>
      <w:rPr>
        <w:rFonts w:ascii="Arial" w:hAnsi="Arial" w:hint="default"/>
      </w:rPr>
    </w:lvl>
    <w:lvl w:ilvl="2" w:tplc="15F246C4" w:tentative="1">
      <w:start w:val="1"/>
      <w:numFmt w:val="bullet"/>
      <w:lvlText w:val="•"/>
      <w:lvlJc w:val="left"/>
      <w:pPr>
        <w:tabs>
          <w:tab w:val="num" w:pos="2160"/>
        </w:tabs>
        <w:ind w:left="2160" w:hanging="360"/>
      </w:pPr>
      <w:rPr>
        <w:rFonts w:ascii="Arial" w:hAnsi="Arial" w:hint="default"/>
      </w:rPr>
    </w:lvl>
    <w:lvl w:ilvl="3" w:tplc="1CEABCFA" w:tentative="1">
      <w:start w:val="1"/>
      <w:numFmt w:val="bullet"/>
      <w:lvlText w:val="•"/>
      <w:lvlJc w:val="left"/>
      <w:pPr>
        <w:tabs>
          <w:tab w:val="num" w:pos="2880"/>
        </w:tabs>
        <w:ind w:left="2880" w:hanging="360"/>
      </w:pPr>
      <w:rPr>
        <w:rFonts w:ascii="Arial" w:hAnsi="Arial" w:hint="default"/>
      </w:rPr>
    </w:lvl>
    <w:lvl w:ilvl="4" w:tplc="59DA54BA" w:tentative="1">
      <w:start w:val="1"/>
      <w:numFmt w:val="bullet"/>
      <w:lvlText w:val="•"/>
      <w:lvlJc w:val="left"/>
      <w:pPr>
        <w:tabs>
          <w:tab w:val="num" w:pos="3600"/>
        </w:tabs>
        <w:ind w:left="3600" w:hanging="360"/>
      </w:pPr>
      <w:rPr>
        <w:rFonts w:ascii="Arial" w:hAnsi="Arial" w:hint="default"/>
      </w:rPr>
    </w:lvl>
    <w:lvl w:ilvl="5" w:tplc="B6C65C94" w:tentative="1">
      <w:start w:val="1"/>
      <w:numFmt w:val="bullet"/>
      <w:lvlText w:val="•"/>
      <w:lvlJc w:val="left"/>
      <w:pPr>
        <w:tabs>
          <w:tab w:val="num" w:pos="4320"/>
        </w:tabs>
        <w:ind w:left="4320" w:hanging="360"/>
      </w:pPr>
      <w:rPr>
        <w:rFonts w:ascii="Arial" w:hAnsi="Arial" w:hint="default"/>
      </w:rPr>
    </w:lvl>
    <w:lvl w:ilvl="6" w:tplc="0F08197C" w:tentative="1">
      <w:start w:val="1"/>
      <w:numFmt w:val="bullet"/>
      <w:lvlText w:val="•"/>
      <w:lvlJc w:val="left"/>
      <w:pPr>
        <w:tabs>
          <w:tab w:val="num" w:pos="5040"/>
        </w:tabs>
        <w:ind w:left="5040" w:hanging="360"/>
      </w:pPr>
      <w:rPr>
        <w:rFonts w:ascii="Arial" w:hAnsi="Arial" w:hint="default"/>
      </w:rPr>
    </w:lvl>
    <w:lvl w:ilvl="7" w:tplc="27B48C0C" w:tentative="1">
      <w:start w:val="1"/>
      <w:numFmt w:val="bullet"/>
      <w:lvlText w:val="•"/>
      <w:lvlJc w:val="left"/>
      <w:pPr>
        <w:tabs>
          <w:tab w:val="num" w:pos="5760"/>
        </w:tabs>
        <w:ind w:left="5760" w:hanging="360"/>
      </w:pPr>
      <w:rPr>
        <w:rFonts w:ascii="Arial" w:hAnsi="Arial" w:hint="default"/>
      </w:rPr>
    </w:lvl>
    <w:lvl w:ilvl="8" w:tplc="3CF8659E" w:tentative="1">
      <w:start w:val="1"/>
      <w:numFmt w:val="bullet"/>
      <w:lvlText w:val="•"/>
      <w:lvlJc w:val="left"/>
      <w:pPr>
        <w:tabs>
          <w:tab w:val="num" w:pos="6480"/>
        </w:tabs>
        <w:ind w:left="6480" w:hanging="360"/>
      </w:pPr>
      <w:rPr>
        <w:rFonts w:ascii="Arial" w:hAnsi="Arial" w:hint="default"/>
      </w:rPr>
    </w:lvl>
  </w:abstractNum>
  <w:abstractNum w:abstractNumId="3">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49853723"/>
    <w:multiLevelType w:val="hybridMultilevel"/>
    <w:tmpl w:val="F31635A2"/>
    <w:lvl w:ilvl="0" w:tplc="E82A2266">
      <w:start w:val="1"/>
      <w:numFmt w:val="bullet"/>
      <w:lvlText w:val=""/>
      <w:lvlJc w:val="left"/>
      <w:pPr>
        <w:tabs>
          <w:tab w:val="num" w:pos="720"/>
        </w:tabs>
        <w:ind w:left="720" w:hanging="360"/>
      </w:pPr>
      <w:rPr>
        <w:rFonts w:ascii="Wingdings" w:hAnsi="Wingdings" w:hint="default"/>
      </w:rPr>
    </w:lvl>
    <w:lvl w:ilvl="1" w:tplc="F0B6357C">
      <w:start w:val="1423"/>
      <w:numFmt w:val="bullet"/>
      <w:lvlText w:val=""/>
      <w:lvlJc w:val="left"/>
      <w:pPr>
        <w:tabs>
          <w:tab w:val="num" w:pos="1440"/>
        </w:tabs>
        <w:ind w:left="1440" w:hanging="360"/>
      </w:pPr>
      <w:rPr>
        <w:rFonts w:ascii="Wingdings" w:hAnsi="Wingdings" w:hint="default"/>
      </w:rPr>
    </w:lvl>
    <w:lvl w:ilvl="2" w:tplc="3DF2C034">
      <w:start w:val="1423"/>
      <w:numFmt w:val="bullet"/>
      <w:lvlText w:val=""/>
      <w:lvlJc w:val="left"/>
      <w:pPr>
        <w:tabs>
          <w:tab w:val="num" w:pos="2160"/>
        </w:tabs>
        <w:ind w:left="2160" w:hanging="360"/>
      </w:pPr>
      <w:rPr>
        <w:rFonts w:ascii="Wingdings" w:hAnsi="Wingdings" w:hint="default"/>
      </w:rPr>
    </w:lvl>
    <w:lvl w:ilvl="3" w:tplc="0ACCA470" w:tentative="1">
      <w:start w:val="1"/>
      <w:numFmt w:val="bullet"/>
      <w:lvlText w:val=""/>
      <w:lvlJc w:val="left"/>
      <w:pPr>
        <w:tabs>
          <w:tab w:val="num" w:pos="2880"/>
        </w:tabs>
        <w:ind w:left="2880" w:hanging="360"/>
      </w:pPr>
      <w:rPr>
        <w:rFonts w:ascii="Wingdings" w:hAnsi="Wingdings" w:hint="default"/>
      </w:rPr>
    </w:lvl>
    <w:lvl w:ilvl="4" w:tplc="E5442114" w:tentative="1">
      <w:start w:val="1"/>
      <w:numFmt w:val="bullet"/>
      <w:lvlText w:val=""/>
      <w:lvlJc w:val="left"/>
      <w:pPr>
        <w:tabs>
          <w:tab w:val="num" w:pos="3600"/>
        </w:tabs>
        <w:ind w:left="3600" w:hanging="360"/>
      </w:pPr>
      <w:rPr>
        <w:rFonts w:ascii="Wingdings" w:hAnsi="Wingdings" w:hint="default"/>
      </w:rPr>
    </w:lvl>
    <w:lvl w:ilvl="5" w:tplc="411E73FA" w:tentative="1">
      <w:start w:val="1"/>
      <w:numFmt w:val="bullet"/>
      <w:lvlText w:val=""/>
      <w:lvlJc w:val="left"/>
      <w:pPr>
        <w:tabs>
          <w:tab w:val="num" w:pos="4320"/>
        </w:tabs>
        <w:ind w:left="4320" w:hanging="360"/>
      </w:pPr>
      <w:rPr>
        <w:rFonts w:ascii="Wingdings" w:hAnsi="Wingdings" w:hint="default"/>
      </w:rPr>
    </w:lvl>
    <w:lvl w:ilvl="6" w:tplc="A744701A" w:tentative="1">
      <w:start w:val="1"/>
      <w:numFmt w:val="bullet"/>
      <w:lvlText w:val=""/>
      <w:lvlJc w:val="left"/>
      <w:pPr>
        <w:tabs>
          <w:tab w:val="num" w:pos="5040"/>
        </w:tabs>
        <w:ind w:left="5040" w:hanging="360"/>
      </w:pPr>
      <w:rPr>
        <w:rFonts w:ascii="Wingdings" w:hAnsi="Wingdings" w:hint="default"/>
      </w:rPr>
    </w:lvl>
    <w:lvl w:ilvl="7" w:tplc="F1ECAF9A" w:tentative="1">
      <w:start w:val="1"/>
      <w:numFmt w:val="bullet"/>
      <w:lvlText w:val=""/>
      <w:lvlJc w:val="left"/>
      <w:pPr>
        <w:tabs>
          <w:tab w:val="num" w:pos="5760"/>
        </w:tabs>
        <w:ind w:left="5760" w:hanging="360"/>
      </w:pPr>
      <w:rPr>
        <w:rFonts w:ascii="Wingdings" w:hAnsi="Wingdings" w:hint="default"/>
      </w:rPr>
    </w:lvl>
    <w:lvl w:ilvl="8" w:tplc="41B67054" w:tentative="1">
      <w:start w:val="1"/>
      <w:numFmt w:val="bullet"/>
      <w:lvlText w:val=""/>
      <w:lvlJc w:val="left"/>
      <w:pPr>
        <w:tabs>
          <w:tab w:val="num" w:pos="6480"/>
        </w:tabs>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905378A"/>
    <w:multiLevelType w:val="hybridMultilevel"/>
    <w:tmpl w:val="F418E074"/>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1D3788F"/>
    <w:multiLevelType w:val="hybridMultilevel"/>
    <w:tmpl w:val="C78E0A58"/>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1"/>
  </w:num>
  <w:num w:numId="4">
    <w:abstractNumId w:val="6"/>
  </w:num>
  <w:num w:numId="5">
    <w:abstractNumId w:val="13"/>
  </w:num>
  <w:num w:numId="6">
    <w:abstractNumId w:val="3"/>
  </w:num>
  <w:num w:numId="7">
    <w:abstractNumId w:val="7"/>
  </w:num>
  <w:num w:numId="8">
    <w:abstractNumId w:val="1"/>
  </w:num>
  <w:num w:numId="9">
    <w:abstractNumId w:val="2"/>
  </w:num>
  <w:num w:numId="10">
    <w:abstractNumId w:val="8"/>
  </w:num>
  <w:num w:numId="11">
    <w:abstractNumId w:val="5"/>
  </w:num>
  <w:num w:numId="12">
    <w:abstractNumId w:val="4"/>
  </w:num>
  <w:num w:numId="13">
    <w:abstractNumId w:val="12"/>
  </w:num>
  <w:num w:numId="14">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0178"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
  <w:rsids>
    <w:rsidRoot w:val="00533A40"/>
    <w:rsid w:val="0000031F"/>
    <w:rsid w:val="00000D31"/>
    <w:rsid w:val="00000FC9"/>
    <w:rsid w:val="0000142B"/>
    <w:rsid w:val="00001B03"/>
    <w:rsid w:val="00002B69"/>
    <w:rsid w:val="00002C19"/>
    <w:rsid w:val="00004317"/>
    <w:rsid w:val="000045E6"/>
    <w:rsid w:val="00005B13"/>
    <w:rsid w:val="00006431"/>
    <w:rsid w:val="0000707E"/>
    <w:rsid w:val="0000770D"/>
    <w:rsid w:val="000077B0"/>
    <w:rsid w:val="00007BDD"/>
    <w:rsid w:val="00007CD8"/>
    <w:rsid w:val="00010F43"/>
    <w:rsid w:val="00011A71"/>
    <w:rsid w:val="00011C1D"/>
    <w:rsid w:val="00011E04"/>
    <w:rsid w:val="00012851"/>
    <w:rsid w:val="00013693"/>
    <w:rsid w:val="0001382C"/>
    <w:rsid w:val="0001440B"/>
    <w:rsid w:val="00015C13"/>
    <w:rsid w:val="00016423"/>
    <w:rsid w:val="000168BD"/>
    <w:rsid w:val="00016CF6"/>
    <w:rsid w:val="00016EC0"/>
    <w:rsid w:val="0001728D"/>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195"/>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059"/>
    <w:rsid w:val="00051D46"/>
    <w:rsid w:val="0005227B"/>
    <w:rsid w:val="00052490"/>
    <w:rsid w:val="00052796"/>
    <w:rsid w:val="00053A31"/>
    <w:rsid w:val="00053B38"/>
    <w:rsid w:val="00055E47"/>
    <w:rsid w:val="0005625A"/>
    <w:rsid w:val="00056FAC"/>
    <w:rsid w:val="00060E77"/>
    <w:rsid w:val="00061C83"/>
    <w:rsid w:val="00063491"/>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1D94"/>
    <w:rsid w:val="00075BD6"/>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D189C"/>
    <w:rsid w:val="000D2AB6"/>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13C2"/>
    <w:rsid w:val="00151984"/>
    <w:rsid w:val="00151F3A"/>
    <w:rsid w:val="00152772"/>
    <w:rsid w:val="00152CC3"/>
    <w:rsid w:val="00153A9E"/>
    <w:rsid w:val="001550A0"/>
    <w:rsid w:val="00157039"/>
    <w:rsid w:val="00162338"/>
    <w:rsid w:val="001627C9"/>
    <w:rsid w:val="0016322A"/>
    <w:rsid w:val="001636B8"/>
    <w:rsid w:val="00163EDF"/>
    <w:rsid w:val="00166AEC"/>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869"/>
    <w:rsid w:val="001A0C4F"/>
    <w:rsid w:val="001A0D15"/>
    <w:rsid w:val="001A0E81"/>
    <w:rsid w:val="001A139C"/>
    <w:rsid w:val="001A25B3"/>
    <w:rsid w:val="001A2894"/>
    <w:rsid w:val="001A2E91"/>
    <w:rsid w:val="001A355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B3D"/>
    <w:rsid w:val="001B7B93"/>
    <w:rsid w:val="001C0373"/>
    <w:rsid w:val="001C2448"/>
    <w:rsid w:val="001C28A0"/>
    <w:rsid w:val="001C3206"/>
    <w:rsid w:val="001C325C"/>
    <w:rsid w:val="001C364B"/>
    <w:rsid w:val="001C3B1C"/>
    <w:rsid w:val="001C3B52"/>
    <w:rsid w:val="001C4D88"/>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DC4"/>
    <w:rsid w:val="001E70C0"/>
    <w:rsid w:val="001E7AF4"/>
    <w:rsid w:val="001E7FE0"/>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105E5"/>
    <w:rsid w:val="00211276"/>
    <w:rsid w:val="00211C36"/>
    <w:rsid w:val="00211D59"/>
    <w:rsid w:val="002122A5"/>
    <w:rsid w:val="002122B1"/>
    <w:rsid w:val="002142C6"/>
    <w:rsid w:val="002155B7"/>
    <w:rsid w:val="002164B4"/>
    <w:rsid w:val="00216D1C"/>
    <w:rsid w:val="00216F4A"/>
    <w:rsid w:val="0021752D"/>
    <w:rsid w:val="00220C4B"/>
    <w:rsid w:val="002215A6"/>
    <w:rsid w:val="0022245A"/>
    <w:rsid w:val="002225EB"/>
    <w:rsid w:val="00222DAA"/>
    <w:rsid w:val="00224165"/>
    <w:rsid w:val="00226037"/>
    <w:rsid w:val="00226C40"/>
    <w:rsid w:val="00226CCE"/>
    <w:rsid w:val="00230B11"/>
    <w:rsid w:val="002315F6"/>
    <w:rsid w:val="0023180F"/>
    <w:rsid w:val="00233B5E"/>
    <w:rsid w:val="00236203"/>
    <w:rsid w:val="00236A00"/>
    <w:rsid w:val="00237CB8"/>
    <w:rsid w:val="00237D6F"/>
    <w:rsid w:val="0024026D"/>
    <w:rsid w:val="0024498C"/>
    <w:rsid w:val="00244AF2"/>
    <w:rsid w:val="002457AF"/>
    <w:rsid w:val="00251239"/>
    <w:rsid w:val="00251505"/>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E63"/>
    <w:rsid w:val="00274FFD"/>
    <w:rsid w:val="00276379"/>
    <w:rsid w:val="0027654D"/>
    <w:rsid w:val="00277BDF"/>
    <w:rsid w:val="00277F76"/>
    <w:rsid w:val="00281991"/>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5287"/>
    <w:rsid w:val="002C09D8"/>
    <w:rsid w:val="002C13C7"/>
    <w:rsid w:val="002C14D6"/>
    <w:rsid w:val="002C18EC"/>
    <w:rsid w:val="002C26CD"/>
    <w:rsid w:val="002C3099"/>
    <w:rsid w:val="002C32A7"/>
    <w:rsid w:val="002C4AB3"/>
    <w:rsid w:val="002C4C31"/>
    <w:rsid w:val="002C4D06"/>
    <w:rsid w:val="002C4FCB"/>
    <w:rsid w:val="002C52F1"/>
    <w:rsid w:val="002C5704"/>
    <w:rsid w:val="002C5D12"/>
    <w:rsid w:val="002C7136"/>
    <w:rsid w:val="002D0F44"/>
    <w:rsid w:val="002D10A0"/>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F6D"/>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DA6"/>
    <w:rsid w:val="003072E7"/>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63C1"/>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1460"/>
    <w:rsid w:val="0035210D"/>
    <w:rsid w:val="00352329"/>
    <w:rsid w:val="003533DE"/>
    <w:rsid w:val="00354069"/>
    <w:rsid w:val="00355B1B"/>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518C"/>
    <w:rsid w:val="003864EE"/>
    <w:rsid w:val="0038667E"/>
    <w:rsid w:val="00390021"/>
    <w:rsid w:val="00391B10"/>
    <w:rsid w:val="00392281"/>
    <w:rsid w:val="00392293"/>
    <w:rsid w:val="0039322E"/>
    <w:rsid w:val="00394129"/>
    <w:rsid w:val="00394D77"/>
    <w:rsid w:val="00395D9F"/>
    <w:rsid w:val="003A02AC"/>
    <w:rsid w:val="003A0793"/>
    <w:rsid w:val="003A1183"/>
    <w:rsid w:val="003A2430"/>
    <w:rsid w:val="003A2CC1"/>
    <w:rsid w:val="003A2CD8"/>
    <w:rsid w:val="003A3998"/>
    <w:rsid w:val="003A5AFF"/>
    <w:rsid w:val="003A5D53"/>
    <w:rsid w:val="003A5FA6"/>
    <w:rsid w:val="003A6985"/>
    <w:rsid w:val="003A6B08"/>
    <w:rsid w:val="003A7589"/>
    <w:rsid w:val="003A7D1C"/>
    <w:rsid w:val="003B47C6"/>
    <w:rsid w:val="003B48D7"/>
    <w:rsid w:val="003B59A4"/>
    <w:rsid w:val="003B620B"/>
    <w:rsid w:val="003B641C"/>
    <w:rsid w:val="003B7034"/>
    <w:rsid w:val="003B7855"/>
    <w:rsid w:val="003C12FA"/>
    <w:rsid w:val="003C1E88"/>
    <w:rsid w:val="003C2D44"/>
    <w:rsid w:val="003C2DCC"/>
    <w:rsid w:val="003C3242"/>
    <w:rsid w:val="003C3870"/>
    <w:rsid w:val="003C3E3C"/>
    <w:rsid w:val="003C4B63"/>
    <w:rsid w:val="003C50DE"/>
    <w:rsid w:val="003C5892"/>
    <w:rsid w:val="003C5E08"/>
    <w:rsid w:val="003C61AB"/>
    <w:rsid w:val="003C6470"/>
    <w:rsid w:val="003C6C6E"/>
    <w:rsid w:val="003C6FC0"/>
    <w:rsid w:val="003C7808"/>
    <w:rsid w:val="003C7CCE"/>
    <w:rsid w:val="003D00CF"/>
    <w:rsid w:val="003D1676"/>
    <w:rsid w:val="003D1700"/>
    <w:rsid w:val="003D46B3"/>
    <w:rsid w:val="003D482A"/>
    <w:rsid w:val="003D5150"/>
    <w:rsid w:val="003D56EF"/>
    <w:rsid w:val="003D5C3B"/>
    <w:rsid w:val="003D5DB5"/>
    <w:rsid w:val="003D6413"/>
    <w:rsid w:val="003D6BA0"/>
    <w:rsid w:val="003D6FA6"/>
    <w:rsid w:val="003D70E5"/>
    <w:rsid w:val="003D746F"/>
    <w:rsid w:val="003D7867"/>
    <w:rsid w:val="003E0A34"/>
    <w:rsid w:val="003E16BF"/>
    <w:rsid w:val="003E228C"/>
    <w:rsid w:val="003E653C"/>
    <w:rsid w:val="003F00C7"/>
    <w:rsid w:val="003F07C6"/>
    <w:rsid w:val="003F08AE"/>
    <w:rsid w:val="003F0A0F"/>
    <w:rsid w:val="003F15C0"/>
    <w:rsid w:val="003F176E"/>
    <w:rsid w:val="003F1A8D"/>
    <w:rsid w:val="003F2DFE"/>
    <w:rsid w:val="003F4936"/>
    <w:rsid w:val="003F4BE8"/>
    <w:rsid w:val="003F5707"/>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2169"/>
    <w:rsid w:val="004128BE"/>
    <w:rsid w:val="004146BA"/>
    <w:rsid w:val="0041506E"/>
    <w:rsid w:val="00415FBF"/>
    <w:rsid w:val="0041603F"/>
    <w:rsid w:val="004164AA"/>
    <w:rsid w:val="00417400"/>
    <w:rsid w:val="004175B5"/>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66CD"/>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819"/>
    <w:rsid w:val="00494207"/>
    <w:rsid w:val="00495BBB"/>
    <w:rsid w:val="0049699D"/>
    <w:rsid w:val="00497732"/>
    <w:rsid w:val="00497BF9"/>
    <w:rsid w:val="00497DA9"/>
    <w:rsid w:val="004A012B"/>
    <w:rsid w:val="004A0B2F"/>
    <w:rsid w:val="004A0DE5"/>
    <w:rsid w:val="004A146B"/>
    <w:rsid w:val="004A14C9"/>
    <w:rsid w:val="004A3D03"/>
    <w:rsid w:val="004A4A68"/>
    <w:rsid w:val="004A5159"/>
    <w:rsid w:val="004A518C"/>
    <w:rsid w:val="004A537C"/>
    <w:rsid w:val="004A5721"/>
    <w:rsid w:val="004A628B"/>
    <w:rsid w:val="004A677B"/>
    <w:rsid w:val="004A6DCA"/>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B0F"/>
    <w:rsid w:val="004F415E"/>
    <w:rsid w:val="004F49D4"/>
    <w:rsid w:val="004F5A91"/>
    <w:rsid w:val="004F5ADC"/>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1B"/>
    <w:rsid w:val="005559A0"/>
    <w:rsid w:val="005562BE"/>
    <w:rsid w:val="00556B67"/>
    <w:rsid w:val="00560B2E"/>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942"/>
    <w:rsid w:val="00587387"/>
    <w:rsid w:val="00587A2B"/>
    <w:rsid w:val="00590294"/>
    <w:rsid w:val="0059036E"/>
    <w:rsid w:val="00591728"/>
    <w:rsid w:val="005938A0"/>
    <w:rsid w:val="00593C8B"/>
    <w:rsid w:val="00593DCC"/>
    <w:rsid w:val="0059407E"/>
    <w:rsid w:val="005941EF"/>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41CC"/>
    <w:rsid w:val="005B510B"/>
    <w:rsid w:val="005B7101"/>
    <w:rsid w:val="005B7637"/>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F2C"/>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32BB"/>
    <w:rsid w:val="005F396E"/>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7342"/>
    <w:rsid w:val="0063754D"/>
    <w:rsid w:val="006375A9"/>
    <w:rsid w:val="006378D3"/>
    <w:rsid w:val="00640209"/>
    <w:rsid w:val="00640231"/>
    <w:rsid w:val="00641332"/>
    <w:rsid w:val="0064133D"/>
    <w:rsid w:val="006419E7"/>
    <w:rsid w:val="0064226B"/>
    <w:rsid w:val="00642BE1"/>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C81"/>
    <w:rsid w:val="006655F9"/>
    <w:rsid w:val="006656D9"/>
    <w:rsid w:val="00665762"/>
    <w:rsid w:val="006664AE"/>
    <w:rsid w:val="00666E12"/>
    <w:rsid w:val="006712DD"/>
    <w:rsid w:val="006720D9"/>
    <w:rsid w:val="0067380B"/>
    <w:rsid w:val="00674176"/>
    <w:rsid w:val="00675C98"/>
    <w:rsid w:val="006761FD"/>
    <w:rsid w:val="006770CF"/>
    <w:rsid w:val="006806DE"/>
    <w:rsid w:val="00680F50"/>
    <w:rsid w:val="006835AA"/>
    <w:rsid w:val="00683AF0"/>
    <w:rsid w:val="006847F9"/>
    <w:rsid w:val="00684A8D"/>
    <w:rsid w:val="00685C5C"/>
    <w:rsid w:val="0068607B"/>
    <w:rsid w:val="00686081"/>
    <w:rsid w:val="006860AE"/>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33DA"/>
    <w:rsid w:val="006D58F9"/>
    <w:rsid w:val="006D5A85"/>
    <w:rsid w:val="006D5EB2"/>
    <w:rsid w:val="006D5FE0"/>
    <w:rsid w:val="006E019A"/>
    <w:rsid w:val="006E2112"/>
    <w:rsid w:val="006E2FE3"/>
    <w:rsid w:val="006E36B1"/>
    <w:rsid w:val="006E5A6F"/>
    <w:rsid w:val="006E68BC"/>
    <w:rsid w:val="006E7E29"/>
    <w:rsid w:val="006F05E2"/>
    <w:rsid w:val="006F0851"/>
    <w:rsid w:val="006F1CAE"/>
    <w:rsid w:val="006F2C2D"/>
    <w:rsid w:val="006F37B7"/>
    <w:rsid w:val="006F4BFB"/>
    <w:rsid w:val="006F710C"/>
    <w:rsid w:val="006F7BDF"/>
    <w:rsid w:val="006F7FD0"/>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58C1"/>
    <w:rsid w:val="00746D61"/>
    <w:rsid w:val="00747788"/>
    <w:rsid w:val="007509B4"/>
    <w:rsid w:val="00751461"/>
    <w:rsid w:val="0075177D"/>
    <w:rsid w:val="00752F15"/>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E5A"/>
    <w:rsid w:val="00796E84"/>
    <w:rsid w:val="00797613"/>
    <w:rsid w:val="00797AD8"/>
    <w:rsid w:val="00797FD0"/>
    <w:rsid w:val="007A0191"/>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E79"/>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3C37"/>
    <w:rsid w:val="008041A2"/>
    <w:rsid w:val="008055E1"/>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4B8B"/>
    <w:rsid w:val="00895696"/>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13C"/>
    <w:rsid w:val="009862EC"/>
    <w:rsid w:val="0098677F"/>
    <w:rsid w:val="009876E9"/>
    <w:rsid w:val="00987CD8"/>
    <w:rsid w:val="0099038F"/>
    <w:rsid w:val="0099090F"/>
    <w:rsid w:val="00991992"/>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525C"/>
    <w:rsid w:val="009B5C28"/>
    <w:rsid w:val="009B6A66"/>
    <w:rsid w:val="009B6E6E"/>
    <w:rsid w:val="009C005F"/>
    <w:rsid w:val="009C21DE"/>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7DB"/>
    <w:rsid w:val="00A018BA"/>
    <w:rsid w:val="00A053CD"/>
    <w:rsid w:val="00A0569C"/>
    <w:rsid w:val="00A07675"/>
    <w:rsid w:val="00A079FF"/>
    <w:rsid w:val="00A101BC"/>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4054C"/>
    <w:rsid w:val="00A41438"/>
    <w:rsid w:val="00A44EAE"/>
    <w:rsid w:val="00A4519A"/>
    <w:rsid w:val="00A479A5"/>
    <w:rsid w:val="00A47B03"/>
    <w:rsid w:val="00A50EDB"/>
    <w:rsid w:val="00A51347"/>
    <w:rsid w:val="00A542EF"/>
    <w:rsid w:val="00A55012"/>
    <w:rsid w:val="00A569B4"/>
    <w:rsid w:val="00A56E16"/>
    <w:rsid w:val="00A570BE"/>
    <w:rsid w:val="00A5720C"/>
    <w:rsid w:val="00A57872"/>
    <w:rsid w:val="00A60A10"/>
    <w:rsid w:val="00A61930"/>
    <w:rsid w:val="00A621CB"/>
    <w:rsid w:val="00A62658"/>
    <w:rsid w:val="00A6282C"/>
    <w:rsid w:val="00A65C4A"/>
    <w:rsid w:val="00A66486"/>
    <w:rsid w:val="00A6662B"/>
    <w:rsid w:val="00A66655"/>
    <w:rsid w:val="00A67BB3"/>
    <w:rsid w:val="00A67BBA"/>
    <w:rsid w:val="00A705A6"/>
    <w:rsid w:val="00A7066A"/>
    <w:rsid w:val="00A7118A"/>
    <w:rsid w:val="00A717E6"/>
    <w:rsid w:val="00A71EF5"/>
    <w:rsid w:val="00A72652"/>
    <w:rsid w:val="00A7576F"/>
    <w:rsid w:val="00A80AB6"/>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87C"/>
    <w:rsid w:val="00AA5987"/>
    <w:rsid w:val="00AA5F48"/>
    <w:rsid w:val="00AA5FB8"/>
    <w:rsid w:val="00AA7CDA"/>
    <w:rsid w:val="00AA7F81"/>
    <w:rsid w:val="00AB08B3"/>
    <w:rsid w:val="00AB1D52"/>
    <w:rsid w:val="00AB2210"/>
    <w:rsid w:val="00AB377E"/>
    <w:rsid w:val="00AB3AB1"/>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E34"/>
    <w:rsid w:val="00AC6EB6"/>
    <w:rsid w:val="00AC7DD6"/>
    <w:rsid w:val="00AD0640"/>
    <w:rsid w:val="00AD27A6"/>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7CB9"/>
    <w:rsid w:val="00B005F2"/>
    <w:rsid w:val="00B013BE"/>
    <w:rsid w:val="00B03334"/>
    <w:rsid w:val="00B0616E"/>
    <w:rsid w:val="00B06EC3"/>
    <w:rsid w:val="00B11ADD"/>
    <w:rsid w:val="00B12278"/>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883"/>
    <w:rsid w:val="00BC71A0"/>
    <w:rsid w:val="00BD1415"/>
    <w:rsid w:val="00BD1994"/>
    <w:rsid w:val="00BD348D"/>
    <w:rsid w:val="00BD54D2"/>
    <w:rsid w:val="00BD6633"/>
    <w:rsid w:val="00BD750E"/>
    <w:rsid w:val="00BE023E"/>
    <w:rsid w:val="00BE0B66"/>
    <w:rsid w:val="00BE1C44"/>
    <w:rsid w:val="00BE2C93"/>
    <w:rsid w:val="00BE32AB"/>
    <w:rsid w:val="00BE39F6"/>
    <w:rsid w:val="00BE3C51"/>
    <w:rsid w:val="00BE4409"/>
    <w:rsid w:val="00BE4849"/>
    <w:rsid w:val="00BF017B"/>
    <w:rsid w:val="00BF04C8"/>
    <w:rsid w:val="00BF0EDC"/>
    <w:rsid w:val="00BF13BB"/>
    <w:rsid w:val="00BF1EB9"/>
    <w:rsid w:val="00BF3162"/>
    <w:rsid w:val="00BF366B"/>
    <w:rsid w:val="00BF38B0"/>
    <w:rsid w:val="00BF73CB"/>
    <w:rsid w:val="00C00159"/>
    <w:rsid w:val="00C00461"/>
    <w:rsid w:val="00C006C7"/>
    <w:rsid w:val="00C00C54"/>
    <w:rsid w:val="00C00DA7"/>
    <w:rsid w:val="00C047E8"/>
    <w:rsid w:val="00C04D40"/>
    <w:rsid w:val="00C054BF"/>
    <w:rsid w:val="00C057D5"/>
    <w:rsid w:val="00C06161"/>
    <w:rsid w:val="00C0623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3A99"/>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4043"/>
    <w:rsid w:val="00CA4FEE"/>
    <w:rsid w:val="00CA62A3"/>
    <w:rsid w:val="00CA65BE"/>
    <w:rsid w:val="00CA761B"/>
    <w:rsid w:val="00CB0463"/>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2305"/>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CAE"/>
    <w:rsid w:val="00D15697"/>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6B46"/>
    <w:rsid w:val="00D76BE9"/>
    <w:rsid w:val="00D7726D"/>
    <w:rsid w:val="00D77FAA"/>
    <w:rsid w:val="00D80E20"/>
    <w:rsid w:val="00D8197F"/>
    <w:rsid w:val="00D82C17"/>
    <w:rsid w:val="00D84E8B"/>
    <w:rsid w:val="00D85BC9"/>
    <w:rsid w:val="00D86E1B"/>
    <w:rsid w:val="00D86E83"/>
    <w:rsid w:val="00D877AB"/>
    <w:rsid w:val="00D90662"/>
    <w:rsid w:val="00D90CA8"/>
    <w:rsid w:val="00D91667"/>
    <w:rsid w:val="00D93D5A"/>
    <w:rsid w:val="00D94CFB"/>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539F"/>
    <w:rsid w:val="00DB5D3B"/>
    <w:rsid w:val="00DB7234"/>
    <w:rsid w:val="00DB76A0"/>
    <w:rsid w:val="00DB78D8"/>
    <w:rsid w:val="00DB7956"/>
    <w:rsid w:val="00DB79EC"/>
    <w:rsid w:val="00DC1236"/>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616"/>
    <w:rsid w:val="00E01E64"/>
    <w:rsid w:val="00E01FDA"/>
    <w:rsid w:val="00E104E2"/>
    <w:rsid w:val="00E106EA"/>
    <w:rsid w:val="00E11F43"/>
    <w:rsid w:val="00E134B4"/>
    <w:rsid w:val="00E1546C"/>
    <w:rsid w:val="00E155C1"/>
    <w:rsid w:val="00E15617"/>
    <w:rsid w:val="00E157E3"/>
    <w:rsid w:val="00E167B4"/>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37A7"/>
    <w:rsid w:val="00E94C5A"/>
    <w:rsid w:val="00E95728"/>
    <w:rsid w:val="00E9660A"/>
    <w:rsid w:val="00E96974"/>
    <w:rsid w:val="00E969D5"/>
    <w:rsid w:val="00E97AA4"/>
    <w:rsid w:val="00EA0674"/>
    <w:rsid w:val="00EA074B"/>
    <w:rsid w:val="00EA0816"/>
    <w:rsid w:val="00EA14F2"/>
    <w:rsid w:val="00EA1B0D"/>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2593"/>
    <w:rsid w:val="00EE411D"/>
    <w:rsid w:val="00EE4202"/>
    <w:rsid w:val="00EE44CE"/>
    <w:rsid w:val="00EE4715"/>
    <w:rsid w:val="00EE49A5"/>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02EC"/>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13EF"/>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140B"/>
    <w:rsid w:val="00F931FF"/>
    <w:rsid w:val="00F94793"/>
    <w:rsid w:val="00F96211"/>
    <w:rsid w:val="00F96643"/>
    <w:rsid w:val="00F96727"/>
    <w:rsid w:val="00FA00FF"/>
    <w:rsid w:val="00FA016F"/>
    <w:rsid w:val="00FA0272"/>
    <w:rsid w:val="00FA0588"/>
    <w:rsid w:val="00FA2D5D"/>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ABF"/>
    <w:rsid w:val="00FD2AC7"/>
    <w:rsid w:val="00FD3DC7"/>
    <w:rsid w:val="00FD4006"/>
    <w:rsid w:val="00FD410B"/>
    <w:rsid w:val="00FD468A"/>
    <w:rsid w:val="00FD4DB1"/>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19AC"/>
    <w:rsid w:val="00FF2CCD"/>
    <w:rsid w:val="00FF4BE9"/>
    <w:rsid w:val="00FF50CF"/>
    <w:rsid w:val="00FF5473"/>
    <w:rsid w:val="00FF605A"/>
    <w:rsid w:val="00FF62E4"/>
    <w:rsid w:val="00FF68B8"/>
    <w:rsid w:val="00FF777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C91"/>
    <w:rPr>
      <w:rFonts w:eastAsia="MS Gothic"/>
      <w:sz w:val="24"/>
      <w:szCs w:val="24"/>
      <w:lang w:val="en-GB" w:eastAsia="en-US"/>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pPr>
      <w:spacing w:after="120"/>
    </w:pPr>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basedOn w:val="Normal"/>
    <w:link w:val="TextebrutCar"/>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after="120"/>
    </w:pPr>
    <w:rPr>
      <w:b/>
    </w:rPr>
  </w:style>
  <w:style w:type="paragraph" w:customStyle="1" w:styleId="a">
    <w:name w:val="佐藤２"/>
    <w:basedOn w:val="Normal"/>
    <w:rsid w:val="008F2AE3"/>
    <w:pPr>
      <w:numPr>
        <w:numId w:val="4"/>
      </w:numPr>
      <w:spacing w:after="180"/>
    </w:pPr>
    <w:rPr>
      <w:lang w:eastAsia="ja-JP"/>
    </w:rPr>
  </w:style>
  <w:style w:type="paragraph" w:styleId="Retraitcorpsdetexte2">
    <w:name w:val="Body Text Indent 2"/>
    <w:basedOn w:val="Normal"/>
    <w:rsid w:val="008F2AE3"/>
    <w:pPr>
      <w:widowControl w:val="0"/>
      <w:autoSpaceDE w:val="0"/>
      <w:autoSpaceDN w:val="0"/>
      <w:adjustRightInd w:val="0"/>
      <w:ind w:left="1656"/>
      <w:jc w:val="both"/>
      <w:textAlignment w:val="baseline"/>
    </w:pPr>
    <w:rPr>
      <w:kern w:val="2"/>
      <w:lang w:eastAsia="ja-JP"/>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rPr>
      <w:lang w:eastAsia="ja-JP"/>
    </w:r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after="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pPr>
      <w:jc w:val="both"/>
    </w:pPr>
    <w:rPr>
      <w:lang w:eastAsia="ja-JP"/>
    </w:rPr>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lang w:eastAsia="ja-JP"/>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jc w:val="both"/>
    </w:pPr>
    <w:rPr>
      <w:rFonts w:ascii="Arial" w:eastAsia="MS Mincho" w:hAnsi="Arial"/>
      <w:kern w:val="2"/>
      <w:sz w:val="21"/>
      <w:lang w:val="de-DE" w:eastAsia="ja-JP"/>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val="en-US"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val="en-US"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link w:val="Textebrut"/>
    <w:uiPriority w:val="99"/>
    <w:rsid w:val="001F3086"/>
    <w:rPr>
      <w:rFonts w:ascii="Courier New" w:eastAsia="MS Gothic" w:hAnsi="Courier New"/>
      <w:sz w:val="24"/>
      <w:szCs w:val="24"/>
      <w:lang w:val="en-GB" w:eastAsia="en-US"/>
    </w:rPr>
  </w:style>
  <w:style w:type="paragraph" w:styleId="Paragraphedeliste">
    <w:name w:val="List Paragraph"/>
    <w:basedOn w:val="Normal"/>
    <w:uiPriority w:val="34"/>
    <w:qFormat/>
    <w:rsid w:val="00431816"/>
    <w:pPr>
      <w:ind w:leftChars="400" w:left="840"/>
    </w:pPr>
    <w:rPr>
      <w:rFonts w:ascii="MS PGothic" w:eastAsia="MS PGothic" w:hAnsi="MS PGothic" w:cs="MS PGothic"/>
      <w:lang w:val="en-US" w:eastAsia="ja-JP"/>
    </w:rPr>
  </w:style>
  <w:style w:type="table" w:styleId="Grilledutableau">
    <w:name w:val="Table Grid"/>
    <w:basedOn w:val="TableauNormal"/>
    <w:uiPriority w:val="59"/>
    <w:rsid w:val="005160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0C91"/>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1498115477">
          <w:marLeft w:val="432"/>
          <w:marRight w:val="0"/>
          <w:marTop w:val="0"/>
          <w:marBottom w:val="0"/>
          <w:divBdr>
            <w:top w:val="none" w:sz="0" w:space="0" w:color="auto"/>
            <w:left w:val="none" w:sz="0" w:space="0" w:color="auto"/>
            <w:bottom w:val="none" w:sz="0" w:space="0" w:color="auto"/>
            <w:right w:val="none" w:sz="0" w:space="0" w:color="auto"/>
          </w:divBdr>
        </w:div>
        <w:div w:id="648822606">
          <w:marLeft w:val="1152"/>
          <w:marRight w:val="0"/>
          <w:marTop w:val="0"/>
          <w:marBottom w:val="0"/>
          <w:divBdr>
            <w:top w:val="none" w:sz="0" w:space="0" w:color="auto"/>
            <w:left w:val="none" w:sz="0" w:space="0" w:color="auto"/>
            <w:bottom w:val="none" w:sz="0" w:space="0" w:color="auto"/>
            <w:right w:val="none" w:sz="0" w:space="0" w:color="auto"/>
          </w:divBdr>
        </w:div>
        <w:div w:id="639382491">
          <w:marLeft w:val="1152"/>
          <w:marRight w:val="0"/>
          <w:marTop w:val="0"/>
          <w:marBottom w:val="0"/>
          <w:divBdr>
            <w:top w:val="none" w:sz="0" w:space="0" w:color="auto"/>
            <w:left w:val="none" w:sz="0" w:space="0" w:color="auto"/>
            <w:bottom w:val="none" w:sz="0" w:space="0" w:color="auto"/>
            <w:right w:val="none" w:sz="0" w:space="0" w:color="auto"/>
          </w:divBdr>
        </w:div>
        <w:div w:id="1948349119">
          <w:marLeft w:val="1872"/>
          <w:marRight w:val="0"/>
          <w:marTop w:val="0"/>
          <w:marBottom w:val="0"/>
          <w:divBdr>
            <w:top w:val="none" w:sz="0" w:space="0" w:color="auto"/>
            <w:left w:val="none" w:sz="0" w:space="0" w:color="auto"/>
            <w:bottom w:val="none" w:sz="0" w:space="0" w:color="auto"/>
            <w:right w:val="none" w:sz="0" w:space="0" w:color="auto"/>
          </w:divBdr>
        </w:div>
        <w:div w:id="594749520">
          <w:marLeft w:val="1872"/>
          <w:marRight w:val="0"/>
          <w:marTop w:val="0"/>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41080958">
      <w:bodyDiv w:val="1"/>
      <w:marLeft w:val="0"/>
      <w:marRight w:val="0"/>
      <w:marTop w:val="0"/>
      <w:marBottom w:val="0"/>
      <w:divBdr>
        <w:top w:val="none" w:sz="0" w:space="0" w:color="auto"/>
        <w:left w:val="none" w:sz="0" w:space="0" w:color="auto"/>
        <w:bottom w:val="none" w:sz="0" w:space="0" w:color="auto"/>
        <w:right w:val="none" w:sz="0" w:space="0" w:color="auto"/>
      </w:divBdr>
      <w:divsChild>
        <w:div w:id="1780293711">
          <w:marLeft w:val="0"/>
          <w:marRight w:val="0"/>
          <w:marTop w:val="9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D9AA38-3C3F-4762-9E9A-AF1A58E7A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1097</Words>
  <Characters>6037</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Company>Hewlett-Packard Company</Company>
  <LinksUpToDate>false</LinksUpToDate>
  <CharactersWithSpaces>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Ciochina</cp:lastModifiedBy>
  <cp:revision>10</cp:revision>
  <cp:lastPrinted>2016-03-03T06:34:00Z</cp:lastPrinted>
  <dcterms:created xsi:type="dcterms:W3CDTF">2016-07-30T22:38:00Z</dcterms:created>
  <dcterms:modified xsi:type="dcterms:W3CDTF">2016-08-09T10:20:00Z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