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6262FC9D" w:rsidR="00776A86" w:rsidRPr="00371361" w:rsidRDefault="00776A86" w:rsidP="009F522D">
      <w:pPr>
        <w:pStyle w:val="Header"/>
        <w:tabs>
          <w:tab w:val="clear" w:pos="9072"/>
          <w:tab w:val="right" w:pos="9360"/>
        </w:tabs>
      </w:pPr>
      <w:bookmarkStart w:id="0" w:name="OLE_LINK1"/>
      <w:r>
        <w:t>3GPP TSG RAN1 #8</w:t>
      </w:r>
      <w:r w:rsidR="00BC6F5C">
        <w:t>5</w:t>
      </w:r>
      <w:r w:rsidRPr="00371361">
        <w:tab/>
      </w:r>
      <w:r>
        <w:tab/>
        <w:t>R1-16</w:t>
      </w:r>
      <w:r w:rsidR="00E44CD9">
        <w:t>4713</w:t>
      </w:r>
    </w:p>
    <w:p w14:paraId="2917C511" w14:textId="044C6C59" w:rsidR="00776A86" w:rsidRPr="001638A8" w:rsidRDefault="00BC6F5C" w:rsidP="00776A86">
      <w:pPr>
        <w:pStyle w:val="Header"/>
        <w:tabs>
          <w:tab w:val="right" w:pos="9781"/>
          <w:tab w:val="right" w:pos="13323"/>
        </w:tabs>
        <w:outlineLvl w:val="0"/>
        <w:rPr>
          <w:rFonts w:eastAsia="SimSun"/>
          <w:szCs w:val="20"/>
          <w:lang w:eastAsia="zh-CN"/>
        </w:rPr>
      </w:pPr>
      <w:r>
        <w:rPr>
          <w:rFonts w:eastAsia="SimSun"/>
          <w:szCs w:val="20"/>
          <w:lang w:eastAsia="zh-CN"/>
        </w:rPr>
        <w:t>Nanjng, China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May 23 – 27</w:t>
      </w:r>
      <w:r w:rsidR="00776A86" w:rsidRPr="001638A8">
        <w:rPr>
          <w:szCs w:val="20"/>
          <w:lang w:eastAsia="ja-JP"/>
        </w:rPr>
        <w:t>, 2016</w:t>
      </w:r>
      <w:bookmarkStart w:id="1" w:name="_GoBack"/>
      <w:bookmarkEnd w:id="1"/>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6A478392"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B20E59">
        <w:rPr>
          <w:color w:val="262626" w:themeColor="text1" w:themeTint="D9"/>
        </w:rPr>
        <w:t xml:space="preserve">Advantages of stochastic blockage model </w:t>
      </w:r>
      <w:r w:rsidR="00361725">
        <w:tab/>
      </w:r>
    </w:p>
    <w:p w14:paraId="2A7D01E6" w14:textId="03F05ACF" w:rsidR="00C877B6" w:rsidRPr="00BC01E4" w:rsidRDefault="00BC01E4" w:rsidP="00C877B6">
      <w:pPr>
        <w:pStyle w:val="Header"/>
        <w:tabs>
          <w:tab w:val="left" w:pos="1800"/>
        </w:tabs>
      </w:pPr>
      <w:r>
        <w:t>Agenda Item:</w:t>
      </w:r>
      <w:r>
        <w:tab/>
      </w:r>
      <w:r w:rsidR="009D1CEE">
        <w:t>7.2.3</w:t>
      </w:r>
      <w:r w:rsidR="00B04F39">
        <w:t xml:space="preserve">.1 </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0908FC13" w:rsidR="00DB703E" w:rsidRDefault="00B40B95" w:rsidP="00DB703E">
      <w:pPr>
        <w:pStyle w:val="Heading1"/>
      </w:pPr>
      <w:bookmarkStart w:id="2" w:name="_Ref301342314"/>
      <w:r w:rsidRPr="004841DA">
        <w:t>Introduction</w:t>
      </w:r>
      <w:bookmarkEnd w:id="2"/>
      <w:r w:rsidR="000104BF">
        <w:t xml:space="preserve"> </w:t>
      </w:r>
    </w:p>
    <w:p w14:paraId="7A79BBCD" w14:textId="33823BBD" w:rsidR="000104BF" w:rsidRDefault="000104BF" w:rsidP="000104BF">
      <w:pPr>
        <w:jc w:val="both"/>
      </w:pPr>
      <w:r>
        <w:rPr>
          <w:kern w:val="2"/>
          <w:lang w:eastAsia="zh-CN"/>
        </w:rPr>
        <w:t>In</w:t>
      </w:r>
      <w:r w:rsidRPr="0031452F">
        <w:rPr>
          <w:kern w:val="2"/>
          <w:lang w:eastAsia="zh-CN"/>
        </w:rPr>
        <w:t xml:space="preserve"> </w:t>
      </w:r>
      <w:r>
        <w:rPr>
          <w:kern w:val="2"/>
          <w:lang w:eastAsia="zh-CN"/>
        </w:rPr>
        <w:t xml:space="preserve">the </w:t>
      </w:r>
      <w:r w:rsidRPr="0031452F">
        <w:rPr>
          <w:kern w:val="2"/>
          <w:lang w:eastAsia="zh-CN"/>
        </w:rPr>
        <w:t>RAN Plenary</w:t>
      </w:r>
      <w:r>
        <w:rPr>
          <w:kern w:val="2"/>
          <w:lang w:eastAsia="zh-CN"/>
        </w:rPr>
        <w:t xml:space="preserve"> </w:t>
      </w:r>
      <w:r w:rsidRPr="0031452F">
        <w:rPr>
          <w:kern w:val="2"/>
          <w:lang w:eastAsia="zh-CN"/>
        </w:rPr>
        <w:t xml:space="preserve">#69, it was agreed that 3GPP should study </w:t>
      </w:r>
      <w:r>
        <w:rPr>
          <w:kern w:val="2"/>
          <w:lang w:eastAsia="zh-CN"/>
        </w:rPr>
        <w:t xml:space="preserve">the </w:t>
      </w:r>
      <w:r w:rsidRPr="0031452F">
        <w:rPr>
          <w:kern w:val="2"/>
          <w:lang w:eastAsia="zh-CN"/>
        </w:rPr>
        <w:t xml:space="preserve">performance and feasibility of using high frequency spectrum above 6 GHz for further evolution </w:t>
      </w:r>
      <w:r>
        <w:rPr>
          <w:kern w:val="2"/>
          <w:lang w:eastAsia="zh-CN"/>
        </w:rPr>
        <w:t xml:space="preserve">of wireless standardization efforts. </w:t>
      </w:r>
      <w:r w:rsidRPr="002B7F31">
        <w:t xml:space="preserve">In the </w:t>
      </w:r>
      <w:r>
        <w:t xml:space="preserve">February 2016 RAN WG1 meeting, it was decided that the requirements, scenarios, methodologies and additional features needed for </w:t>
      </w:r>
      <w:r w:rsidRPr="002B7F31">
        <w:t>above 6</w:t>
      </w:r>
      <w:r>
        <w:t xml:space="preserve"> </w:t>
      </w:r>
      <w:r w:rsidRPr="002B7F31">
        <w:t>GHz channel model</w:t>
      </w:r>
      <w:r w:rsidR="002C2DF6">
        <w:t>ing be investigated [1</w:t>
      </w:r>
      <w:r>
        <w:t xml:space="preserve">]. </w:t>
      </w:r>
    </w:p>
    <w:p w14:paraId="48DB4B37" w14:textId="77777777" w:rsidR="000104BF" w:rsidRDefault="000104BF" w:rsidP="000104BF">
      <w:pPr>
        <w:jc w:val="both"/>
      </w:pPr>
    </w:p>
    <w:p w14:paraId="71F67862" w14:textId="1517FA24" w:rsidR="00906FB4" w:rsidRDefault="002C2DF6" w:rsidP="00AC40A7">
      <w:pPr>
        <w:jc w:val="both"/>
      </w:pPr>
      <w:r>
        <w:t>In [2</w:t>
      </w:r>
      <w:r w:rsidR="00886E55">
        <w:t xml:space="preserve">], a working assumption was made that there will be focus on blockage caused by static and moving objects such as human bodies and vehicles. </w:t>
      </w:r>
      <w:r w:rsidR="00C14957" w:rsidRPr="002B7F31">
        <w:t xml:space="preserve">In the </w:t>
      </w:r>
      <w:r w:rsidR="00906FB4">
        <w:t xml:space="preserve">April RAN WG meeting at Busan, </w:t>
      </w:r>
      <w:r w:rsidR="00B46832">
        <w:t>the additional feature of dynamic blockage modeling</w:t>
      </w:r>
      <w:r w:rsidR="00763E49">
        <w:t xml:space="preserve"> was considered and studied</w:t>
      </w:r>
      <w:r>
        <w:t xml:space="preserve"> and a WF was agreed [3</w:t>
      </w:r>
      <w:r w:rsidR="00AC40A7">
        <w:t>]</w:t>
      </w:r>
      <w:r w:rsidR="00B46832">
        <w:t xml:space="preserve">. </w:t>
      </w:r>
      <w:r w:rsidR="00BE7362">
        <w:t>Towards this WF, two broad blockage modeling app</w:t>
      </w:r>
      <w:r>
        <w:t>roaches are important [4], [5</w:t>
      </w:r>
      <w:r w:rsidR="009F64F0">
        <w:t xml:space="preserve">]. </w:t>
      </w:r>
      <w:r w:rsidR="000104BF">
        <w:t>In the first study</w:t>
      </w:r>
      <w:r>
        <w:t xml:space="preserve"> [4</w:t>
      </w:r>
      <w:r w:rsidR="0097545E">
        <w:t>]</w:t>
      </w:r>
      <w:r w:rsidR="000104BF">
        <w:t xml:space="preserve">, a stochastic model </w:t>
      </w:r>
      <w:r w:rsidR="00BE7362">
        <w:t>(</w:t>
      </w:r>
      <w:r w:rsidR="00CC6AAC">
        <w:t xml:space="preserve">henceforth </w:t>
      </w:r>
      <w:r w:rsidR="00BE7362">
        <w:t xml:space="preserve">termed as </w:t>
      </w:r>
      <w:r w:rsidR="00CC6AAC">
        <w:t>the “stochastic approach”</w:t>
      </w:r>
      <w:r w:rsidR="00BE7362">
        <w:t xml:space="preserve">) </w:t>
      </w:r>
      <w:r w:rsidR="009F64F0">
        <w:t xml:space="preserve">is proposed to capture blockage in mmW settings. </w:t>
      </w:r>
      <w:r w:rsidR="00C82BCF">
        <w:t>In a</w:t>
      </w:r>
      <w:r>
        <w:t>n alternate modeling approach [5</w:t>
      </w:r>
      <w:r w:rsidR="00C82BCF">
        <w:t xml:space="preserve">], </w:t>
      </w:r>
      <w:r w:rsidR="00AC40A7">
        <w:t xml:space="preserve">a geometric model </w:t>
      </w:r>
      <w:r w:rsidR="00BE7362">
        <w:t>(</w:t>
      </w:r>
      <w:r w:rsidR="00CC6AAC">
        <w:t xml:space="preserve">henceforth </w:t>
      </w:r>
      <w:r w:rsidR="00BE7362">
        <w:t>termed as</w:t>
      </w:r>
      <w:r w:rsidR="00CC6AAC">
        <w:t xml:space="preserve"> the</w:t>
      </w:r>
      <w:r w:rsidR="00BE7362">
        <w:t xml:space="preserve"> “geometric app</w:t>
      </w:r>
      <w:r w:rsidR="00CC6AAC">
        <w:t>roach”</w:t>
      </w:r>
      <w:r w:rsidR="00BE7362">
        <w:t xml:space="preserve">) </w:t>
      </w:r>
      <w:r w:rsidR="00AC40A7">
        <w:t xml:space="preserve">with physical dropping of blocking screens is considered. </w:t>
      </w:r>
      <w:r w:rsidR="0082542E">
        <w:t xml:space="preserve">Knife-edge diffraction model based loss is used to capture losses due to the physical blocking screens. </w:t>
      </w:r>
      <w:r w:rsidR="005F3886">
        <w:t>A WF that combines both th</w:t>
      </w:r>
      <w:r>
        <w:t>ese proposals was proposed in [6</w:t>
      </w:r>
      <w:r w:rsidR="005F3886">
        <w:t xml:space="preserve">]. </w:t>
      </w:r>
    </w:p>
    <w:p w14:paraId="7AC49470" w14:textId="77777777" w:rsidR="00AC40A7" w:rsidRDefault="00AC40A7" w:rsidP="00AC40A7">
      <w:pPr>
        <w:jc w:val="both"/>
      </w:pPr>
    </w:p>
    <w:p w14:paraId="348C2EF8" w14:textId="66C5191E" w:rsidR="00AC40A7" w:rsidRDefault="002A5D28" w:rsidP="00851B81">
      <w:pPr>
        <w:pStyle w:val="BodyText"/>
      </w:pPr>
      <w:r>
        <w:t>T</w:t>
      </w:r>
      <w:r w:rsidR="00AC40A7">
        <w:t>he scope of this</w:t>
      </w:r>
      <w:r>
        <w:t xml:space="preserve"> document </w:t>
      </w:r>
      <w:r w:rsidR="00AC40A7">
        <w:t xml:space="preserve">is to illustrate the advantages of the stochastic approach </w:t>
      </w:r>
      <w:r w:rsidR="002A0A14">
        <w:t>and thus</w:t>
      </w:r>
      <w:r w:rsidR="00AD184E">
        <w:t xml:space="preserve"> its importance in capturing dynamic blockage effects. </w:t>
      </w:r>
      <w:r w:rsidR="00AC40A7">
        <w:t xml:space="preserve"> </w:t>
      </w:r>
      <w:r w:rsidR="002A0A14">
        <w:t xml:space="preserve">A TP to implement this blockage model in the TR is presented in Section 2. </w:t>
      </w:r>
    </w:p>
    <w:p w14:paraId="1FDC7338" w14:textId="0E024E13" w:rsidR="000104BF" w:rsidRDefault="00ED7192" w:rsidP="00B4615D">
      <w:pPr>
        <w:pStyle w:val="Heading1"/>
      </w:pPr>
      <w:r>
        <w:t xml:space="preserve">Proposal </w:t>
      </w:r>
      <w:r w:rsidR="00095B9C">
        <w:t xml:space="preserve"> </w:t>
      </w:r>
    </w:p>
    <w:p w14:paraId="1FFD6B16" w14:textId="58137807" w:rsidR="00095B9C" w:rsidRPr="00E10D3E" w:rsidRDefault="00E10D3E" w:rsidP="000104BF">
      <w:pPr>
        <w:pStyle w:val="BodyText"/>
        <w:rPr>
          <w:b/>
        </w:rPr>
      </w:pPr>
      <w:r>
        <w:rPr>
          <w:b/>
        </w:rPr>
        <w:t xml:space="preserve">Given the advantages of the stochastic approach (as highlighted in Section 3), we suggest its use in the TR for modeling dynamic blockage. </w:t>
      </w:r>
      <w:r w:rsidR="00095B9C">
        <w:t>The following TP is made for dynamic blockage in the TR (Sec. 7.6.4)</w:t>
      </w:r>
      <w:r w:rsidR="00780B21">
        <w:t xml:space="preserve">. </w:t>
      </w:r>
    </w:p>
    <w:p w14:paraId="2B3CB5E8" w14:textId="77777777" w:rsidR="00095B9C" w:rsidRDefault="00095B9C" w:rsidP="00095B9C">
      <w:pPr>
        <w:pStyle w:val="BodyText"/>
        <w:jc w:val="center"/>
      </w:pPr>
      <w:r w:rsidRPr="009957A3">
        <w:rPr>
          <w:color w:val="FFC000"/>
        </w:rPr>
        <w:t>======================== START OF TEXT PROPOSAL ===========================</w:t>
      </w:r>
    </w:p>
    <w:p w14:paraId="531B61E4" w14:textId="77777777" w:rsidR="00095B9C" w:rsidRPr="0050124E" w:rsidRDefault="00095B9C" w:rsidP="00095B9C">
      <w:pPr>
        <w:jc w:val="both"/>
        <w:rPr>
          <w:szCs w:val="20"/>
          <w:lang w:eastAsia="ko-KR"/>
        </w:rPr>
      </w:pPr>
      <w:r w:rsidRPr="0050124E">
        <w:rPr>
          <w:szCs w:val="20"/>
          <w:lang w:eastAsia="ko-KR"/>
        </w:rPr>
        <w:t xml:space="preserve">Blockage modelling is an add-on feature to the channel model. The method described in the following applies only when this feature is turned on. In addition, the temporal variability of the blockage modelling parameters is </w:t>
      </w:r>
      <w:r>
        <w:rPr>
          <w:szCs w:val="20"/>
          <w:lang w:eastAsia="ko-KR"/>
        </w:rPr>
        <w:t xml:space="preserve">on an </w:t>
      </w:r>
      <w:r w:rsidRPr="0050124E">
        <w:rPr>
          <w:szCs w:val="20"/>
          <w:lang w:eastAsia="ko-KR"/>
        </w:rPr>
        <w:t>on-demand basis. It is also noted that the modeling of the blockage does not change LOS/NLOS state of each link.</w:t>
      </w:r>
    </w:p>
    <w:p w14:paraId="5C875526" w14:textId="77777777" w:rsidR="00095B9C" w:rsidRDefault="00095B9C" w:rsidP="00095B9C">
      <w:pPr>
        <w:jc w:val="both"/>
        <w:rPr>
          <w:szCs w:val="20"/>
          <w:lang w:eastAsia="ko-KR"/>
        </w:rPr>
      </w:pPr>
    </w:p>
    <w:p w14:paraId="4EDA6D2B" w14:textId="58DE5E9E" w:rsidR="00095B9C" w:rsidRPr="0050124E" w:rsidRDefault="00095B9C" w:rsidP="00095B9C">
      <w:pPr>
        <w:jc w:val="both"/>
        <w:rPr>
          <w:szCs w:val="20"/>
          <w:lang w:eastAsia="ko-KR"/>
        </w:rPr>
      </w:pPr>
      <w:r w:rsidRPr="0050124E">
        <w:rPr>
          <w:szCs w:val="20"/>
          <w:lang w:eastAsia="ko-KR"/>
        </w:rPr>
        <w:t>When blockage model is appl</w:t>
      </w:r>
      <w:r w:rsidR="00B51749">
        <w:rPr>
          <w:szCs w:val="20"/>
          <w:lang w:eastAsia="ko-KR"/>
        </w:rPr>
        <w:t>ied, the channel generation in S</w:t>
      </w:r>
      <w:r w:rsidRPr="0050124E">
        <w:rPr>
          <w:szCs w:val="20"/>
          <w:lang w:eastAsia="ko-KR"/>
        </w:rPr>
        <w:t>ection 7.5 should have se</w:t>
      </w:r>
      <w:r w:rsidR="00B51749">
        <w:rPr>
          <w:szCs w:val="20"/>
          <w:lang w:eastAsia="ko-KR"/>
        </w:rPr>
        <w:t>veral additional steps between S</w:t>
      </w:r>
      <w:r w:rsidRPr="0050124E">
        <w:rPr>
          <w:szCs w:val="20"/>
          <w:lang w:eastAsia="ko-KR"/>
        </w:rPr>
        <w:t>tep</w:t>
      </w:r>
      <w:r>
        <w:rPr>
          <w:szCs w:val="20"/>
          <w:lang w:eastAsia="ko-KR"/>
        </w:rPr>
        <w:t>s</w:t>
      </w:r>
      <w:r w:rsidRPr="0050124E">
        <w:rPr>
          <w:szCs w:val="20"/>
          <w:lang w:eastAsia="ko-KR"/>
        </w:rPr>
        <w:t xml:space="preserve"> 9 and 10</w:t>
      </w:r>
      <w:r w:rsidR="00B51749">
        <w:rPr>
          <w:szCs w:val="20"/>
          <w:lang w:eastAsia="ko-KR"/>
        </w:rPr>
        <w:t>, as illustrated in F</w:t>
      </w:r>
      <w:r w:rsidRPr="0050124E">
        <w:rPr>
          <w:szCs w:val="20"/>
          <w:lang w:eastAsia="ko-KR"/>
        </w:rPr>
        <w:t xml:space="preserve">igure 7.6.4-1. </w:t>
      </w:r>
    </w:p>
    <w:p w14:paraId="2C9AE6B6" w14:textId="77777777" w:rsidR="00095B9C" w:rsidRPr="0050124E" w:rsidRDefault="00095B9C" w:rsidP="00095B9C">
      <w:pPr>
        <w:rPr>
          <w:szCs w:val="20"/>
          <w:lang w:eastAsia="ko-KR"/>
        </w:rPr>
      </w:pPr>
      <w:r w:rsidRPr="0050124E">
        <w:rPr>
          <w:noProof/>
          <w:szCs w:val="20"/>
        </w:rPr>
        <w:lastRenderedPageBreak/>
        <w:drawing>
          <wp:inline distT="0" distB="0" distL="0" distR="0" wp14:anchorId="5E1F6A70" wp14:editId="764321C0">
            <wp:extent cx="6123940" cy="37477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3747770"/>
                    </a:xfrm>
                    <a:prstGeom prst="rect">
                      <a:avLst/>
                    </a:prstGeom>
                    <a:noFill/>
                    <a:ln>
                      <a:noFill/>
                    </a:ln>
                  </pic:spPr>
                </pic:pic>
              </a:graphicData>
            </a:graphic>
          </wp:inline>
        </w:drawing>
      </w:r>
    </w:p>
    <w:p w14:paraId="4D9190A9" w14:textId="77777777" w:rsidR="00095B9C" w:rsidRPr="0050124E" w:rsidRDefault="00095B9C" w:rsidP="00095B9C">
      <w:pPr>
        <w:jc w:val="center"/>
        <w:rPr>
          <w:szCs w:val="20"/>
          <w:lang w:eastAsia="ko-KR"/>
        </w:rPr>
      </w:pPr>
      <w:r w:rsidRPr="0050124E">
        <w:rPr>
          <w:szCs w:val="20"/>
          <w:lang w:eastAsia="ko-KR"/>
        </w:rPr>
        <w:t>Figure.7.6.4-1 Channel generation procedure with blockage model</w:t>
      </w:r>
    </w:p>
    <w:p w14:paraId="6467743E" w14:textId="77777777" w:rsidR="00095B9C" w:rsidRDefault="00095B9C" w:rsidP="00095B9C">
      <w:pPr>
        <w:jc w:val="both"/>
        <w:rPr>
          <w:szCs w:val="20"/>
          <w:u w:val="single"/>
          <w:lang w:eastAsia="ko-KR"/>
        </w:rPr>
      </w:pPr>
    </w:p>
    <w:p w14:paraId="6FE347FC" w14:textId="77777777" w:rsidR="00095B9C" w:rsidRPr="0050124E" w:rsidRDefault="00095B9C" w:rsidP="00095B9C">
      <w:pPr>
        <w:jc w:val="both"/>
        <w:rPr>
          <w:szCs w:val="20"/>
          <w:u w:val="single"/>
          <w:lang w:eastAsia="ko-KR"/>
        </w:rPr>
      </w:pPr>
      <w:r w:rsidRPr="0050124E">
        <w:rPr>
          <w:szCs w:val="20"/>
          <w:u w:val="single"/>
          <w:lang w:eastAsia="ko-KR"/>
        </w:rPr>
        <w:t>Step a: Determine the number of blockers</w:t>
      </w:r>
    </w:p>
    <w:p w14:paraId="7D4D8A1A" w14:textId="77777777" w:rsidR="00095B9C" w:rsidRPr="0050124E" w:rsidRDefault="00095B9C" w:rsidP="00095B9C">
      <w:pPr>
        <w:jc w:val="both"/>
        <w:rPr>
          <w:szCs w:val="20"/>
          <w:lang w:eastAsia="ko-KR"/>
        </w:rPr>
      </w:pPr>
      <w:r>
        <w:rPr>
          <w:szCs w:val="20"/>
          <w:lang w:eastAsia="ko-KR"/>
        </w:rPr>
        <w:t>A n</w:t>
      </w:r>
      <w:r w:rsidRPr="0050124E">
        <w:rPr>
          <w:szCs w:val="20"/>
          <w:lang w:eastAsia="ko-KR"/>
        </w:rPr>
        <w:t xml:space="preserve">umber </w:t>
      </w:r>
      <w:r>
        <w:rPr>
          <w:i/>
          <w:szCs w:val="20"/>
          <w:lang w:eastAsia="ko-KR"/>
        </w:rPr>
        <w:t xml:space="preserve">K </w:t>
      </w:r>
      <w:r w:rsidRPr="0050124E">
        <w:rPr>
          <w:szCs w:val="20"/>
          <w:lang w:eastAsia="ko-KR"/>
        </w:rPr>
        <w:t xml:space="preserve">of 2-dimensional (2D) angular blocking regions, in terms of azimuth and elevation angles, </w:t>
      </w:r>
      <w:r w:rsidRPr="0050124E">
        <w:rPr>
          <w:position w:val="-10"/>
          <w:szCs w:val="20"/>
        </w:rPr>
        <w:object w:dxaOrig="580" w:dyaOrig="340" w14:anchorId="51087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6.7pt" o:ole="">
            <v:imagedata r:id="rId14" o:title=""/>
          </v:shape>
          <o:OLEObject Type="Embed" ProgID="Equation.3" ShapeID="_x0000_i1025" DrawAspect="Content" ObjectID="_1524678681" r:id="rId15"/>
        </w:object>
      </w:r>
      <w:r w:rsidRPr="0050124E">
        <w:rPr>
          <w:szCs w:val="20"/>
          <w:lang w:eastAsia="ko-KR"/>
        </w:rPr>
        <w:t xml:space="preserve">, are generated around the UT: </w:t>
      </w:r>
    </w:p>
    <w:p w14:paraId="22B7F584" w14:textId="77777777" w:rsidR="00095B9C" w:rsidRPr="0050124E" w:rsidRDefault="00095B9C" w:rsidP="00095B9C">
      <w:pPr>
        <w:jc w:val="center"/>
        <w:rPr>
          <w:szCs w:val="20"/>
          <w:lang w:eastAsia="ko-KR"/>
        </w:rPr>
      </w:pPr>
      <w:r w:rsidRPr="0050124E">
        <w:rPr>
          <w:position w:val="-32"/>
          <w:szCs w:val="20"/>
          <w:lang w:eastAsia="ko-KR"/>
        </w:rPr>
        <w:object w:dxaOrig="6420" w:dyaOrig="760" w14:anchorId="4BFC1809">
          <v:shape id="_x0000_i1026" type="#_x0000_t75" style="width:320.85pt;height:38pt" o:ole="">
            <v:imagedata r:id="rId16" o:title=""/>
          </v:shape>
          <o:OLEObject Type="Embed" ProgID="Equation.3" ShapeID="_x0000_i1026" DrawAspect="Content" ObjectID="_1524678682" r:id="rId17"/>
        </w:object>
      </w:r>
      <w:r w:rsidRPr="0050124E">
        <w:rPr>
          <w:szCs w:val="20"/>
          <w:lang w:eastAsia="ko-KR"/>
        </w:rPr>
        <w:t>.</w:t>
      </w:r>
    </w:p>
    <w:p w14:paraId="06529C5A" w14:textId="5D87F0B2" w:rsidR="00095B9C" w:rsidRPr="0050124E" w:rsidRDefault="00095B9C" w:rsidP="00095B9C">
      <w:pPr>
        <w:jc w:val="both"/>
        <w:rPr>
          <w:szCs w:val="20"/>
          <w:lang w:eastAsia="ko-KR"/>
        </w:rPr>
      </w:pPr>
      <w:r w:rsidRPr="0050124E">
        <w:rPr>
          <w:szCs w:val="20"/>
          <w:lang w:eastAsia="ko-KR"/>
        </w:rPr>
        <w:t xml:space="preserve">Optionally, one of the </w:t>
      </w:r>
      <w:r w:rsidRPr="0050124E">
        <w:rPr>
          <w:i/>
          <w:szCs w:val="20"/>
          <w:lang w:eastAsia="ko-KR"/>
        </w:rPr>
        <w:t>K</w:t>
      </w:r>
      <w:r w:rsidRPr="0050124E">
        <w:rPr>
          <w:szCs w:val="20"/>
          <w:lang w:eastAsia="ko-KR"/>
        </w:rPr>
        <w:t xml:space="preserve"> angular blocking regions represents self-blocking (i.e. human/hand holding the UT); this blocking region is not spatially</w:t>
      </w:r>
      <w:r w:rsidR="008D6279">
        <w:rPr>
          <w:szCs w:val="20"/>
          <w:lang w:eastAsia="ko-KR"/>
        </w:rPr>
        <w:t xml:space="preserve"> consistent and </w:t>
      </w:r>
      <w:r w:rsidRPr="0050124E">
        <w:rPr>
          <w:szCs w:val="20"/>
          <w:lang w:eastAsia="ko-KR"/>
        </w:rPr>
        <w:t>generated</w:t>
      </w:r>
      <w:r w:rsidR="008D6279">
        <w:rPr>
          <w:szCs w:val="20"/>
          <w:lang w:eastAsia="ko-KR"/>
        </w:rPr>
        <w:t xml:space="preserve"> specific to each UT</w:t>
      </w:r>
      <w:r w:rsidRPr="0050124E">
        <w:rPr>
          <w:szCs w:val="20"/>
          <w:lang w:eastAsia="ko-KR"/>
        </w:rPr>
        <w:t xml:space="preserve">. </w:t>
      </w:r>
    </w:p>
    <w:p w14:paraId="2FB3AAAA" w14:textId="77777777" w:rsidR="00095B9C" w:rsidRDefault="00095B9C" w:rsidP="00095B9C">
      <w:pPr>
        <w:jc w:val="both"/>
        <w:rPr>
          <w:szCs w:val="20"/>
          <w:u w:val="single"/>
          <w:lang w:eastAsia="ko-KR"/>
        </w:rPr>
      </w:pPr>
    </w:p>
    <w:p w14:paraId="1AA71021" w14:textId="77777777" w:rsidR="00095B9C" w:rsidRPr="0050124E" w:rsidRDefault="00095B9C" w:rsidP="00095B9C">
      <w:pPr>
        <w:jc w:val="both"/>
        <w:rPr>
          <w:szCs w:val="20"/>
          <w:u w:val="single"/>
          <w:lang w:eastAsia="ko-KR"/>
        </w:rPr>
      </w:pPr>
      <w:r w:rsidRPr="0050124E">
        <w:rPr>
          <w:szCs w:val="20"/>
          <w:u w:val="single"/>
          <w:lang w:eastAsia="ko-KR"/>
        </w:rPr>
        <w:t>Step b: Generate the size and location of each blocker</w:t>
      </w:r>
    </w:p>
    <w:p w14:paraId="103015AD" w14:textId="3017A20D" w:rsidR="00095B9C" w:rsidRPr="0050124E" w:rsidRDefault="00095B9C" w:rsidP="00095B9C">
      <w:pPr>
        <w:jc w:val="both"/>
        <w:rPr>
          <w:szCs w:val="20"/>
          <w:lang w:eastAsia="ko-KR"/>
        </w:rPr>
      </w:pPr>
      <w:r w:rsidRPr="0050124E">
        <w:rPr>
          <w:szCs w:val="20"/>
          <w:lang w:eastAsia="ko-KR"/>
        </w:rPr>
        <w:t xml:space="preserve">The size of the blocking region </w:t>
      </w:r>
      <w:r w:rsidRPr="0050124E">
        <w:rPr>
          <w:i/>
          <w:szCs w:val="20"/>
          <w:lang w:eastAsia="ko-KR"/>
        </w:rPr>
        <w:t>k</w:t>
      </w:r>
      <w:r w:rsidRPr="0050124E">
        <w:rPr>
          <w:szCs w:val="20"/>
          <w:lang w:eastAsia="ko-KR"/>
        </w:rPr>
        <w:t xml:space="preserve"> is determined </w:t>
      </w:r>
      <w:r w:rsidR="00612A8C">
        <w:rPr>
          <w:szCs w:val="20"/>
          <w:lang w:eastAsia="ko-KR"/>
        </w:rPr>
        <w:t xml:space="preserve">as follows: </w:t>
      </w:r>
      <w:r w:rsidRPr="0050124E">
        <w:rPr>
          <w:lang w:eastAsia="ko-KR"/>
        </w:rPr>
        <w:t xml:space="preserve">Size of the blocking region is </w:t>
      </w:r>
      <w:r w:rsidRPr="0050124E">
        <w:rPr>
          <w:position w:val="-12"/>
        </w:rPr>
        <w:object w:dxaOrig="279" w:dyaOrig="360" w14:anchorId="2132F65A">
          <v:shape id="_x0000_i1027" type="#_x0000_t75" style="width:14.4pt;height:17.85pt" o:ole="">
            <v:imagedata r:id="rId18" o:title=""/>
          </v:shape>
          <o:OLEObject Type="Embed" ProgID="Equation.3" ShapeID="_x0000_i1027" DrawAspect="Content" ObjectID="_1524678683" r:id="rId19"/>
        </w:object>
      </w:r>
      <w:r w:rsidRPr="0050124E">
        <w:rPr>
          <w:lang w:eastAsia="ko-KR"/>
        </w:rPr>
        <w:t xml:space="preserve"> degrees in azimuth and </w:t>
      </w:r>
      <w:r w:rsidRPr="0050124E">
        <w:rPr>
          <w:position w:val="-12"/>
        </w:rPr>
        <w:object w:dxaOrig="279" w:dyaOrig="360" w14:anchorId="3B218F72">
          <v:shape id="_x0000_i1028" type="#_x0000_t75" style="width:14.4pt;height:17.85pt" o:ole="">
            <v:imagedata r:id="rId20" o:title=""/>
          </v:shape>
          <o:OLEObject Type="Embed" ProgID="Equation.3" ShapeID="_x0000_i1028" DrawAspect="Content" ObjectID="_1524678684" r:id="rId21"/>
        </w:object>
      </w:r>
      <w:r w:rsidRPr="0050124E">
        <w:rPr>
          <w:lang w:eastAsia="ko-KR"/>
        </w:rPr>
        <w:t xml:space="preserve"> degrees in elevation, where </w:t>
      </w:r>
      <w:r w:rsidRPr="0050124E">
        <w:rPr>
          <w:position w:val="-12"/>
        </w:rPr>
        <w:object w:dxaOrig="279" w:dyaOrig="360" w14:anchorId="1188DD76">
          <v:shape id="_x0000_i1029" type="#_x0000_t75" style="width:14.4pt;height:17.85pt" o:ole="">
            <v:imagedata r:id="rId22" o:title=""/>
          </v:shape>
          <o:OLEObject Type="Embed" ProgID="Equation.3" ShapeID="_x0000_i1029" DrawAspect="Content" ObjectID="_1524678685" r:id="rId23"/>
        </w:object>
      </w:r>
      <w:r w:rsidRPr="0050124E">
        <w:rPr>
          <w:lang w:eastAsia="ko-KR"/>
        </w:rPr>
        <w:t xml:space="preserve"> and </w:t>
      </w:r>
      <w:r w:rsidRPr="0050124E">
        <w:rPr>
          <w:position w:val="-12"/>
        </w:rPr>
        <w:object w:dxaOrig="279" w:dyaOrig="360" w14:anchorId="4AA4B190">
          <v:shape id="_x0000_i1030" type="#_x0000_t75" style="width:14.4pt;height:17.85pt" o:ole="">
            <v:imagedata r:id="rId24" o:title=""/>
          </v:shape>
          <o:OLEObject Type="Embed" ProgID="Equation.3" ShapeID="_x0000_i1030" DrawAspect="Content" ObjectID="_1524678686" r:id="rId25"/>
        </w:object>
      </w:r>
      <w:r w:rsidRPr="0050124E">
        <w:rPr>
          <w:lang w:eastAsia="ko-KR"/>
        </w:rPr>
        <w:t xml:space="preserve"> are constants.</w:t>
      </w:r>
      <w:r>
        <w:rPr>
          <w:lang w:eastAsia="ko-KR"/>
        </w:rPr>
        <w:t xml:space="preserve"> </w:t>
      </w:r>
      <w:r w:rsidRPr="0050124E">
        <w:rPr>
          <w:szCs w:val="20"/>
          <w:lang w:eastAsia="ko-KR"/>
        </w:rPr>
        <w:t>The center angle pair (</w:t>
      </w:r>
      <w:r w:rsidRPr="0050124E">
        <w:rPr>
          <w:i/>
          <w:szCs w:val="20"/>
          <w:lang w:eastAsia="ko-KR"/>
        </w:rPr>
        <w:t>φ</w:t>
      </w:r>
      <w:r w:rsidRPr="0050124E">
        <w:rPr>
          <w:i/>
          <w:szCs w:val="20"/>
          <w:vertAlign w:val="subscript"/>
          <w:lang w:eastAsia="ko-KR"/>
        </w:rPr>
        <w:t>k</w:t>
      </w:r>
      <w:r w:rsidRPr="0050124E">
        <w:rPr>
          <w:szCs w:val="20"/>
          <w:lang w:eastAsia="ko-KR"/>
        </w:rPr>
        <w:t>,</w:t>
      </w:r>
      <w:r w:rsidRPr="0050124E">
        <w:rPr>
          <w:i/>
          <w:szCs w:val="20"/>
          <w:lang w:eastAsia="ko-KR"/>
        </w:rPr>
        <w:t>θ</w:t>
      </w:r>
      <w:r w:rsidRPr="0050124E">
        <w:rPr>
          <w:i/>
          <w:szCs w:val="20"/>
          <w:vertAlign w:val="subscript"/>
          <w:lang w:eastAsia="ko-KR"/>
        </w:rPr>
        <w:t>k</w:t>
      </w:r>
      <w:r w:rsidRPr="0050124E">
        <w:rPr>
          <w:szCs w:val="20"/>
          <w:lang w:eastAsia="ko-KR"/>
        </w:rPr>
        <w:t xml:space="preserve">) of blocking region </w:t>
      </w:r>
      <w:r w:rsidRPr="0050124E">
        <w:rPr>
          <w:i/>
          <w:szCs w:val="20"/>
          <w:lang w:eastAsia="ko-KR"/>
        </w:rPr>
        <w:t>k</w:t>
      </w:r>
      <w:r w:rsidRPr="0050124E">
        <w:rPr>
          <w:szCs w:val="20"/>
          <w:lang w:eastAsia="ko-KR"/>
        </w:rPr>
        <w:t xml:space="preserve">, </w:t>
      </w:r>
      <w:r w:rsidRPr="0050124E">
        <w:rPr>
          <w:i/>
          <w:szCs w:val="20"/>
          <w:lang w:eastAsia="ko-KR"/>
        </w:rPr>
        <w:t>k</w:t>
      </w:r>
      <w:r w:rsidRPr="0050124E">
        <w:rPr>
          <w:szCs w:val="20"/>
          <w:lang w:eastAsia="ko-KR"/>
        </w:rPr>
        <w:t xml:space="preserve"> = 1, 2, …, </w:t>
      </w:r>
      <w:r w:rsidRPr="0050124E">
        <w:rPr>
          <w:i/>
          <w:szCs w:val="20"/>
          <w:lang w:eastAsia="ko-KR"/>
        </w:rPr>
        <w:t>K</w:t>
      </w:r>
      <w:r>
        <w:rPr>
          <w:szCs w:val="20"/>
          <w:lang w:eastAsia="ko-KR"/>
        </w:rPr>
        <w:t>, is determined as follows</w:t>
      </w:r>
      <w:r w:rsidRPr="0050124E">
        <w:rPr>
          <w:szCs w:val="20"/>
          <w:lang w:eastAsia="ko-KR"/>
        </w:rPr>
        <w:t>:</w:t>
      </w:r>
    </w:p>
    <w:p w14:paraId="1FBC3BA2" w14:textId="77777777" w:rsidR="00095B9C" w:rsidRPr="0050124E" w:rsidRDefault="00095B9C" w:rsidP="00095B9C">
      <w:pPr>
        <w:pStyle w:val="TOC2"/>
        <w:keepLines w:val="0"/>
        <w:widowControl/>
        <w:numPr>
          <w:ilvl w:val="0"/>
          <w:numId w:val="5"/>
        </w:numPr>
        <w:tabs>
          <w:tab w:val="clear" w:pos="9639"/>
        </w:tabs>
        <w:spacing w:after="180"/>
        <w:ind w:right="0"/>
        <w:contextualSpacing/>
        <w:jc w:val="both"/>
        <w:rPr>
          <w:lang w:val="en-US" w:eastAsia="ko-KR"/>
        </w:rPr>
      </w:pPr>
      <w:r w:rsidRPr="0050124E">
        <w:rPr>
          <w:i/>
          <w:lang w:val="en-US" w:eastAsia="ko-KR"/>
        </w:rPr>
        <w:t>φ</w:t>
      </w:r>
      <w:r w:rsidRPr="0050124E">
        <w:rPr>
          <w:i/>
          <w:vertAlign w:val="subscript"/>
          <w:lang w:val="en-US" w:eastAsia="ko-KR"/>
        </w:rPr>
        <w:t>k</w:t>
      </w:r>
      <w:r w:rsidRPr="0050124E">
        <w:rPr>
          <w:lang w:val="en-US" w:eastAsia="ko-KR"/>
        </w:rPr>
        <w:t xml:space="preserve"> is generated according to the uniform distribution</w:t>
      </w:r>
      <w:r>
        <w:rPr>
          <w:lang w:val="en-US" w:eastAsia="ko-KR"/>
        </w:rPr>
        <w:t>;</w:t>
      </w:r>
      <w:r w:rsidRPr="0050124E">
        <w:rPr>
          <w:lang w:val="en-US" w:eastAsia="ko-KR"/>
        </w:rPr>
        <w:t xml:space="preserve"> </w:t>
      </w:r>
    </w:p>
    <w:p w14:paraId="134868A8" w14:textId="53842940" w:rsidR="00095B9C" w:rsidRPr="0050124E" w:rsidRDefault="00095B9C" w:rsidP="00095B9C">
      <w:pPr>
        <w:pStyle w:val="TOC2"/>
        <w:keepLines w:val="0"/>
        <w:widowControl/>
        <w:numPr>
          <w:ilvl w:val="0"/>
          <w:numId w:val="5"/>
        </w:numPr>
        <w:tabs>
          <w:tab w:val="clear" w:pos="9639"/>
        </w:tabs>
        <w:spacing w:after="180"/>
        <w:ind w:right="0"/>
        <w:contextualSpacing/>
        <w:jc w:val="both"/>
        <w:rPr>
          <w:lang w:val="en-US" w:eastAsia="ko-KR"/>
        </w:rPr>
      </w:pPr>
      <w:r w:rsidRPr="0050124E">
        <w:rPr>
          <w:i/>
          <w:lang w:val="en-US" w:eastAsia="ko-KR"/>
        </w:rPr>
        <w:t>θ</w:t>
      </w:r>
      <w:r w:rsidRPr="0050124E">
        <w:rPr>
          <w:i/>
          <w:lang w:val="en-US" w:eastAsia="ko-KR"/>
        </w:rPr>
        <w:softHyphen/>
      </w:r>
      <w:r w:rsidRPr="0050124E">
        <w:rPr>
          <w:i/>
          <w:vertAlign w:val="subscript"/>
          <w:lang w:val="en-US" w:eastAsia="ko-KR"/>
        </w:rPr>
        <w:t>k</w:t>
      </w:r>
      <w:r w:rsidRPr="0050124E">
        <w:rPr>
          <w:lang w:val="en-US" w:eastAsia="ko-KR"/>
        </w:rPr>
        <w:t xml:space="preserve"> is constant, whose value is 90 degrees.</w:t>
      </w:r>
      <w:r w:rsidR="00EA6A25">
        <w:rPr>
          <w:lang w:val="en-US" w:eastAsia="ko-KR"/>
        </w:rPr>
        <w:t xml:space="preserve"> </w:t>
      </w:r>
    </w:p>
    <w:p w14:paraId="5BE3AE5A" w14:textId="3CE704D1" w:rsidR="00095B9C" w:rsidRPr="0092610A" w:rsidRDefault="006F1B22" w:rsidP="00095B9C">
      <w:pPr>
        <w:jc w:val="both"/>
        <w:rPr>
          <w:szCs w:val="20"/>
          <w:lang w:eastAsia="ko-KR"/>
        </w:rPr>
      </w:pPr>
      <w:r>
        <w:rPr>
          <w:szCs w:val="20"/>
          <w:lang w:eastAsia="ko-KR"/>
        </w:rPr>
        <w:t xml:space="preserve">Note that </w:t>
      </w:r>
      <w:r w:rsidR="00095B9C" w:rsidRPr="0092610A">
        <w:rPr>
          <w:szCs w:val="20"/>
          <w:lang w:eastAsia="ko-KR"/>
        </w:rPr>
        <w:t xml:space="preserve">the blockers are generated in </w:t>
      </w:r>
      <w:r w:rsidR="00FA3462">
        <w:rPr>
          <w:szCs w:val="20"/>
          <w:lang w:eastAsia="ko-KR"/>
        </w:rPr>
        <w:t xml:space="preserve">a </w:t>
      </w:r>
      <w:r w:rsidR="00095B9C" w:rsidRPr="0092610A">
        <w:rPr>
          <w:szCs w:val="20"/>
          <w:lang w:eastAsia="ko-KR"/>
        </w:rPr>
        <w:t>spatial</w:t>
      </w:r>
      <w:r w:rsidR="00FA3462">
        <w:rPr>
          <w:szCs w:val="20"/>
          <w:lang w:eastAsia="ko-KR"/>
        </w:rPr>
        <w:t>ly</w:t>
      </w:r>
      <w:r w:rsidR="00095B9C" w:rsidRPr="0092610A">
        <w:rPr>
          <w:szCs w:val="20"/>
          <w:lang w:eastAsia="ko-KR"/>
        </w:rPr>
        <w:t xml:space="preserve"> consistent manner using the me</w:t>
      </w:r>
      <w:r w:rsidR="000914FE">
        <w:rPr>
          <w:szCs w:val="20"/>
          <w:lang w:eastAsia="ko-KR"/>
        </w:rPr>
        <w:t>thod described in S</w:t>
      </w:r>
      <w:r w:rsidR="00612A8C">
        <w:rPr>
          <w:szCs w:val="20"/>
          <w:lang w:eastAsia="ko-KR"/>
        </w:rPr>
        <w:t xml:space="preserve">ection 7.6.3. </w:t>
      </w:r>
    </w:p>
    <w:p w14:paraId="48A48AD0" w14:textId="77777777" w:rsidR="00095B9C" w:rsidRPr="0092610A" w:rsidRDefault="00095B9C" w:rsidP="00095B9C">
      <w:pPr>
        <w:jc w:val="both"/>
        <w:rPr>
          <w:szCs w:val="20"/>
          <w:lang w:eastAsia="ko-KR"/>
        </w:rPr>
      </w:pPr>
    </w:p>
    <w:p w14:paraId="6B6E186A" w14:textId="77777777" w:rsidR="00095B9C" w:rsidRPr="005027A5" w:rsidRDefault="00095B9C" w:rsidP="00095B9C">
      <w:pPr>
        <w:jc w:val="both"/>
        <w:rPr>
          <w:szCs w:val="20"/>
          <w:u w:val="single"/>
          <w:lang w:eastAsia="ko-KR"/>
        </w:rPr>
      </w:pPr>
      <w:r w:rsidRPr="0050124E">
        <w:rPr>
          <w:szCs w:val="20"/>
          <w:u w:val="single"/>
          <w:lang w:eastAsia="ko-KR"/>
        </w:rPr>
        <w:t>Step c: Determine the attenuation of each blocker</w:t>
      </w:r>
    </w:p>
    <w:p w14:paraId="0B42D85F" w14:textId="58BE1E45" w:rsidR="00095B9C" w:rsidRPr="0050124E" w:rsidRDefault="00095B9C" w:rsidP="00095B9C">
      <w:pPr>
        <w:jc w:val="both"/>
        <w:rPr>
          <w:szCs w:val="20"/>
          <w:lang w:eastAsia="ko-KR"/>
        </w:rPr>
      </w:pPr>
      <w:r w:rsidRPr="0050124E">
        <w:rPr>
          <w:szCs w:val="20"/>
          <w:lang w:eastAsia="ko-KR"/>
        </w:rPr>
        <w:t>The clusters within each angular blocking region are attenuat</w:t>
      </w:r>
      <w:r w:rsidR="00612A8C">
        <w:rPr>
          <w:szCs w:val="20"/>
          <w:lang w:eastAsia="ko-KR"/>
        </w:rPr>
        <w:t xml:space="preserve">ed with a </w:t>
      </w:r>
      <w:r w:rsidRPr="00612A8C">
        <w:rPr>
          <w:szCs w:val="20"/>
          <w:lang w:eastAsia="ko-KR"/>
        </w:rPr>
        <w:t>lognormal(μ,σ</w:t>
      </w:r>
      <w:r w:rsidRPr="00612A8C">
        <w:rPr>
          <w:szCs w:val="20"/>
          <w:vertAlign w:val="superscript"/>
          <w:lang w:eastAsia="ko-KR"/>
        </w:rPr>
        <w:t>2</w:t>
      </w:r>
      <w:r w:rsidRPr="00612A8C">
        <w:rPr>
          <w:szCs w:val="20"/>
          <w:lang w:eastAsia="ko-KR"/>
        </w:rPr>
        <w:t>)</w:t>
      </w:r>
      <w:r w:rsidR="00612A8C" w:rsidRPr="00612A8C">
        <w:rPr>
          <w:szCs w:val="20"/>
          <w:lang w:eastAsia="ko-KR"/>
        </w:rPr>
        <w:t xml:space="preserve"> statistical distribution</w:t>
      </w:r>
      <w:r w:rsidRPr="00612A8C">
        <w:rPr>
          <w:szCs w:val="20"/>
          <w:lang w:eastAsia="ko-KR"/>
        </w:rPr>
        <w:t>. Frequency dependence of μ and σ</w:t>
      </w:r>
      <w:r w:rsidRPr="00612A8C">
        <w:rPr>
          <w:szCs w:val="20"/>
          <w:vertAlign w:val="superscript"/>
          <w:lang w:eastAsia="ko-KR"/>
        </w:rPr>
        <w:t>2</w:t>
      </w:r>
      <w:r w:rsidRPr="00612A8C">
        <w:rPr>
          <w:szCs w:val="20"/>
          <w:lang w:eastAsia="ko-KR"/>
        </w:rPr>
        <w:t xml:space="preserve"> are FFS. </w:t>
      </w:r>
      <w:r w:rsidRPr="0050124E">
        <w:rPr>
          <w:szCs w:val="20"/>
          <w:lang w:eastAsia="ko-KR"/>
        </w:rPr>
        <w:t>Scenario-dependen</w:t>
      </w:r>
      <w:r>
        <w:rPr>
          <w:szCs w:val="20"/>
          <w:lang w:eastAsia="ko-KR"/>
        </w:rPr>
        <w:t>cy of these parameters (UMi, UMa</w:t>
      </w:r>
      <w:r w:rsidRPr="0050124E">
        <w:rPr>
          <w:szCs w:val="20"/>
          <w:lang w:eastAsia="ko-KR"/>
        </w:rPr>
        <w:t xml:space="preserve"> and InH) is FFS.</w:t>
      </w:r>
    </w:p>
    <w:p w14:paraId="1E73715B" w14:textId="77777777" w:rsidR="00095B9C" w:rsidRDefault="00095B9C" w:rsidP="00095B9C">
      <w:pPr>
        <w:jc w:val="both"/>
        <w:rPr>
          <w:szCs w:val="20"/>
          <w:lang w:eastAsia="ko-KR"/>
        </w:rPr>
      </w:pPr>
    </w:p>
    <w:p w14:paraId="33E98E95" w14:textId="77777777" w:rsidR="006F1B22" w:rsidRPr="00FB5230" w:rsidRDefault="006F1B22" w:rsidP="006F1B22">
      <w:pPr>
        <w:jc w:val="both"/>
        <w:rPr>
          <w:szCs w:val="20"/>
          <w:u w:val="single"/>
          <w:lang w:eastAsia="ko-KR"/>
        </w:rPr>
      </w:pPr>
      <w:r>
        <w:rPr>
          <w:szCs w:val="20"/>
          <w:u w:val="single"/>
          <w:lang w:eastAsia="ko-KR"/>
        </w:rPr>
        <w:t>Step d: Temporal</w:t>
      </w:r>
      <w:r w:rsidRPr="00FB5230">
        <w:rPr>
          <w:szCs w:val="20"/>
          <w:u w:val="single"/>
          <w:lang w:eastAsia="ko-KR"/>
        </w:rPr>
        <w:t xml:space="preserve"> evolution of each blocker</w:t>
      </w:r>
    </w:p>
    <w:p w14:paraId="220FB668" w14:textId="77777777" w:rsidR="006F1B22" w:rsidRPr="00380C69" w:rsidRDefault="006F1B22" w:rsidP="006F1B22">
      <w:pPr>
        <w:jc w:val="both"/>
        <w:rPr>
          <w:szCs w:val="20"/>
          <w:lang w:eastAsia="ko-KR"/>
        </w:rPr>
      </w:pPr>
      <w:r w:rsidRPr="0050124E">
        <w:rPr>
          <w:szCs w:val="20"/>
          <w:lang w:eastAsia="ko-KR"/>
        </w:rPr>
        <w:t xml:space="preserve">The parameters to determine the blocking regions are made consistent in space and time, e.g., according to the spatial consistency procedure in Section 7.6.3. </w:t>
      </w:r>
    </w:p>
    <w:p w14:paraId="67A35EEB" w14:textId="77777777" w:rsidR="006F1B22" w:rsidRDefault="006F1B22" w:rsidP="00095B9C">
      <w:pPr>
        <w:jc w:val="both"/>
        <w:rPr>
          <w:szCs w:val="20"/>
          <w:lang w:eastAsia="ko-KR"/>
        </w:rPr>
      </w:pPr>
    </w:p>
    <w:p w14:paraId="1E4077EF" w14:textId="3D35AD63" w:rsidR="006F1B22" w:rsidRDefault="006F1B22" w:rsidP="006F1B22">
      <w:pPr>
        <w:jc w:val="both"/>
        <w:rPr>
          <w:lang w:eastAsia="ko-KR"/>
        </w:rPr>
      </w:pPr>
      <w:r>
        <w:rPr>
          <w:lang w:eastAsia="ko-KR"/>
        </w:rPr>
        <w:lastRenderedPageBreak/>
        <w:t>A typical</w:t>
      </w:r>
      <w:r w:rsidR="00CB704B">
        <w:rPr>
          <w:lang w:eastAsia="ko-KR"/>
        </w:rPr>
        <w:t>/illustrative</w:t>
      </w:r>
      <w:r>
        <w:rPr>
          <w:lang w:eastAsia="ko-KR"/>
        </w:rPr>
        <w:t xml:space="preserve"> blocking scenario parameter setting is as follows. </w:t>
      </w:r>
      <w:r w:rsidRPr="0050124E">
        <w:rPr>
          <w:i/>
          <w:szCs w:val="20"/>
          <w:lang w:eastAsia="ko-KR"/>
        </w:rPr>
        <w:t>K</w:t>
      </w:r>
      <w:r w:rsidRPr="0050124E">
        <w:rPr>
          <w:szCs w:val="20"/>
          <w:lang w:eastAsia="ko-KR"/>
        </w:rPr>
        <w:t>, the total number of angular</w:t>
      </w:r>
      <w:r>
        <w:rPr>
          <w:szCs w:val="20"/>
          <w:lang w:eastAsia="ko-KR"/>
        </w:rPr>
        <w:t xml:space="preserve"> blocking</w:t>
      </w:r>
      <w:r w:rsidRPr="0050124E">
        <w:rPr>
          <w:szCs w:val="20"/>
          <w:lang w:eastAsia="ko-KR"/>
        </w:rPr>
        <w:t xml:space="preserve"> regions, is </w:t>
      </w:r>
      <w:r>
        <w:rPr>
          <w:szCs w:val="20"/>
          <w:lang w:eastAsia="ko-KR"/>
        </w:rPr>
        <w:t xml:space="preserve">set to </w:t>
      </w:r>
      <w:r w:rsidRPr="0050124E">
        <w:rPr>
          <w:szCs w:val="20"/>
          <w:lang w:eastAsia="ko-KR"/>
        </w:rPr>
        <w:t xml:space="preserve">5. </w:t>
      </w:r>
      <w:r>
        <w:rPr>
          <w:lang w:eastAsia="ko-KR"/>
        </w:rPr>
        <w:t xml:space="preserve">The first blocker represents self-blocking. The other four angular blocking </w:t>
      </w:r>
      <w:r w:rsidRPr="0056443A">
        <w:rPr>
          <w:lang w:eastAsia="ko-KR"/>
        </w:rPr>
        <w:t xml:space="preserve">regions are generated in </w:t>
      </w:r>
      <w:r>
        <w:rPr>
          <w:lang w:eastAsia="ko-KR"/>
        </w:rPr>
        <w:t>azimuth and elevation</w:t>
      </w:r>
      <w:r w:rsidRPr="0056443A">
        <w:rPr>
          <w:lang w:eastAsia="ko-KR"/>
        </w:rPr>
        <w:t xml:space="preserve"> with parameters as below. </w:t>
      </w:r>
    </w:p>
    <w:p w14:paraId="45CD6A43" w14:textId="77777777" w:rsidR="006F1B22" w:rsidRPr="006F1B22" w:rsidRDefault="006F1B22" w:rsidP="006F1B22">
      <w:pPr>
        <w:jc w:val="both"/>
        <w:rPr>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706"/>
        <w:gridCol w:w="1544"/>
        <w:gridCol w:w="810"/>
        <w:gridCol w:w="796"/>
        <w:gridCol w:w="2444"/>
      </w:tblGrid>
      <w:tr w:rsidR="006F1B22" w:rsidRPr="0056443A" w14:paraId="734AD0F4" w14:textId="77777777" w:rsidTr="00A028FB">
        <w:trPr>
          <w:jc w:val="center"/>
        </w:trPr>
        <w:tc>
          <w:tcPr>
            <w:tcW w:w="1719" w:type="dxa"/>
            <w:shd w:val="clear" w:color="auto" w:fill="auto"/>
          </w:tcPr>
          <w:p w14:paraId="2A45D3D5" w14:textId="77777777" w:rsidR="006F1B22" w:rsidRPr="0056443A" w:rsidRDefault="006F1B22" w:rsidP="00A028FB">
            <w:pPr>
              <w:jc w:val="center"/>
              <w:rPr>
                <w:szCs w:val="20"/>
                <w:lang w:eastAsia="ko-KR"/>
              </w:rPr>
            </w:pPr>
          </w:p>
        </w:tc>
        <w:tc>
          <w:tcPr>
            <w:tcW w:w="706" w:type="dxa"/>
            <w:shd w:val="clear" w:color="auto" w:fill="auto"/>
          </w:tcPr>
          <w:p w14:paraId="53DC5B35" w14:textId="77777777" w:rsidR="006F1B22" w:rsidRPr="0056443A" w:rsidRDefault="006F1B22" w:rsidP="00A028FB">
            <w:pPr>
              <w:jc w:val="center"/>
              <w:rPr>
                <w:i/>
                <w:szCs w:val="20"/>
                <w:lang w:eastAsia="ko-KR"/>
              </w:rPr>
            </w:pPr>
            <w:r w:rsidRPr="0056443A">
              <w:rPr>
                <w:i/>
                <w:szCs w:val="20"/>
                <w:lang w:eastAsia="ko-KR"/>
              </w:rPr>
              <w:t>x</w:t>
            </w:r>
            <w:r w:rsidRPr="0056443A">
              <w:rPr>
                <w:i/>
                <w:szCs w:val="20"/>
                <w:vertAlign w:val="subscript"/>
                <w:lang w:eastAsia="ko-KR"/>
              </w:rPr>
              <w:t>k</w:t>
            </w:r>
          </w:p>
        </w:tc>
        <w:tc>
          <w:tcPr>
            <w:tcW w:w="1544" w:type="dxa"/>
            <w:shd w:val="clear" w:color="auto" w:fill="auto"/>
          </w:tcPr>
          <w:p w14:paraId="47A3EF5F" w14:textId="77777777" w:rsidR="006F1B22" w:rsidRPr="0056443A" w:rsidRDefault="006F1B22" w:rsidP="00A028FB">
            <w:pPr>
              <w:jc w:val="center"/>
              <w:rPr>
                <w:szCs w:val="20"/>
                <w:lang w:eastAsia="ko-KR"/>
              </w:rPr>
            </w:pPr>
            <w:r w:rsidRPr="0056443A">
              <w:rPr>
                <w:i/>
                <w:szCs w:val="20"/>
                <w:lang w:eastAsia="ko-KR"/>
              </w:rPr>
              <w:t>φ</w:t>
            </w:r>
            <w:r w:rsidRPr="0056443A">
              <w:rPr>
                <w:i/>
                <w:szCs w:val="20"/>
                <w:vertAlign w:val="subscript"/>
                <w:lang w:eastAsia="ko-KR"/>
              </w:rPr>
              <w:t>k</w:t>
            </w:r>
          </w:p>
        </w:tc>
        <w:tc>
          <w:tcPr>
            <w:tcW w:w="810" w:type="dxa"/>
            <w:shd w:val="clear" w:color="auto" w:fill="auto"/>
          </w:tcPr>
          <w:p w14:paraId="7722F7A9" w14:textId="77777777" w:rsidR="006F1B22" w:rsidRPr="0056443A" w:rsidRDefault="006F1B22" w:rsidP="00A028FB">
            <w:pPr>
              <w:jc w:val="center"/>
              <w:rPr>
                <w:i/>
                <w:szCs w:val="20"/>
                <w:lang w:eastAsia="ko-KR"/>
              </w:rPr>
            </w:pPr>
            <w:r w:rsidRPr="0056443A">
              <w:rPr>
                <w:i/>
                <w:szCs w:val="20"/>
                <w:lang w:eastAsia="ko-KR"/>
              </w:rPr>
              <w:t>y</w:t>
            </w:r>
            <w:r w:rsidRPr="0056443A">
              <w:rPr>
                <w:i/>
                <w:szCs w:val="20"/>
                <w:vertAlign w:val="subscript"/>
                <w:lang w:eastAsia="ko-KR"/>
              </w:rPr>
              <w:t>k</w:t>
            </w:r>
          </w:p>
        </w:tc>
        <w:tc>
          <w:tcPr>
            <w:tcW w:w="796" w:type="dxa"/>
            <w:shd w:val="clear" w:color="auto" w:fill="auto"/>
          </w:tcPr>
          <w:p w14:paraId="1383FAAB" w14:textId="77777777" w:rsidR="006F1B22" w:rsidRPr="0056443A" w:rsidRDefault="006F1B22" w:rsidP="00A028FB">
            <w:pPr>
              <w:jc w:val="center"/>
              <w:rPr>
                <w:szCs w:val="20"/>
                <w:lang w:eastAsia="ko-KR"/>
              </w:rPr>
            </w:pPr>
            <w:r w:rsidRPr="0056443A">
              <w:rPr>
                <w:i/>
                <w:szCs w:val="20"/>
                <w:lang w:eastAsia="ko-KR"/>
              </w:rPr>
              <w:t>θ</w:t>
            </w:r>
            <w:r w:rsidRPr="0056443A">
              <w:rPr>
                <w:i/>
                <w:szCs w:val="20"/>
                <w:vertAlign w:val="subscript"/>
                <w:lang w:eastAsia="ko-KR"/>
              </w:rPr>
              <w:t>k</w:t>
            </w:r>
          </w:p>
        </w:tc>
        <w:tc>
          <w:tcPr>
            <w:tcW w:w="2444" w:type="dxa"/>
            <w:shd w:val="clear" w:color="auto" w:fill="auto"/>
          </w:tcPr>
          <w:p w14:paraId="493437BB" w14:textId="77777777" w:rsidR="006F1B22" w:rsidRPr="0056443A" w:rsidRDefault="006F1B22" w:rsidP="00A028FB">
            <w:pPr>
              <w:jc w:val="center"/>
              <w:rPr>
                <w:szCs w:val="20"/>
                <w:lang w:eastAsia="ko-KR"/>
              </w:rPr>
            </w:pPr>
            <w:r w:rsidRPr="0056443A">
              <w:rPr>
                <w:szCs w:val="20"/>
                <w:lang w:eastAsia="ko-KR"/>
              </w:rPr>
              <w:t>Loss (in dB)</w:t>
            </w:r>
          </w:p>
        </w:tc>
      </w:tr>
      <w:tr w:rsidR="006F1B22" w:rsidRPr="0056443A" w14:paraId="4F3E6985" w14:textId="77777777" w:rsidTr="00A028FB">
        <w:trPr>
          <w:jc w:val="center"/>
        </w:trPr>
        <w:tc>
          <w:tcPr>
            <w:tcW w:w="1719" w:type="dxa"/>
            <w:shd w:val="clear" w:color="auto" w:fill="auto"/>
          </w:tcPr>
          <w:p w14:paraId="183F208C" w14:textId="77777777" w:rsidR="006F1B22" w:rsidRPr="0056443A" w:rsidRDefault="006F1B22" w:rsidP="00A028FB">
            <w:pPr>
              <w:jc w:val="center"/>
              <w:rPr>
                <w:szCs w:val="20"/>
                <w:lang w:eastAsia="ko-KR"/>
              </w:rPr>
            </w:pPr>
            <w:r w:rsidRPr="0056443A">
              <w:rPr>
                <w:i/>
                <w:szCs w:val="20"/>
                <w:lang w:eastAsia="ko-KR"/>
              </w:rPr>
              <w:t xml:space="preserve">k </w:t>
            </w:r>
            <w:r w:rsidRPr="0056443A">
              <w:rPr>
                <w:szCs w:val="20"/>
                <w:lang w:eastAsia="ko-KR"/>
              </w:rPr>
              <w:t>= 1 (Portrait)</w:t>
            </w:r>
          </w:p>
        </w:tc>
        <w:tc>
          <w:tcPr>
            <w:tcW w:w="706" w:type="dxa"/>
            <w:shd w:val="clear" w:color="auto" w:fill="auto"/>
          </w:tcPr>
          <w:p w14:paraId="48D050BC" w14:textId="77777777" w:rsidR="006F1B22" w:rsidRPr="0056443A" w:rsidRDefault="006F1B22" w:rsidP="00A028FB">
            <w:pPr>
              <w:jc w:val="center"/>
              <w:rPr>
                <w:szCs w:val="20"/>
                <w:lang w:eastAsia="ko-KR"/>
              </w:rPr>
            </w:pPr>
            <w:r w:rsidRPr="0056443A">
              <w:rPr>
                <w:szCs w:val="20"/>
                <w:lang w:eastAsia="ko-KR"/>
              </w:rPr>
              <w:t>120</w:t>
            </w:r>
            <w:r w:rsidRPr="0056443A">
              <w:rPr>
                <w:szCs w:val="20"/>
                <w:vertAlign w:val="superscript"/>
                <w:lang w:eastAsia="ko-KR"/>
              </w:rPr>
              <w:t>o</w:t>
            </w:r>
          </w:p>
        </w:tc>
        <w:tc>
          <w:tcPr>
            <w:tcW w:w="1544" w:type="dxa"/>
            <w:shd w:val="clear" w:color="auto" w:fill="auto"/>
          </w:tcPr>
          <w:p w14:paraId="7AB606C6" w14:textId="77777777" w:rsidR="006F1B22" w:rsidRPr="0056443A" w:rsidRDefault="006F1B22" w:rsidP="00A028FB">
            <w:pPr>
              <w:jc w:val="center"/>
              <w:rPr>
                <w:szCs w:val="20"/>
                <w:lang w:eastAsia="ko-KR"/>
              </w:rPr>
            </w:pPr>
            <w:r w:rsidRPr="0056443A">
              <w:rPr>
                <w:szCs w:val="20"/>
                <w:lang w:eastAsia="ko-KR"/>
              </w:rPr>
              <w:t>260</w:t>
            </w:r>
            <w:r w:rsidRPr="0056443A">
              <w:rPr>
                <w:szCs w:val="20"/>
                <w:vertAlign w:val="superscript"/>
                <w:lang w:eastAsia="ko-KR"/>
              </w:rPr>
              <w:t>o</w:t>
            </w:r>
          </w:p>
        </w:tc>
        <w:tc>
          <w:tcPr>
            <w:tcW w:w="810" w:type="dxa"/>
            <w:shd w:val="clear" w:color="auto" w:fill="auto"/>
          </w:tcPr>
          <w:p w14:paraId="342EC8E6" w14:textId="77777777" w:rsidR="006F1B22" w:rsidRPr="0056443A" w:rsidRDefault="006F1B22" w:rsidP="00A028FB">
            <w:pPr>
              <w:jc w:val="center"/>
              <w:rPr>
                <w:szCs w:val="20"/>
                <w:lang w:eastAsia="ko-KR"/>
              </w:rPr>
            </w:pPr>
            <w:r w:rsidRPr="0056443A">
              <w:rPr>
                <w:szCs w:val="20"/>
                <w:lang w:eastAsia="ko-KR"/>
              </w:rPr>
              <w:t>80</w:t>
            </w:r>
            <w:r w:rsidRPr="0056443A">
              <w:rPr>
                <w:szCs w:val="20"/>
                <w:vertAlign w:val="superscript"/>
                <w:lang w:eastAsia="ko-KR"/>
              </w:rPr>
              <w:t>o</w:t>
            </w:r>
          </w:p>
        </w:tc>
        <w:tc>
          <w:tcPr>
            <w:tcW w:w="796" w:type="dxa"/>
            <w:shd w:val="clear" w:color="auto" w:fill="auto"/>
          </w:tcPr>
          <w:p w14:paraId="01DDF9D9" w14:textId="77777777" w:rsidR="006F1B22" w:rsidRPr="0056443A" w:rsidRDefault="006F1B22" w:rsidP="00A028FB">
            <w:pPr>
              <w:jc w:val="center"/>
              <w:rPr>
                <w:szCs w:val="20"/>
                <w:lang w:eastAsia="ko-KR"/>
              </w:rPr>
            </w:pPr>
            <w:r w:rsidRPr="0056443A">
              <w:rPr>
                <w:szCs w:val="20"/>
                <w:lang w:eastAsia="ko-KR"/>
              </w:rPr>
              <w:t>100</w:t>
            </w:r>
            <w:r w:rsidRPr="0056443A">
              <w:rPr>
                <w:szCs w:val="20"/>
                <w:vertAlign w:val="superscript"/>
                <w:lang w:eastAsia="ko-KR"/>
              </w:rPr>
              <w:t>o</w:t>
            </w:r>
          </w:p>
        </w:tc>
        <w:tc>
          <w:tcPr>
            <w:tcW w:w="2444" w:type="dxa"/>
            <w:shd w:val="clear" w:color="auto" w:fill="auto"/>
          </w:tcPr>
          <w:p w14:paraId="3BC6A896" w14:textId="77777777" w:rsidR="006F1B22" w:rsidRPr="0056443A" w:rsidRDefault="006F1B22" w:rsidP="00A028FB">
            <w:pPr>
              <w:jc w:val="center"/>
              <w:rPr>
                <w:szCs w:val="20"/>
                <w:lang w:eastAsia="ko-KR"/>
              </w:rPr>
            </w:pPr>
            <w:r w:rsidRPr="0056443A">
              <w:rPr>
                <w:szCs w:val="20"/>
                <w:lang w:eastAsia="ko-KR"/>
              </w:rPr>
              <w:t>15</w:t>
            </w:r>
          </w:p>
        </w:tc>
      </w:tr>
      <w:tr w:rsidR="006F1B22" w:rsidRPr="0056443A" w14:paraId="18019D78" w14:textId="77777777" w:rsidTr="00A028FB">
        <w:trPr>
          <w:jc w:val="center"/>
        </w:trPr>
        <w:tc>
          <w:tcPr>
            <w:tcW w:w="1719" w:type="dxa"/>
            <w:shd w:val="clear" w:color="auto" w:fill="auto"/>
          </w:tcPr>
          <w:p w14:paraId="2862FACB" w14:textId="77777777" w:rsidR="006F1B22" w:rsidRPr="0056443A" w:rsidRDefault="006F1B22" w:rsidP="00A028FB">
            <w:pPr>
              <w:jc w:val="center"/>
              <w:rPr>
                <w:szCs w:val="20"/>
                <w:lang w:eastAsia="ko-KR"/>
              </w:rPr>
            </w:pPr>
            <w:r w:rsidRPr="0056443A">
              <w:rPr>
                <w:i/>
                <w:szCs w:val="20"/>
                <w:lang w:eastAsia="ko-KR"/>
              </w:rPr>
              <w:t>k</w:t>
            </w:r>
            <w:r w:rsidRPr="0056443A">
              <w:rPr>
                <w:szCs w:val="20"/>
                <w:lang w:eastAsia="ko-KR"/>
              </w:rPr>
              <w:t xml:space="preserve"> = 1 (Landscape)</w:t>
            </w:r>
          </w:p>
        </w:tc>
        <w:tc>
          <w:tcPr>
            <w:tcW w:w="706" w:type="dxa"/>
            <w:shd w:val="clear" w:color="auto" w:fill="auto"/>
          </w:tcPr>
          <w:p w14:paraId="783C11AA" w14:textId="77777777" w:rsidR="006F1B22" w:rsidRPr="0056443A" w:rsidRDefault="006F1B22" w:rsidP="00A028FB">
            <w:pPr>
              <w:jc w:val="center"/>
              <w:rPr>
                <w:szCs w:val="20"/>
                <w:lang w:eastAsia="ko-KR"/>
              </w:rPr>
            </w:pPr>
            <w:r w:rsidRPr="0056443A">
              <w:rPr>
                <w:szCs w:val="20"/>
                <w:lang w:eastAsia="ko-KR"/>
              </w:rPr>
              <w:t>160</w:t>
            </w:r>
            <w:r w:rsidRPr="0056443A">
              <w:rPr>
                <w:szCs w:val="20"/>
                <w:vertAlign w:val="superscript"/>
                <w:lang w:eastAsia="ko-KR"/>
              </w:rPr>
              <w:t>o</w:t>
            </w:r>
          </w:p>
        </w:tc>
        <w:tc>
          <w:tcPr>
            <w:tcW w:w="1544" w:type="dxa"/>
            <w:shd w:val="clear" w:color="auto" w:fill="auto"/>
          </w:tcPr>
          <w:p w14:paraId="337E9162" w14:textId="77777777" w:rsidR="006F1B22" w:rsidRPr="0056443A" w:rsidRDefault="006F1B22" w:rsidP="00A028FB">
            <w:pPr>
              <w:jc w:val="center"/>
              <w:rPr>
                <w:szCs w:val="20"/>
                <w:lang w:eastAsia="ko-KR"/>
              </w:rPr>
            </w:pPr>
            <w:r w:rsidRPr="0056443A">
              <w:rPr>
                <w:szCs w:val="20"/>
                <w:lang w:eastAsia="ko-KR"/>
              </w:rPr>
              <w:t>40</w:t>
            </w:r>
            <w:r w:rsidRPr="0056443A">
              <w:rPr>
                <w:szCs w:val="20"/>
                <w:vertAlign w:val="superscript"/>
                <w:lang w:eastAsia="ko-KR"/>
              </w:rPr>
              <w:t>o</w:t>
            </w:r>
          </w:p>
        </w:tc>
        <w:tc>
          <w:tcPr>
            <w:tcW w:w="810" w:type="dxa"/>
            <w:shd w:val="clear" w:color="auto" w:fill="auto"/>
          </w:tcPr>
          <w:p w14:paraId="199C225D" w14:textId="77777777" w:rsidR="006F1B22" w:rsidRPr="0056443A" w:rsidRDefault="006F1B22" w:rsidP="00A028FB">
            <w:pPr>
              <w:jc w:val="center"/>
              <w:rPr>
                <w:szCs w:val="20"/>
                <w:lang w:eastAsia="ko-KR"/>
              </w:rPr>
            </w:pPr>
            <w:r w:rsidRPr="0056443A">
              <w:rPr>
                <w:szCs w:val="20"/>
                <w:lang w:eastAsia="ko-KR"/>
              </w:rPr>
              <w:t>75</w:t>
            </w:r>
            <w:r w:rsidRPr="0056443A">
              <w:rPr>
                <w:szCs w:val="20"/>
                <w:vertAlign w:val="superscript"/>
                <w:lang w:eastAsia="ko-KR"/>
              </w:rPr>
              <w:t>o</w:t>
            </w:r>
          </w:p>
        </w:tc>
        <w:tc>
          <w:tcPr>
            <w:tcW w:w="796" w:type="dxa"/>
            <w:shd w:val="clear" w:color="auto" w:fill="auto"/>
          </w:tcPr>
          <w:p w14:paraId="15DF0163" w14:textId="77777777" w:rsidR="006F1B22" w:rsidRPr="0056443A" w:rsidRDefault="006F1B22" w:rsidP="00A028FB">
            <w:pPr>
              <w:jc w:val="center"/>
              <w:rPr>
                <w:szCs w:val="20"/>
                <w:lang w:eastAsia="ko-KR"/>
              </w:rPr>
            </w:pPr>
            <w:r w:rsidRPr="0056443A">
              <w:rPr>
                <w:szCs w:val="20"/>
                <w:lang w:eastAsia="ko-KR"/>
              </w:rPr>
              <w:t>110</w:t>
            </w:r>
            <w:r w:rsidRPr="0056443A">
              <w:rPr>
                <w:szCs w:val="20"/>
                <w:vertAlign w:val="superscript"/>
                <w:lang w:eastAsia="ko-KR"/>
              </w:rPr>
              <w:t>o</w:t>
            </w:r>
          </w:p>
        </w:tc>
        <w:tc>
          <w:tcPr>
            <w:tcW w:w="2444" w:type="dxa"/>
            <w:shd w:val="clear" w:color="auto" w:fill="auto"/>
          </w:tcPr>
          <w:p w14:paraId="2744DDE7" w14:textId="77777777" w:rsidR="006F1B22" w:rsidRPr="0056443A" w:rsidRDefault="006F1B22" w:rsidP="00A028FB">
            <w:pPr>
              <w:jc w:val="center"/>
              <w:rPr>
                <w:szCs w:val="20"/>
                <w:lang w:eastAsia="ko-KR"/>
              </w:rPr>
            </w:pPr>
            <w:r w:rsidRPr="0056443A">
              <w:rPr>
                <w:szCs w:val="20"/>
                <w:lang w:eastAsia="ko-KR"/>
              </w:rPr>
              <w:t>15</w:t>
            </w:r>
          </w:p>
        </w:tc>
      </w:tr>
      <w:tr w:rsidR="006F1B22" w:rsidRPr="0056443A" w14:paraId="35B9B4B0" w14:textId="77777777" w:rsidTr="00A028FB">
        <w:trPr>
          <w:jc w:val="center"/>
        </w:trPr>
        <w:tc>
          <w:tcPr>
            <w:tcW w:w="1719" w:type="dxa"/>
            <w:shd w:val="clear" w:color="auto" w:fill="auto"/>
          </w:tcPr>
          <w:p w14:paraId="1102C110" w14:textId="77777777" w:rsidR="006F1B22" w:rsidRPr="0056443A" w:rsidRDefault="006F1B22" w:rsidP="00A028FB">
            <w:pPr>
              <w:jc w:val="center"/>
              <w:rPr>
                <w:szCs w:val="20"/>
                <w:lang w:eastAsia="ko-KR"/>
              </w:rPr>
            </w:pPr>
            <w:r w:rsidRPr="0056443A">
              <w:rPr>
                <w:i/>
                <w:szCs w:val="20"/>
                <w:lang w:eastAsia="ko-KR"/>
              </w:rPr>
              <w:t>k</w:t>
            </w:r>
            <w:r w:rsidRPr="0056443A">
              <w:rPr>
                <w:szCs w:val="20"/>
                <w:lang w:eastAsia="ko-KR"/>
              </w:rPr>
              <w:t xml:space="preserve"> = 2, …, 5</w:t>
            </w:r>
          </w:p>
        </w:tc>
        <w:tc>
          <w:tcPr>
            <w:tcW w:w="706" w:type="dxa"/>
            <w:shd w:val="clear" w:color="auto" w:fill="auto"/>
          </w:tcPr>
          <w:p w14:paraId="31B54CB1" w14:textId="77777777" w:rsidR="006F1B22" w:rsidRPr="0056443A" w:rsidRDefault="006F1B22" w:rsidP="00A028FB">
            <w:pPr>
              <w:jc w:val="center"/>
              <w:rPr>
                <w:szCs w:val="20"/>
                <w:lang w:eastAsia="ko-KR"/>
              </w:rPr>
            </w:pPr>
            <w:r w:rsidRPr="0056443A">
              <w:rPr>
                <w:szCs w:val="20"/>
                <w:lang w:eastAsia="ko-KR"/>
              </w:rPr>
              <w:t>2.5</w:t>
            </w:r>
            <w:r w:rsidRPr="0056443A">
              <w:rPr>
                <w:szCs w:val="20"/>
                <w:vertAlign w:val="superscript"/>
                <w:lang w:eastAsia="ko-KR"/>
              </w:rPr>
              <w:t>o</w:t>
            </w:r>
          </w:p>
        </w:tc>
        <w:tc>
          <w:tcPr>
            <w:tcW w:w="1544" w:type="dxa"/>
            <w:shd w:val="clear" w:color="auto" w:fill="auto"/>
          </w:tcPr>
          <w:p w14:paraId="134BFFE4" w14:textId="77777777" w:rsidR="006F1B22" w:rsidRPr="0056443A" w:rsidRDefault="006F1B22" w:rsidP="00A028FB">
            <w:pPr>
              <w:jc w:val="center"/>
              <w:rPr>
                <w:szCs w:val="20"/>
                <w:lang w:eastAsia="ko-KR"/>
              </w:rPr>
            </w:pPr>
            <w:r w:rsidRPr="0056443A">
              <w:rPr>
                <w:szCs w:val="20"/>
                <w:lang w:eastAsia="ko-KR"/>
              </w:rPr>
              <w:t>Unif(</w:t>
            </w:r>
            <w:r>
              <w:rPr>
                <w:szCs w:val="20"/>
                <w:lang w:eastAsia="ko-KR"/>
              </w:rPr>
              <w:t>[</w:t>
            </w:r>
            <w:r w:rsidRPr="0056443A">
              <w:rPr>
                <w:szCs w:val="20"/>
                <w:lang w:eastAsia="ko-KR"/>
              </w:rPr>
              <w:t>0</w:t>
            </w:r>
            <w:r w:rsidRPr="0056443A">
              <w:rPr>
                <w:szCs w:val="20"/>
                <w:vertAlign w:val="superscript"/>
                <w:lang w:eastAsia="ko-KR"/>
              </w:rPr>
              <w:t>o</w:t>
            </w:r>
            <w:r>
              <w:rPr>
                <w:szCs w:val="20"/>
                <w:lang w:eastAsia="ko-KR"/>
              </w:rPr>
              <w:t>, 36</w:t>
            </w:r>
            <w:r w:rsidRPr="0056443A">
              <w:rPr>
                <w:szCs w:val="20"/>
                <w:lang w:eastAsia="ko-KR"/>
              </w:rPr>
              <w:t>0</w:t>
            </w:r>
            <w:r w:rsidRPr="0056443A">
              <w:rPr>
                <w:szCs w:val="20"/>
                <w:vertAlign w:val="superscript"/>
                <w:lang w:eastAsia="ko-KR"/>
              </w:rPr>
              <w:t>o</w:t>
            </w:r>
            <w:r w:rsidRPr="0056443A">
              <w:rPr>
                <w:szCs w:val="20"/>
                <w:lang w:eastAsia="ko-KR"/>
              </w:rPr>
              <w:t>])</w:t>
            </w:r>
          </w:p>
        </w:tc>
        <w:tc>
          <w:tcPr>
            <w:tcW w:w="810" w:type="dxa"/>
            <w:shd w:val="clear" w:color="auto" w:fill="auto"/>
          </w:tcPr>
          <w:p w14:paraId="65A47C48" w14:textId="77777777" w:rsidR="006F1B22" w:rsidRPr="0056443A" w:rsidRDefault="006F1B22" w:rsidP="00A028FB">
            <w:pPr>
              <w:jc w:val="center"/>
              <w:rPr>
                <w:szCs w:val="20"/>
                <w:lang w:eastAsia="ko-KR"/>
              </w:rPr>
            </w:pPr>
            <w:r w:rsidRPr="0056443A">
              <w:rPr>
                <w:szCs w:val="20"/>
                <w:lang w:eastAsia="ko-KR"/>
              </w:rPr>
              <w:t>15</w:t>
            </w:r>
            <w:r w:rsidRPr="0056443A">
              <w:rPr>
                <w:szCs w:val="20"/>
                <w:vertAlign w:val="superscript"/>
                <w:lang w:eastAsia="ko-KR"/>
              </w:rPr>
              <w:t>o</w:t>
            </w:r>
          </w:p>
        </w:tc>
        <w:tc>
          <w:tcPr>
            <w:tcW w:w="796" w:type="dxa"/>
            <w:shd w:val="clear" w:color="auto" w:fill="auto"/>
          </w:tcPr>
          <w:p w14:paraId="7240C7AB" w14:textId="77777777" w:rsidR="006F1B22" w:rsidRPr="0056443A" w:rsidRDefault="006F1B22" w:rsidP="00A028FB">
            <w:pPr>
              <w:jc w:val="center"/>
              <w:rPr>
                <w:szCs w:val="20"/>
                <w:lang w:eastAsia="ko-KR"/>
              </w:rPr>
            </w:pPr>
            <w:r>
              <w:rPr>
                <w:szCs w:val="20"/>
                <w:lang w:eastAsia="ko-KR"/>
              </w:rPr>
              <w:t>9</w:t>
            </w:r>
            <w:r w:rsidRPr="0056443A">
              <w:rPr>
                <w:szCs w:val="20"/>
                <w:lang w:eastAsia="ko-KR"/>
              </w:rPr>
              <w:t>0</w:t>
            </w:r>
            <w:r w:rsidRPr="0056443A">
              <w:rPr>
                <w:szCs w:val="20"/>
                <w:vertAlign w:val="superscript"/>
                <w:lang w:eastAsia="ko-KR"/>
              </w:rPr>
              <w:t>o</w:t>
            </w:r>
          </w:p>
        </w:tc>
        <w:tc>
          <w:tcPr>
            <w:tcW w:w="2444" w:type="dxa"/>
            <w:shd w:val="clear" w:color="auto" w:fill="auto"/>
          </w:tcPr>
          <w:p w14:paraId="3A38F271" w14:textId="77777777" w:rsidR="006F1B22" w:rsidRPr="0056443A" w:rsidRDefault="006F1B22" w:rsidP="00A028FB">
            <w:pPr>
              <w:jc w:val="center"/>
              <w:rPr>
                <w:szCs w:val="20"/>
                <w:lang w:eastAsia="ko-KR"/>
              </w:rPr>
            </w:pPr>
            <w:r w:rsidRPr="0056443A">
              <w:rPr>
                <w:i/>
                <w:szCs w:val="20"/>
                <w:lang w:eastAsia="ko-KR"/>
              </w:rPr>
              <w:t>N</w:t>
            </w:r>
            <w:r w:rsidRPr="0056443A">
              <w:rPr>
                <w:szCs w:val="20"/>
                <w:lang w:eastAsia="ko-KR"/>
              </w:rPr>
              <w:t>(16.42 dB,</w:t>
            </w:r>
            <w:r w:rsidRPr="0056443A">
              <w:rPr>
                <w:color w:val="000000"/>
                <w:szCs w:val="20"/>
                <w:lang w:val="el-GR"/>
              </w:rPr>
              <w:t xml:space="preserve"> </w:t>
            </w:r>
            <w:r w:rsidRPr="0056443A">
              <w:rPr>
                <w:szCs w:val="20"/>
                <w:lang w:val="el-GR" w:eastAsia="ko-KR"/>
              </w:rPr>
              <w:t>σ</w:t>
            </w:r>
            <w:r w:rsidRPr="0056443A">
              <w:rPr>
                <w:szCs w:val="20"/>
                <w:vertAlign w:val="superscript"/>
                <w:lang w:eastAsia="ko-KR"/>
              </w:rPr>
              <w:t>2</w:t>
            </w:r>
            <w:r w:rsidRPr="0056443A">
              <w:rPr>
                <w:szCs w:val="20"/>
                <w:lang w:eastAsia="ko-KR"/>
              </w:rPr>
              <w:t xml:space="preserve"> = 0.8869)</w:t>
            </w:r>
          </w:p>
        </w:tc>
      </w:tr>
    </w:tbl>
    <w:p w14:paraId="7AFCBCA0" w14:textId="77777777" w:rsidR="00095B9C" w:rsidRDefault="00095B9C" w:rsidP="00095B9C">
      <w:pPr>
        <w:jc w:val="both"/>
        <w:rPr>
          <w:lang w:eastAsia="ko-KR"/>
        </w:rPr>
      </w:pPr>
    </w:p>
    <w:p w14:paraId="4CDD3AA3" w14:textId="77777777" w:rsidR="00095B9C" w:rsidRPr="009957A3" w:rsidRDefault="00095B9C" w:rsidP="00095B9C">
      <w:pPr>
        <w:pStyle w:val="BodyText"/>
        <w:jc w:val="center"/>
        <w:rPr>
          <w:color w:val="FFC000"/>
        </w:rPr>
      </w:pPr>
      <w:r w:rsidRPr="009957A3">
        <w:rPr>
          <w:color w:val="FFC000"/>
        </w:rPr>
        <w:t>======================== END OF TEXT PROPOSAL ===========================</w:t>
      </w:r>
    </w:p>
    <w:p w14:paraId="12C7ED21" w14:textId="3937FFAC" w:rsidR="00891124" w:rsidRPr="00891124" w:rsidRDefault="00E66300" w:rsidP="00891124">
      <w:pPr>
        <w:pStyle w:val="Heading1"/>
      </w:pPr>
      <w:r>
        <w:t xml:space="preserve">Advantages of stochastic approach </w:t>
      </w:r>
    </w:p>
    <w:p w14:paraId="1DEAD82B" w14:textId="33C5AFA1" w:rsidR="009F64F0" w:rsidRDefault="009F64F0" w:rsidP="00977C98">
      <w:pPr>
        <w:jc w:val="both"/>
        <w:rPr>
          <w:szCs w:val="20"/>
        </w:rPr>
      </w:pPr>
      <w:r w:rsidRPr="009F64F0">
        <w:rPr>
          <w:szCs w:val="20"/>
        </w:rPr>
        <w:t xml:space="preserve">We </w:t>
      </w:r>
      <w:r>
        <w:rPr>
          <w:szCs w:val="20"/>
        </w:rPr>
        <w:t>now highlight</w:t>
      </w:r>
      <w:r w:rsidRPr="009F64F0">
        <w:rPr>
          <w:szCs w:val="20"/>
        </w:rPr>
        <w:t xml:space="preserve"> the main </w:t>
      </w:r>
      <w:r>
        <w:rPr>
          <w:szCs w:val="20"/>
        </w:rPr>
        <w:t xml:space="preserve">advantages of the stochastic approach. </w:t>
      </w:r>
    </w:p>
    <w:p w14:paraId="564F1AD8" w14:textId="77777777" w:rsidR="009F64F0" w:rsidRPr="009F64F0" w:rsidRDefault="009F64F0" w:rsidP="00977C98">
      <w:pPr>
        <w:jc w:val="both"/>
        <w:rPr>
          <w:szCs w:val="20"/>
        </w:rPr>
      </w:pPr>
    </w:p>
    <w:p w14:paraId="0A70FD67" w14:textId="58F6B00D" w:rsidR="0001176B" w:rsidRPr="004334B2" w:rsidRDefault="009F64F0" w:rsidP="004334B2">
      <w:pPr>
        <w:pStyle w:val="ListParagraph"/>
        <w:numPr>
          <w:ilvl w:val="0"/>
          <w:numId w:val="4"/>
        </w:numPr>
        <w:jc w:val="both"/>
        <w:rPr>
          <w:rFonts w:ascii="Times New Roman" w:hAnsi="Times New Roman"/>
          <w:sz w:val="20"/>
          <w:szCs w:val="20"/>
        </w:rPr>
      </w:pPr>
      <w:r w:rsidRPr="009F64F0">
        <w:rPr>
          <w:rFonts w:ascii="Times New Roman" w:hAnsi="Times New Roman"/>
          <w:sz w:val="20"/>
          <w:szCs w:val="20"/>
        </w:rPr>
        <w:t xml:space="preserve">The stochastic </w:t>
      </w:r>
      <w:r>
        <w:rPr>
          <w:rFonts w:ascii="Times New Roman" w:hAnsi="Times New Roman"/>
          <w:sz w:val="20"/>
          <w:szCs w:val="20"/>
        </w:rPr>
        <w:t xml:space="preserve">approach provides a complete specification of the parameters necessary to simulate a blockage scenario, viz., number of blockers, </w:t>
      </w:r>
      <w:r w:rsidRPr="009F64F0">
        <w:rPr>
          <w:rFonts w:ascii="Times New Roman" w:hAnsi="Times New Roman"/>
          <w:sz w:val="20"/>
          <w:szCs w:val="20"/>
        </w:rPr>
        <w:t>sp</w:t>
      </w:r>
      <w:r>
        <w:rPr>
          <w:rFonts w:ascii="Times New Roman" w:hAnsi="Times New Roman"/>
          <w:sz w:val="20"/>
          <w:szCs w:val="20"/>
        </w:rPr>
        <w:t>atial orientation and the angular region</w:t>
      </w:r>
      <w:r w:rsidRPr="009F64F0">
        <w:rPr>
          <w:rFonts w:ascii="Times New Roman" w:hAnsi="Times New Roman"/>
          <w:sz w:val="20"/>
          <w:szCs w:val="20"/>
        </w:rPr>
        <w:t xml:space="preserve"> blocked by a blocker, loss from each blocker, etc.</w:t>
      </w:r>
      <w:r>
        <w:rPr>
          <w:rFonts w:ascii="Times New Roman" w:hAnsi="Times New Roman"/>
          <w:sz w:val="20"/>
          <w:szCs w:val="20"/>
        </w:rPr>
        <w:t xml:space="preserve"> </w:t>
      </w:r>
      <w:r w:rsidR="009546F4" w:rsidRPr="004334B2">
        <w:rPr>
          <w:rFonts w:ascii="Times New Roman" w:hAnsi="Times New Roman"/>
          <w:sz w:val="20"/>
          <w:szCs w:val="20"/>
        </w:rPr>
        <w:t>These parameter proposals a</w:t>
      </w:r>
      <w:r w:rsidRPr="004334B2">
        <w:rPr>
          <w:rFonts w:ascii="Times New Roman" w:hAnsi="Times New Roman"/>
          <w:sz w:val="20"/>
          <w:szCs w:val="20"/>
        </w:rPr>
        <w:t xml:space="preserve">re based on </w:t>
      </w:r>
      <w:r w:rsidR="00600B8D" w:rsidRPr="004334B2">
        <w:rPr>
          <w:rFonts w:ascii="Times New Roman" w:hAnsi="Times New Roman"/>
          <w:sz w:val="20"/>
          <w:szCs w:val="20"/>
        </w:rPr>
        <w:t>numerical simulation</w:t>
      </w:r>
      <w:r w:rsidR="00336E9C" w:rsidRPr="004334B2">
        <w:rPr>
          <w:rFonts w:ascii="Times New Roman" w:hAnsi="Times New Roman"/>
          <w:sz w:val="20"/>
          <w:szCs w:val="20"/>
        </w:rPr>
        <w:t xml:space="preserve"> studies with hand and human blockers</w:t>
      </w:r>
      <w:r w:rsidR="00B71C28" w:rsidRPr="004334B2">
        <w:rPr>
          <w:rFonts w:ascii="Times New Roman" w:hAnsi="Times New Roman"/>
          <w:sz w:val="20"/>
          <w:szCs w:val="20"/>
        </w:rPr>
        <w:t xml:space="preserve"> that captured spatial/</w:t>
      </w:r>
      <w:r w:rsidR="00600B8D" w:rsidRPr="004334B2">
        <w:rPr>
          <w:rFonts w:ascii="Times New Roman" w:hAnsi="Times New Roman"/>
          <w:sz w:val="20"/>
          <w:szCs w:val="20"/>
        </w:rPr>
        <w:t xml:space="preserve">angular blockage and accounted for a significant </w:t>
      </w:r>
      <w:r w:rsidRPr="004334B2">
        <w:rPr>
          <w:rFonts w:ascii="Times New Roman" w:hAnsi="Times New Roman"/>
          <w:sz w:val="20"/>
          <w:szCs w:val="20"/>
        </w:rPr>
        <w:t>fraction of total angular blockage by the top few blockers</w:t>
      </w:r>
      <w:r w:rsidR="00D52BC5">
        <w:rPr>
          <w:rFonts w:ascii="Times New Roman" w:hAnsi="Times New Roman"/>
          <w:sz w:val="20"/>
          <w:szCs w:val="20"/>
        </w:rPr>
        <w:t xml:space="preserve">. </w:t>
      </w:r>
      <w:r w:rsidR="00BB1426" w:rsidRPr="004334B2">
        <w:rPr>
          <w:rFonts w:ascii="Times New Roman" w:hAnsi="Times New Roman"/>
          <w:sz w:val="20"/>
          <w:szCs w:val="20"/>
        </w:rPr>
        <w:t xml:space="preserve"> </w:t>
      </w:r>
    </w:p>
    <w:p w14:paraId="6FE09C99" w14:textId="433C207F" w:rsidR="009F64F0" w:rsidRDefault="00600B8D" w:rsidP="009F64F0">
      <w:pPr>
        <w:pStyle w:val="ListParagraph"/>
        <w:numPr>
          <w:ilvl w:val="0"/>
          <w:numId w:val="4"/>
        </w:numPr>
        <w:jc w:val="both"/>
        <w:rPr>
          <w:rFonts w:ascii="Times New Roman" w:hAnsi="Times New Roman"/>
          <w:sz w:val="20"/>
          <w:szCs w:val="20"/>
        </w:rPr>
      </w:pPr>
      <w:r>
        <w:rPr>
          <w:rFonts w:ascii="Times New Roman" w:hAnsi="Times New Roman"/>
          <w:sz w:val="20"/>
          <w:szCs w:val="20"/>
        </w:rPr>
        <w:t>While the simulation studies</w:t>
      </w:r>
      <w:r w:rsidR="00B71C28">
        <w:rPr>
          <w:rFonts w:ascii="Times New Roman" w:hAnsi="Times New Roman"/>
          <w:sz w:val="20"/>
          <w:szCs w:val="20"/>
        </w:rPr>
        <w:t xml:space="preserve"> </w:t>
      </w:r>
      <w:r w:rsidR="002C2DF6">
        <w:rPr>
          <w:rFonts w:ascii="Times New Roman" w:hAnsi="Times New Roman"/>
          <w:sz w:val="20"/>
          <w:szCs w:val="20"/>
        </w:rPr>
        <w:t>in [4</w:t>
      </w:r>
      <w:r w:rsidR="00B71C28">
        <w:rPr>
          <w:rFonts w:ascii="Times New Roman" w:hAnsi="Times New Roman"/>
          <w:sz w:val="20"/>
          <w:szCs w:val="20"/>
        </w:rPr>
        <w:t>]</w:t>
      </w:r>
      <w:r>
        <w:rPr>
          <w:rFonts w:ascii="Times New Roman" w:hAnsi="Times New Roman"/>
          <w:sz w:val="20"/>
          <w:szCs w:val="20"/>
        </w:rPr>
        <w:t xml:space="preserve"> considered human blockers in an InH setting, they can be readily </w:t>
      </w:r>
      <w:r w:rsidR="0001056F">
        <w:rPr>
          <w:rFonts w:ascii="Times New Roman" w:hAnsi="Times New Roman"/>
          <w:sz w:val="20"/>
          <w:szCs w:val="20"/>
        </w:rPr>
        <w:t xml:space="preserve">re-simulated to capture human, vehicular or </w:t>
      </w:r>
      <w:r w:rsidR="009F27D4">
        <w:rPr>
          <w:rFonts w:ascii="Times New Roman" w:hAnsi="Times New Roman"/>
          <w:sz w:val="20"/>
          <w:szCs w:val="20"/>
        </w:rPr>
        <w:t xml:space="preserve">building blockages in an UMa, </w:t>
      </w:r>
      <w:r w:rsidR="0001056F">
        <w:rPr>
          <w:rFonts w:ascii="Times New Roman" w:hAnsi="Times New Roman"/>
          <w:sz w:val="20"/>
          <w:szCs w:val="20"/>
        </w:rPr>
        <w:t xml:space="preserve">UMi </w:t>
      </w:r>
      <w:r w:rsidR="006B5245">
        <w:rPr>
          <w:rFonts w:ascii="Times New Roman" w:hAnsi="Times New Roman"/>
          <w:sz w:val="20"/>
          <w:szCs w:val="20"/>
        </w:rPr>
        <w:t xml:space="preserve">or RMa </w:t>
      </w:r>
      <w:r w:rsidR="0001056F">
        <w:rPr>
          <w:rFonts w:ascii="Times New Roman" w:hAnsi="Times New Roman"/>
          <w:sz w:val="20"/>
          <w:szCs w:val="20"/>
        </w:rPr>
        <w:t xml:space="preserve">setting. </w:t>
      </w:r>
      <w:r w:rsidR="004425CD">
        <w:rPr>
          <w:rFonts w:ascii="Times New Roman" w:hAnsi="Times New Roman"/>
          <w:sz w:val="20"/>
          <w:szCs w:val="20"/>
        </w:rPr>
        <w:t xml:space="preserve">Extensions of the proposed approach to UMa, UMi </w:t>
      </w:r>
      <w:r w:rsidR="006B5245">
        <w:rPr>
          <w:rFonts w:ascii="Times New Roman" w:hAnsi="Times New Roman"/>
          <w:sz w:val="20"/>
          <w:szCs w:val="20"/>
        </w:rPr>
        <w:t>or RMa settings are</w:t>
      </w:r>
      <w:r w:rsidR="004425CD">
        <w:rPr>
          <w:rFonts w:ascii="Times New Roman" w:hAnsi="Times New Roman"/>
          <w:sz w:val="20"/>
          <w:szCs w:val="20"/>
        </w:rPr>
        <w:t xml:space="preserve"> straightforward and follows alon</w:t>
      </w:r>
      <w:r w:rsidR="002C2DF6">
        <w:rPr>
          <w:rFonts w:ascii="Times New Roman" w:hAnsi="Times New Roman"/>
          <w:sz w:val="20"/>
          <w:szCs w:val="20"/>
        </w:rPr>
        <w:t>g the same lines as listed in [4</w:t>
      </w:r>
      <w:r w:rsidR="004425CD">
        <w:rPr>
          <w:rFonts w:ascii="Times New Roman" w:hAnsi="Times New Roman"/>
          <w:sz w:val="20"/>
          <w:szCs w:val="20"/>
        </w:rPr>
        <w:t xml:space="preserve">]. </w:t>
      </w:r>
      <w:r w:rsidR="006B5245">
        <w:rPr>
          <w:rFonts w:ascii="Times New Roman" w:hAnsi="Times New Roman"/>
          <w:sz w:val="20"/>
          <w:szCs w:val="20"/>
        </w:rPr>
        <w:t xml:space="preserve">Depending on the scenario considered, this extension will result in newer tables of comparable complexity and similar metrics that can be reused with only minor modifications to the channel model simulator. </w:t>
      </w:r>
    </w:p>
    <w:p w14:paraId="238B49CA" w14:textId="22603E43" w:rsidR="0001056F" w:rsidRDefault="0001176B" w:rsidP="009F64F0">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The very nature of the stochastic approach makes the channel model simulator comparably simpler (than the geometric approach) and of similar or lower complexity as other steps in the channel model generation procedure. </w:t>
      </w:r>
      <w:r w:rsidR="00D52BC5">
        <w:rPr>
          <w:rFonts w:ascii="Times New Roman" w:hAnsi="Times New Roman"/>
          <w:sz w:val="20"/>
          <w:szCs w:val="20"/>
        </w:rPr>
        <w:t>For example, f</w:t>
      </w:r>
      <w:r w:rsidR="00D52BC5" w:rsidRPr="004334B2">
        <w:rPr>
          <w:rFonts w:ascii="Times New Roman" w:hAnsi="Times New Roman"/>
          <w:sz w:val="20"/>
          <w:szCs w:val="20"/>
        </w:rPr>
        <w:t xml:space="preserve">or the loss due to blocking with the hand, </w:t>
      </w:r>
      <w:r w:rsidR="00D52BC5">
        <w:rPr>
          <w:rFonts w:ascii="Times New Roman" w:hAnsi="Times New Roman"/>
          <w:sz w:val="20"/>
          <w:szCs w:val="20"/>
        </w:rPr>
        <w:t>an EM model as explained in [7</w:t>
      </w:r>
      <w:r w:rsidR="00D52BC5" w:rsidRPr="004334B2">
        <w:rPr>
          <w:rFonts w:ascii="Times New Roman" w:hAnsi="Times New Roman"/>
          <w:sz w:val="20"/>
          <w:szCs w:val="20"/>
        </w:rPr>
        <w:t xml:space="preserve">] is used. For the loss due to human blockers, a knife-edge model as in </w:t>
      </w:r>
      <w:r w:rsidR="00D52BC5">
        <w:rPr>
          <w:rFonts w:ascii="Times New Roman" w:hAnsi="Times New Roman"/>
          <w:sz w:val="20"/>
          <w:szCs w:val="20"/>
        </w:rPr>
        <w:t>[8</w:t>
      </w:r>
      <w:r w:rsidR="00D52BC5" w:rsidRPr="004334B2">
        <w:rPr>
          <w:rFonts w:ascii="Times New Roman" w:hAnsi="Times New Roman"/>
          <w:sz w:val="20"/>
          <w:szCs w:val="20"/>
        </w:rPr>
        <w:t>] is used and a statistical model developed for a good parametric fit. Such an approach simplifies modeling and yet faithfully captures all the features that a geometric approach would capture</w:t>
      </w:r>
      <w:r w:rsidR="00D52BC5">
        <w:rPr>
          <w:rFonts w:ascii="Times New Roman" w:hAnsi="Times New Roman"/>
          <w:sz w:val="20"/>
          <w:szCs w:val="20"/>
        </w:rPr>
        <w:t>, but with considerable complexity</w:t>
      </w:r>
      <w:r w:rsidR="00D52BC5" w:rsidRPr="004334B2">
        <w:rPr>
          <w:rFonts w:ascii="Times New Roman" w:hAnsi="Times New Roman"/>
          <w:sz w:val="20"/>
          <w:szCs w:val="20"/>
        </w:rPr>
        <w:t xml:space="preserve">.  </w:t>
      </w:r>
    </w:p>
    <w:p w14:paraId="4F8ADC0A" w14:textId="3F677E12" w:rsidR="009435AE" w:rsidRPr="00590F50" w:rsidRDefault="00CB4EF9" w:rsidP="009435AE">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The parameters </w:t>
      </w:r>
      <w:r w:rsidR="00CD01ED">
        <w:rPr>
          <w:rFonts w:ascii="Times New Roman" w:hAnsi="Times New Roman"/>
          <w:sz w:val="20"/>
          <w:szCs w:val="20"/>
        </w:rPr>
        <w:t xml:space="preserve">generated </w:t>
      </w:r>
      <w:r>
        <w:rPr>
          <w:rFonts w:ascii="Times New Roman" w:hAnsi="Times New Roman"/>
          <w:sz w:val="20"/>
          <w:szCs w:val="20"/>
        </w:rPr>
        <w:t>from the stochastic approach can be</w:t>
      </w:r>
      <w:r w:rsidR="00CD01ED">
        <w:rPr>
          <w:rFonts w:ascii="Times New Roman" w:hAnsi="Times New Roman"/>
          <w:sz w:val="20"/>
          <w:szCs w:val="20"/>
        </w:rPr>
        <w:t xml:space="preserve"> used for initialization and</w:t>
      </w:r>
      <w:r>
        <w:rPr>
          <w:rFonts w:ascii="Times New Roman" w:hAnsi="Times New Roman"/>
          <w:sz w:val="20"/>
          <w:szCs w:val="20"/>
        </w:rPr>
        <w:t xml:space="preserve"> made spatially consistent and </w:t>
      </w:r>
      <w:r w:rsidR="004425CD">
        <w:rPr>
          <w:rFonts w:ascii="Times New Roman" w:hAnsi="Times New Roman"/>
          <w:sz w:val="20"/>
          <w:szCs w:val="20"/>
        </w:rPr>
        <w:t>in line with other spatially consistent features proposed in TR3</w:t>
      </w:r>
      <w:r w:rsidR="00F04070">
        <w:rPr>
          <w:rFonts w:ascii="Times New Roman" w:hAnsi="Times New Roman"/>
          <w:sz w:val="20"/>
          <w:szCs w:val="20"/>
        </w:rPr>
        <w:t>8.900</w:t>
      </w:r>
      <w:r w:rsidR="00B02FBA">
        <w:rPr>
          <w:rFonts w:ascii="Times New Roman" w:hAnsi="Times New Roman"/>
          <w:sz w:val="20"/>
          <w:szCs w:val="20"/>
        </w:rPr>
        <w:t>,</w:t>
      </w:r>
      <w:r w:rsidR="00F04070">
        <w:rPr>
          <w:rFonts w:ascii="Times New Roman" w:hAnsi="Times New Roman"/>
          <w:sz w:val="20"/>
          <w:szCs w:val="20"/>
        </w:rPr>
        <w:t xml:space="preserve"> without any additional complexity. </w:t>
      </w:r>
      <w:r w:rsidR="004425CD">
        <w:rPr>
          <w:rFonts w:ascii="Times New Roman" w:hAnsi="Times New Roman"/>
          <w:sz w:val="20"/>
          <w:szCs w:val="20"/>
        </w:rPr>
        <w:t xml:space="preserve"> </w:t>
      </w:r>
      <w:r w:rsidR="009904DC">
        <w:t xml:space="preserve"> </w:t>
      </w:r>
    </w:p>
    <w:p w14:paraId="2D04DB43" w14:textId="74B76FEA" w:rsidR="00DE178A" w:rsidRPr="000E071D" w:rsidRDefault="00DE178A" w:rsidP="00DE178A">
      <w:pPr>
        <w:pStyle w:val="Heading1"/>
        <w:tabs>
          <w:tab w:val="clear" w:pos="567"/>
          <w:tab w:val="num" w:pos="432"/>
        </w:tabs>
        <w:ind w:left="432" w:hanging="432"/>
      </w:pPr>
      <w:r w:rsidRPr="000E071D">
        <w:t>References</w:t>
      </w:r>
    </w:p>
    <w:p w14:paraId="4DF0FAA3" w14:textId="3987747D" w:rsidR="00252227" w:rsidRDefault="00C14957" w:rsidP="00252227">
      <w:pPr>
        <w:numPr>
          <w:ilvl w:val="0"/>
          <w:numId w:val="3"/>
        </w:numPr>
        <w:tabs>
          <w:tab w:val="clear" w:pos="3271"/>
        </w:tabs>
        <w:ind w:left="900" w:hanging="600"/>
      </w:pPr>
      <w:bookmarkStart w:id="3" w:name="_Ref371105245"/>
      <w:r>
        <w:t>3GPP, RP-152212, Samsung, “Report of RAN email discussion about &gt;6 GHz channel modeling,” Dec. 2015.</w:t>
      </w:r>
      <w:bookmarkEnd w:id="3"/>
    </w:p>
    <w:p w14:paraId="6CE4F944" w14:textId="77777777" w:rsidR="00AC40A7" w:rsidRDefault="00886E55" w:rsidP="00AC40A7">
      <w:pPr>
        <w:numPr>
          <w:ilvl w:val="0"/>
          <w:numId w:val="3"/>
        </w:numPr>
        <w:tabs>
          <w:tab w:val="clear" w:pos="3271"/>
        </w:tabs>
        <w:ind w:left="900" w:hanging="600"/>
      </w:pPr>
      <w:r>
        <w:t xml:space="preserve">3GPP, </w:t>
      </w:r>
      <w:r w:rsidRPr="00CB259B">
        <w:t>R1-161150</w:t>
      </w:r>
      <w:r>
        <w:t>, Samsung, “WF on channel modeling m</w:t>
      </w:r>
      <w:r w:rsidRPr="00CB259B">
        <w:t>ethodology</w:t>
      </w:r>
      <w:r>
        <w:t>,” St. Julian’s, Malta, Feb. 2016.</w:t>
      </w:r>
      <w:bookmarkStart w:id="4" w:name="_Ref447204869"/>
    </w:p>
    <w:p w14:paraId="51B8BF0B" w14:textId="0A86BA54" w:rsidR="00AC40A7" w:rsidRDefault="00AC40A7" w:rsidP="00AC40A7">
      <w:pPr>
        <w:numPr>
          <w:ilvl w:val="0"/>
          <w:numId w:val="3"/>
        </w:numPr>
        <w:tabs>
          <w:tab w:val="clear" w:pos="3271"/>
        </w:tabs>
        <w:ind w:left="900" w:hanging="600"/>
      </w:pPr>
      <w:r w:rsidRPr="00AC40A7">
        <w:rPr>
          <w:szCs w:val="20"/>
          <w:lang w:val="it-IT"/>
        </w:rPr>
        <w:t xml:space="preserve">3GPP R1-161739, </w:t>
      </w:r>
      <w:r w:rsidR="00424D15" w:rsidRPr="00AC40A7">
        <w:rPr>
          <w:szCs w:val="20"/>
          <w:lang w:val="it-IT"/>
        </w:rPr>
        <w:t>Qualcomm, Intel, Interdigital, Nokia, ALU, ASB, Ericsson</w:t>
      </w:r>
      <w:r w:rsidR="00424D15">
        <w:rPr>
          <w:szCs w:val="20"/>
          <w:lang w:val="it-IT"/>
        </w:rPr>
        <w:t xml:space="preserve">, </w:t>
      </w:r>
      <w:r w:rsidRPr="00AC40A7">
        <w:rPr>
          <w:szCs w:val="20"/>
          <w:lang w:val="it-IT"/>
        </w:rPr>
        <w:t xml:space="preserve">“WF on </w:t>
      </w:r>
      <w:r>
        <w:rPr>
          <w:szCs w:val="20"/>
          <w:lang w:val="it-IT"/>
        </w:rPr>
        <w:t>d</w:t>
      </w:r>
      <w:r w:rsidRPr="00AC40A7">
        <w:rPr>
          <w:szCs w:val="20"/>
          <w:lang w:val="it-IT"/>
        </w:rPr>
        <w:t xml:space="preserve">ynamic blockage”, </w:t>
      </w:r>
      <w:r w:rsidRPr="0031452F">
        <w:rPr>
          <w:lang w:eastAsia="ja-JP"/>
        </w:rPr>
        <w:t>Ljubljana, Slovenia,</w:t>
      </w:r>
      <w:r>
        <w:rPr>
          <w:lang w:eastAsia="ja-JP"/>
        </w:rPr>
        <w:t xml:space="preserve"> </w:t>
      </w:r>
      <w:r>
        <w:rPr>
          <w:szCs w:val="20"/>
          <w:lang w:val="it-IT"/>
        </w:rPr>
        <w:t>Mar.</w:t>
      </w:r>
      <w:r w:rsidRPr="00AC40A7">
        <w:rPr>
          <w:szCs w:val="20"/>
          <w:lang w:val="it-IT"/>
        </w:rPr>
        <w:t xml:space="preserve"> 2016.</w:t>
      </w:r>
      <w:bookmarkEnd w:id="4"/>
    </w:p>
    <w:p w14:paraId="522D9677" w14:textId="77777777" w:rsidR="00EC416E" w:rsidRDefault="007100E6" w:rsidP="007100E6">
      <w:pPr>
        <w:numPr>
          <w:ilvl w:val="0"/>
          <w:numId w:val="3"/>
        </w:numPr>
        <w:tabs>
          <w:tab w:val="clear" w:pos="3271"/>
        </w:tabs>
        <w:ind w:left="900" w:hanging="600"/>
      </w:pPr>
      <w:r>
        <w:t>3GPP, R1-162234, Qualcomm, “TP on dynamic blockage modeling,” Busan, South Korea, Apr. 2016.</w:t>
      </w:r>
    </w:p>
    <w:p w14:paraId="12F1459E" w14:textId="306BF955" w:rsidR="00C459E7" w:rsidRPr="001679F6" w:rsidRDefault="00EC416E" w:rsidP="007100E6">
      <w:pPr>
        <w:numPr>
          <w:ilvl w:val="0"/>
          <w:numId w:val="3"/>
        </w:numPr>
        <w:tabs>
          <w:tab w:val="clear" w:pos="3271"/>
        </w:tabs>
        <w:ind w:left="900" w:hanging="600"/>
      </w:pPr>
      <w:r>
        <w:t xml:space="preserve">3GPP, </w:t>
      </w:r>
      <w:r w:rsidRPr="00763E49">
        <w:rPr>
          <w:rFonts w:eastAsia="MS Mincho"/>
        </w:rPr>
        <w:t>R1-163247</w:t>
      </w:r>
      <w:r>
        <w:rPr>
          <w:rFonts w:eastAsia="MS Mincho"/>
        </w:rPr>
        <w:t>, Ericsson, “</w:t>
      </w:r>
      <w:r w:rsidR="00AC40A7">
        <w:rPr>
          <w:rFonts w:eastAsia="MS Mincho"/>
        </w:rPr>
        <w:t xml:space="preserve">Further considerations on blockage modeling,” Busan, South Korea, Apr. 2016. </w:t>
      </w:r>
    </w:p>
    <w:p w14:paraId="67259458" w14:textId="3C6B34FD" w:rsidR="001679F6" w:rsidRPr="005839B8" w:rsidRDefault="001679F6" w:rsidP="007100E6">
      <w:pPr>
        <w:numPr>
          <w:ilvl w:val="0"/>
          <w:numId w:val="3"/>
        </w:numPr>
        <w:tabs>
          <w:tab w:val="clear" w:pos="3271"/>
        </w:tabs>
        <w:ind w:left="900" w:hanging="600"/>
      </w:pPr>
      <w:r>
        <w:rPr>
          <w:rFonts w:eastAsia="MS Mincho"/>
        </w:rPr>
        <w:t xml:space="preserve">3GPP, R1-163473, </w:t>
      </w:r>
      <w:r w:rsidR="00424D15">
        <w:rPr>
          <w:rFonts w:eastAsia="MS Mincho"/>
        </w:rPr>
        <w:t>Qualcomm, Intel, Interdigital, Samsung, Nokia, Shanghai Bell, Ericsson, “WF on dynamic blockage,</w:t>
      </w:r>
      <w:r w:rsidR="00CA6A79">
        <w:rPr>
          <w:rFonts w:eastAsia="MS Mincho"/>
        </w:rPr>
        <w:t>”</w:t>
      </w:r>
      <w:r w:rsidR="00424D15">
        <w:rPr>
          <w:rFonts w:eastAsia="MS Mincho"/>
        </w:rPr>
        <w:t xml:space="preserve"> Busan, South Korea, Apr. 2016. </w:t>
      </w:r>
    </w:p>
    <w:p w14:paraId="555E9D01" w14:textId="31BB1DA5" w:rsidR="00616E83" w:rsidRDefault="00616E83" w:rsidP="00616E83">
      <w:pPr>
        <w:numPr>
          <w:ilvl w:val="0"/>
          <w:numId w:val="3"/>
        </w:numPr>
        <w:tabs>
          <w:tab w:val="clear" w:pos="3271"/>
        </w:tabs>
        <w:ind w:left="900" w:hanging="600"/>
      </w:pPr>
      <w:r>
        <w:t>3GPP, R1-161667, Qualcomm, “</w:t>
      </w:r>
      <w:r>
        <w:rPr>
          <w:rFonts w:eastAsia="Batang"/>
          <w:lang w:eastAsia="zh-CN"/>
        </w:rPr>
        <w:t>Human and hand blockage m</w:t>
      </w:r>
      <w:r w:rsidRPr="00134925">
        <w:rPr>
          <w:rFonts w:eastAsia="Batang"/>
          <w:lang w:eastAsia="zh-CN"/>
        </w:rPr>
        <w:t>odeling for &gt;6GHz bands</w:t>
      </w:r>
      <w:r>
        <w:rPr>
          <w:rFonts w:eastAsia="Batang"/>
          <w:lang w:eastAsia="zh-CN"/>
        </w:rPr>
        <w:t xml:space="preserve">,” </w:t>
      </w:r>
      <w:r w:rsidRPr="0031452F">
        <w:rPr>
          <w:lang w:eastAsia="ja-JP"/>
        </w:rPr>
        <w:t>Ljubljana, Slovenia,</w:t>
      </w:r>
      <w:r>
        <w:rPr>
          <w:lang w:eastAsia="ja-JP"/>
        </w:rPr>
        <w:t xml:space="preserve"> Mar. 2016. </w:t>
      </w:r>
    </w:p>
    <w:p w14:paraId="4E27329C" w14:textId="29BA011D" w:rsidR="005839B8" w:rsidRPr="00701AB1" w:rsidRDefault="005839B8" w:rsidP="00616E83">
      <w:pPr>
        <w:numPr>
          <w:ilvl w:val="0"/>
          <w:numId w:val="3"/>
        </w:numPr>
        <w:tabs>
          <w:tab w:val="clear" w:pos="3271"/>
        </w:tabs>
        <w:ind w:left="900" w:hanging="600"/>
      </w:pPr>
      <w:r>
        <w:rPr>
          <w:lang w:eastAsia="ja-JP"/>
        </w:rPr>
        <w:t xml:space="preserve">3GPP, </w:t>
      </w:r>
      <w:r w:rsidRPr="0031452F">
        <w:rPr>
          <w:lang w:eastAsia="ja-JP"/>
        </w:rPr>
        <w:t>R1-161636, NTT DOCOMO, AT&amp;T, CMCC, Ericsson, Huawei, HiSilicon, Intel, KT Corporation, Nokia Networks, Qualcomm, Samsung,“</w:t>
      </w:r>
      <w:r w:rsidRPr="0031452F">
        <w:t xml:space="preserve"> </w:t>
      </w:r>
      <w:r w:rsidR="00E51DBD">
        <w:rPr>
          <w:lang w:eastAsia="ja-JP"/>
        </w:rPr>
        <w:t>Updated white paper on channel modelling for b</w:t>
      </w:r>
      <w:r w:rsidRPr="0031452F">
        <w:rPr>
          <w:lang w:eastAsia="ja-JP"/>
        </w:rPr>
        <w:t>ands up to 100 GHz”, Lju</w:t>
      </w:r>
      <w:r>
        <w:rPr>
          <w:lang w:eastAsia="ja-JP"/>
        </w:rPr>
        <w:t>bljana, Slovenia, Mar.</w:t>
      </w:r>
      <w:r w:rsidRPr="0031452F">
        <w:rPr>
          <w:lang w:eastAsia="ja-JP"/>
        </w:rPr>
        <w:t xml:space="preserve"> 2016</w:t>
      </w:r>
      <w:r w:rsidR="00B47E8D">
        <w:rPr>
          <w:lang w:eastAsia="ja-JP"/>
        </w:rPr>
        <w:t xml:space="preserve">. </w:t>
      </w:r>
    </w:p>
    <w:sectPr w:rsidR="005839B8"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3958C" w14:textId="77777777" w:rsidR="00C146D5" w:rsidRDefault="00C146D5">
      <w:r>
        <w:separator/>
      </w:r>
    </w:p>
  </w:endnote>
  <w:endnote w:type="continuationSeparator" w:id="0">
    <w:p w14:paraId="4651C185" w14:textId="77777777" w:rsidR="00C146D5" w:rsidRDefault="00C1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6609F" w14:textId="77777777" w:rsidR="00C146D5" w:rsidRDefault="00C146D5">
      <w:r>
        <w:separator/>
      </w:r>
    </w:p>
  </w:footnote>
  <w:footnote w:type="continuationSeparator" w:id="0">
    <w:p w14:paraId="38BE7DEA" w14:textId="77777777" w:rsidR="00C146D5" w:rsidRDefault="00C146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4BF"/>
    <w:rsid w:val="00010509"/>
    <w:rsid w:val="0001056F"/>
    <w:rsid w:val="00011612"/>
    <w:rsid w:val="00011650"/>
    <w:rsid w:val="0001176B"/>
    <w:rsid w:val="00011AF9"/>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3027"/>
    <w:rsid w:val="00074CB0"/>
    <w:rsid w:val="0007686A"/>
    <w:rsid w:val="0008025E"/>
    <w:rsid w:val="000812A3"/>
    <w:rsid w:val="00083655"/>
    <w:rsid w:val="000847FC"/>
    <w:rsid w:val="000848C3"/>
    <w:rsid w:val="00084B86"/>
    <w:rsid w:val="00085799"/>
    <w:rsid w:val="00085CA9"/>
    <w:rsid w:val="000867DE"/>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3B85"/>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3D66"/>
    <w:rsid w:val="00114A04"/>
    <w:rsid w:val="001150BE"/>
    <w:rsid w:val="0011552F"/>
    <w:rsid w:val="00116D8E"/>
    <w:rsid w:val="00116F73"/>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34B2"/>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679F6"/>
    <w:rsid w:val="00170118"/>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5D41"/>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50F2"/>
    <w:rsid w:val="002963B4"/>
    <w:rsid w:val="00296411"/>
    <w:rsid w:val="0029670A"/>
    <w:rsid w:val="00297D08"/>
    <w:rsid w:val="00297D10"/>
    <w:rsid w:val="00297E1F"/>
    <w:rsid w:val="002A0A14"/>
    <w:rsid w:val="002A0EE3"/>
    <w:rsid w:val="002A129F"/>
    <w:rsid w:val="002A18BA"/>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D7A"/>
    <w:rsid w:val="002B225A"/>
    <w:rsid w:val="002B3C50"/>
    <w:rsid w:val="002B3C77"/>
    <w:rsid w:val="002B3E8F"/>
    <w:rsid w:val="002B3ECD"/>
    <w:rsid w:val="002B4482"/>
    <w:rsid w:val="002B44E3"/>
    <w:rsid w:val="002B4E7B"/>
    <w:rsid w:val="002B636C"/>
    <w:rsid w:val="002B680C"/>
    <w:rsid w:val="002B6ACB"/>
    <w:rsid w:val="002B6CF0"/>
    <w:rsid w:val="002B7068"/>
    <w:rsid w:val="002B7D9E"/>
    <w:rsid w:val="002C0BAE"/>
    <w:rsid w:val="002C0CB9"/>
    <w:rsid w:val="002C11AE"/>
    <w:rsid w:val="002C1FB9"/>
    <w:rsid w:val="002C2DF6"/>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5699"/>
    <w:rsid w:val="00316165"/>
    <w:rsid w:val="0031767F"/>
    <w:rsid w:val="003179BB"/>
    <w:rsid w:val="003204D9"/>
    <w:rsid w:val="00320CC0"/>
    <w:rsid w:val="003219E2"/>
    <w:rsid w:val="00321D0A"/>
    <w:rsid w:val="00321F7B"/>
    <w:rsid w:val="00322426"/>
    <w:rsid w:val="0032276C"/>
    <w:rsid w:val="00322F24"/>
    <w:rsid w:val="00322FFA"/>
    <w:rsid w:val="003248F1"/>
    <w:rsid w:val="00324BFF"/>
    <w:rsid w:val="00325DB9"/>
    <w:rsid w:val="003262DA"/>
    <w:rsid w:val="003270B6"/>
    <w:rsid w:val="003279BB"/>
    <w:rsid w:val="003307CA"/>
    <w:rsid w:val="00330EEE"/>
    <w:rsid w:val="0033115B"/>
    <w:rsid w:val="0033317D"/>
    <w:rsid w:val="00333ECF"/>
    <w:rsid w:val="003350A7"/>
    <w:rsid w:val="003354A2"/>
    <w:rsid w:val="003354F4"/>
    <w:rsid w:val="00335AA8"/>
    <w:rsid w:val="00335E24"/>
    <w:rsid w:val="00336E9C"/>
    <w:rsid w:val="00337A91"/>
    <w:rsid w:val="00340F95"/>
    <w:rsid w:val="00342E4D"/>
    <w:rsid w:val="003439A9"/>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65F4"/>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4D15"/>
    <w:rsid w:val="00425492"/>
    <w:rsid w:val="00425E3E"/>
    <w:rsid w:val="00426380"/>
    <w:rsid w:val="00427081"/>
    <w:rsid w:val="00427A7C"/>
    <w:rsid w:val="00427CFE"/>
    <w:rsid w:val="00427E3A"/>
    <w:rsid w:val="004317B6"/>
    <w:rsid w:val="00432BB4"/>
    <w:rsid w:val="004331DE"/>
    <w:rsid w:val="004334B1"/>
    <w:rsid w:val="004334B2"/>
    <w:rsid w:val="00434A32"/>
    <w:rsid w:val="004369AC"/>
    <w:rsid w:val="00437CE2"/>
    <w:rsid w:val="00440609"/>
    <w:rsid w:val="00440D01"/>
    <w:rsid w:val="004413DE"/>
    <w:rsid w:val="00441B13"/>
    <w:rsid w:val="00441C3B"/>
    <w:rsid w:val="004425CD"/>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41"/>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F50"/>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B9D"/>
    <w:rsid w:val="005B0BEE"/>
    <w:rsid w:val="005B2157"/>
    <w:rsid w:val="005B252D"/>
    <w:rsid w:val="005B254C"/>
    <w:rsid w:val="005B2BF0"/>
    <w:rsid w:val="005B4854"/>
    <w:rsid w:val="005B59EB"/>
    <w:rsid w:val="005B5CBB"/>
    <w:rsid w:val="005B5EAA"/>
    <w:rsid w:val="005B5F81"/>
    <w:rsid w:val="005B7A4C"/>
    <w:rsid w:val="005C20F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3886"/>
    <w:rsid w:val="005F45D0"/>
    <w:rsid w:val="005F5648"/>
    <w:rsid w:val="005F5663"/>
    <w:rsid w:val="005F56B3"/>
    <w:rsid w:val="005F587B"/>
    <w:rsid w:val="005F5D71"/>
    <w:rsid w:val="005F5E53"/>
    <w:rsid w:val="005F68AE"/>
    <w:rsid w:val="005F6EE1"/>
    <w:rsid w:val="005F782A"/>
    <w:rsid w:val="005F7C61"/>
    <w:rsid w:val="00600478"/>
    <w:rsid w:val="00600B8D"/>
    <w:rsid w:val="006013BD"/>
    <w:rsid w:val="00602B13"/>
    <w:rsid w:val="00603F1B"/>
    <w:rsid w:val="00604435"/>
    <w:rsid w:val="00604BB1"/>
    <w:rsid w:val="00604ED4"/>
    <w:rsid w:val="00606114"/>
    <w:rsid w:val="00606518"/>
    <w:rsid w:val="006068D1"/>
    <w:rsid w:val="0060705E"/>
    <w:rsid w:val="00607EEA"/>
    <w:rsid w:val="0061015B"/>
    <w:rsid w:val="0061031D"/>
    <w:rsid w:val="00610BB6"/>
    <w:rsid w:val="0061152E"/>
    <w:rsid w:val="00611670"/>
    <w:rsid w:val="00611950"/>
    <w:rsid w:val="00612A8C"/>
    <w:rsid w:val="00612B7C"/>
    <w:rsid w:val="00613780"/>
    <w:rsid w:val="00613A96"/>
    <w:rsid w:val="00614B99"/>
    <w:rsid w:val="00614E6E"/>
    <w:rsid w:val="006151E8"/>
    <w:rsid w:val="0061554F"/>
    <w:rsid w:val="00616701"/>
    <w:rsid w:val="00616E83"/>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5689"/>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59B2"/>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1B22"/>
    <w:rsid w:val="006F2691"/>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3E49"/>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A7A81"/>
    <w:rsid w:val="007B0679"/>
    <w:rsid w:val="007B14B7"/>
    <w:rsid w:val="007B18D2"/>
    <w:rsid w:val="007B28FF"/>
    <w:rsid w:val="007B3165"/>
    <w:rsid w:val="007B394E"/>
    <w:rsid w:val="007B47C5"/>
    <w:rsid w:val="007B51B6"/>
    <w:rsid w:val="007B61C4"/>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9F5"/>
    <w:rsid w:val="007E1B62"/>
    <w:rsid w:val="007E2693"/>
    <w:rsid w:val="007E4415"/>
    <w:rsid w:val="007E44A1"/>
    <w:rsid w:val="007E537F"/>
    <w:rsid w:val="007E5BD7"/>
    <w:rsid w:val="007E6B61"/>
    <w:rsid w:val="007E700E"/>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3831"/>
    <w:rsid w:val="00805710"/>
    <w:rsid w:val="008073DE"/>
    <w:rsid w:val="00810516"/>
    <w:rsid w:val="00810B4C"/>
    <w:rsid w:val="008116D0"/>
    <w:rsid w:val="00811801"/>
    <w:rsid w:val="008124D8"/>
    <w:rsid w:val="00813B63"/>
    <w:rsid w:val="008142FA"/>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42E"/>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47F53"/>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6E55"/>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1F7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4AF4"/>
    <w:rsid w:val="008C5166"/>
    <w:rsid w:val="008C52D9"/>
    <w:rsid w:val="008C57B9"/>
    <w:rsid w:val="008C6C11"/>
    <w:rsid w:val="008C6EF6"/>
    <w:rsid w:val="008C6FCE"/>
    <w:rsid w:val="008C7A01"/>
    <w:rsid w:val="008D080A"/>
    <w:rsid w:val="008D1214"/>
    <w:rsid w:val="008D33A9"/>
    <w:rsid w:val="008D38A2"/>
    <w:rsid w:val="008D3CC4"/>
    <w:rsid w:val="008D3CD6"/>
    <w:rsid w:val="008D4792"/>
    <w:rsid w:val="008D6279"/>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1CEE"/>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522D"/>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845"/>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00B"/>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AC0"/>
    <w:rsid w:val="00AB5E08"/>
    <w:rsid w:val="00AB6624"/>
    <w:rsid w:val="00AB6692"/>
    <w:rsid w:val="00AC0D0B"/>
    <w:rsid w:val="00AC1EEE"/>
    <w:rsid w:val="00AC3710"/>
    <w:rsid w:val="00AC3E14"/>
    <w:rsid w:val="00AC40A7"/>
    <w:rsid w:val="00AC5291"/>
    <w:rsid w:val="00AC59A3"/>
    <w:rsid w:val="00AC70A2"/>
    <w:rsid w:val="00AC70E8"/>
    <w:rsid w:val="00AC77E5"/>
    <w:rsid w:val="00AC79DF"/>
    <w:rsid w:val="00AD0AE2"/>
    <w:rsid w:val="00AD0DAE"/>
    <w:rsid w:val="00AD184E"/>
    <w:rsid w:val="00AD1DA9"/>
    <w:rsid w:val="00AD39FD"/>
    <w:rsid w:val="00AD517A"/>
    <w:rsid w:val="00AD52B3"/>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2FBA"/>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49"/>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C28"/>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426"/>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C6F5C"/>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362"/>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6051"/>
    <w:rsid w:val="00C071FD"/>
    <w:rsid w:val="00C074B8"/>
    <w:rsid w:val="00C10907"/>
    <w:rsid w:val="00C12266"/>
    <w:rsid w:val="00C130B2"/>
    <w:rsid w:val="00C13AEC"/>
    <w:rsid w:val="00C13E9F"/>
    <w:rsid w:val="00C146D5"/>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70BF"/>
    <w:rsid w:val="00C47250"/>
    <w:rsid w:val="00C47982"/>
    <w:rsid w:val="00C51887"/>
    <w:rsid w:val="00C52F9B"/>
    <w:rsid w:val="00C559AD"/>
    <w:rsid w:val="00C5630A"/>
    <w:rsid w:val="00C567F6"/>
    <w:rsid w:val="00C56B53"/>
    <w:rsid w:val="00C56E94"/>
    <w:rsid w:val="00C56F33"/>
    <w:rsid w:val="00C60FA5"/>
    <w:rsid w:val="00C618E0"/>
    <w:rsid w:val="00C61BFF"/>
    <w:rsid w:val="00C622C0"/>
    <w:rsid w:val="00C624E4"/>
    <w:rsid w:val="00C627B9"/>
    <w:rsid w:val="00C645AA"/>
    <w:rsid w:val="00C64A12"/>
    <w:rsid w:val="00C64A3D"/>
    <w:rsid w:val="00C64A97"/>
    <w:rsid w:val="00C666D0"/>
    <w:rsid w:val="00C6677D"/>
    <w:rsid w:val="00C66CCA"/>
    <w:rsid w:val="00C66DA6"/>
    <w:rsid w:val="00C675EA"/>
    <w:rsid w:val="00C703FF"/>
    <w:rsid w:val="00C7078E"/>
    <w:rsid w:val="00C7205F"/>
    <w:rsid w:val="00C7369A"/>
    <w:rsid w:val="00C7386E"/>
    <w:rsid w:val="00C75406"/>
    <w:rsid w:val="00C75DF6"/>
    <w:rsid w:val="00C769F0"/>
    <w:rsid w:val="00C775B0"/>
    <w:rsid w:val="00C7770A"/>
    <w:rsid w:val="00C77E6C"/>
    <w:rsid w:val="00C8090D"/>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EF9"/>
    <w:rsid w:val="00CB5108"/>
    <w:rsid w:val="00CB56D8"/>
    <w:rsid w:val="00CB5E0B"/>
    <w:rsid w:val="00CB704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695F"/>
    <w:rsid w:val="00CC6A8A"/>
    <w:rsid w:val="00CC6AAC"/>
    <w:rsid w:val="00CC6B2E"/>
    <w:rsid w:val="00CD01ED"/>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44"/>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3F4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C21"/>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2BC5"/>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6E01"/>
    <w:rsid w:val="00DA70BC"/>
    <w:rsid w:val="00DB0C10"/>
    <w:rsid w:val="00DB0E48"/>
    <w:rsid w:val="00DB2068"/>
    <w:rsid w:val="00DB27EC"/>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BDF"/>
    <w:rsid w:val="00DF2EDD"/>
    <w:rsid w:val="00DF3005"/>
    <w:rsid w:val="00DF38A0"/>
    <w:rsid w:val="00DF5B13"/>
    <w:rsid w:val="00DF6267"/>
    <w:rsid w:val="00DF695D"/>
    <w:rsid w:val="00E004F4"/>
    <w:rsid w:val="00E004FA"/>
    <w:rsid w:val="00E012E4"/>
    <w:rsid w:val="00E0274E"/>
    <w:rsid w:val="00E05049"/>
    <w:rsid w:val="00E05590"/>
    <w:rsid w:val="00E06290"/>
    <w:rsid w:val="00E066E2"/>
    <w:rsid w:val="00E073DA"/>
    <w:rsid w:val="00E10D3E"/>
    <w:rsid w:val="00E1249B"/>
    <w:rsid w:val="00E12C31"/>
    <w:rsid w:val="00E13158"/>
    <w:rsid w:val="00E1316C"/>
    <w:rsid w:val="00E1339A"/>
    <w:rsid w:val="00E13543"/>
    <w:rsid w:val="00E144A9"/>
    <w:rsid w:val="00E14E3F"/>
    <w:rsid w:val="00E15BFB"/>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2B97"/>
    <w:rsid w:val="00E33585"/>
    <w:rsid w:val="00E33FDA"/>
    <w:rsid w:val="00E34008"/>
    <w:rsid w:val="00E340A5"/>
    <w:rsid w:val="00E3460A"/>
    <w:rsid w:val="00E3595E"/>
    <w:rsid w:val="00E35AF0"/>
    <w:rsid w:val="00E36B25"/>
    <w:rsid w:val="00E36BF6"/>
    <w:rsid w:val="00E3753B"/>
    <w:rsid w:val="00E407CA"/>
    <w:rsid w:val="00E41A53"/>
    <w:rsid w:val="00E41DF5"/>
    <w:rsid w:val="00E42507"/>
    <w:rsid w:val="00E42825"/>
    <w:rsid w:val="00E42C9D"/>
    <w:rsid w:val="00E4348A"/>
    <w:rsid w:val="00E444D7"/>
    <w:rsid w:val="00E4465B"/>
    <w:rsid w:val="00E44689"/>
    <w:rsid w:val="00E44C28"/>
    <w:rsid w:val="00E44CD9"/>
    <w:rsid w:val="00E458AD"/>
    <w:rsid w:val="00E459B0"/>
    <w:rsid w:val="00E46A09"/>
    <w:rsid w:val="00E46AF6"/>
    <w:rsid w:val="00E509DF"/>
    <w:rsid w:val="00E50D92"/>
    <w:rsid w:val="00E51393"/>
    <w:rsid w:val="00E51DBD"/>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BE4"/>
    <w:rsid w:val="00E66300"/>
    <w:rsid w:val="00E674F4"/>
    <w:rsid w:val="00E67CE1"/>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1EF"/>
    <w:rsid w:val="00EA3763"/>
    <w:rsid w:val="00EA4AF7"/>
    <w:rsid w:val="00EA4D69"/>
    <w:rsid w:val="00EA536A"/>
    <w:rsid w:val="00EA5E2F"/>
    <w:rsid w:val="00EA6583"/>
    <w:rsid w:val="00EA6A25"/>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16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192"/>
    <w:rsid w:val="00ED72F2"/>
    <w:rsid w:val="00ED73D2"/>
    <w:rsid w:val="00ED7AEE"/>
    <w:rsid w:val="00EE0332"/>
    <w:rsid w:val="00EE133B"/>
    <w:rsid w:val="00EE1C3B"/>
    <w:rsid w:val="00EE224A"/>
    <w:rsid w:val="00EE267D"/>
    <w:rsid w:val="00EE432E"/>
    <w:rsid w:val="00EE5371"/>
    <w:rsid w:val="00EE674B"/>
    <w:rsid w:val="00EE78A2"/>
    <w:rsid w:val="00EE79F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070"/>
    <w:rsid w:val="00F04DB1"/>
    <w:rsid w:val="00F0504A"/>
    <w:rsid w:val="00F058C8"/>
    <w:rsid w:val="00F06293"/>
    <w:rsid w:val="00F06610"/>
    <w:rsid w:val="00F0750D"/>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462"/>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B7045"/>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1868"/>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7C1B86-42C7-4466-9BF0-5236A8273A8D}">
  <ds:schemaRefs>
    <ds:schemaRef ds:uri="office.server.policy"/>
  </ds:schemaRefs>
</ds:datastoreItem>
</file>

<file path=customXml/itemProps4.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5.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CB140334-F4A1-4E42-9416-D0126F985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2016-05-13T17:36:00Z</dcterms:created>
  <dcterms:modified xsi:type="dcterms:W3CDTF">2016-05-14T04:05:00Z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y fmtid="{D5CDD505-2E9C-101B-9397-08002B2CF9AE}" pid="12" name="ContentTypeId">
    <vt:lpwstr>0x010100B09692573C08054E936A1BBD3D3E084A</vt:lpwstr>
  </property>
  <property fmtid="{D5CDD505-2E9C-101B-9397-08002B2CF9AE}" pid="13" name="_dlc_DocIdItemGuid">
    <vt:lpwstr>c49f0bd5-bf5f-4058-b597-271125d5c5ce</vt:lpwstr>
  </property>
</Properties>
</file>