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2E13C746" w:rsidR="00D00AE7" w:rsidRPr="007C1B33" w:rsidRDefault="00196853"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#85</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C8725C">
        <w:rPr>
          <w:rFonts w:eastAsia="Times New Roman" w:cs="Arial"/>
          <w:bCs/>
          <w:noProof/>
          <w:sz w:val="20"/>
          <w:szCs w:val="18"/>
          <w:lang w:val="en-US" w:eastAsia="zh-CN"/>
        </w:rPr>
        <w:t>16</w:t>
      </w:r>
      <w:r w:rsidR="00A84B2D">
        <w:rPr>
          <w:rFonts w:eastAsia="Times New Roman" w:cs="Arial"/>
          <w:bCs/>
          <w:noProof/>
          <w:sz w:val="20"/>
          <w:szCs w:val="18"/>
          <w:lang w:val="en-US" w:eastAsia="zh-CN"/>
        </w:rPr>
        <w:t>5145</w:t>
      </w:r>
    </w:p>
    <w:p w14:paraId="53AF47EE" w14:textId="3AA46F7B" w:rsidR="00F85CDA" w:rsidRDefault="00196853" w:rsidP="00F85CDA">
      <w:pPr>
        <w:pStyle w:val="TdocHeader2"/>
        <w:rPr>
          <w:rFonts w:eastAsia="Times New Roman" w:cs="Arial"/>
          <w:bCs/>
          <w:noProof/>
          <w:sz w:val="20"/>
          <w:szCs w:val="18"/>
          <w:lang w:val="en-US" w:eastAsia="zh-CN"/>
        </w:rPr>
      </w:pPr>
      <w:r>
        <w:rPr>
          <w:rFonts w:eastAsia="Times New Roman" w:cs="Arial"/>
          <w:bCs/>
          <w:noProof/>
          <w:sz w:val="20"/>
          <w:lang w:eastAsia="zh-CN"/>
        </w:rPr>
        <w:t>Nanjing</w:t>
      </w:r>
      <w:r w:rsidR="00A25E7D" w:rsidRPr="00703485">
        <w:rPr>
          <w:rFonts w:eastAsia="Times New Roman" w:cs="Arial"/>
          <w:bCs/>
          <w:noProof/>
          <w:sz w:val="20"/>
          <w:lang w:eastAsia="zh-CN"/>
        </w:rPr>
        <w:t xml:space="preserve">, </w:t>
      </w:r>
      <w:r>
        <w:rPr>
          <w:rFonts w:eastAsia="Times New Roman" w:cs="Arial"/>
          <w:bCs/>
          <w:noProof/>
          <w:sz w:val="20"/>
          <w:lang w:val="en-US" w:eastAsia="zh-CN"/>
        </w:rPr>
        <w:t>China</w:t>
      </w:r>
      <w:r w:rsidR="00F85CDA" w:rsidRPr="00395CD7">
        <w:rPr>
          <w:rFonts w:eastAsia="Times New Roman" w:cs="Arial"/>
          <w:bCs/>
          <w:noProof/>
          <w:sz w:val="20"/>
          <w:szCs w:val="18"/>
          <w:lang w:val="en-US" w:eastAsia="zh-CN"/>
        </w:rPr>
        <w:t xml:space="preserve">, </w:t>
      </w:r>
      <w:r w:rsidR="00407034">
        <w:rPr>
          <w:rFonts w:eastAsia="Times New Roman" w:cs="Arial"/>
          <w:bCs/>
          <w:noProof/>
          <w:sz w:val="20"/>
          <w:szCs w:val="18"/>
          <w:lang w:val="en-US" w:eastAsia="zh-CN"/>
        </w:rPr>
        <w:t>23</w:t>
      </w:r>
      <w:r w:rsidR="00407034">
        <w:rPr>
          <w:rFonts w:eastAsia="Times New Roman" w:cs="Arial"/>
          <w:bCs/>
          <w:noProof/>
          <w:sz w:val="20"/>
          <w:szCs w:val="18"/>
          <w:vertAlign w:val="superscript"/>
          <w:lang w:val="en-US" w:eastAsia="zh-CN"/>
        </w:rPr>
        <w:t>rd</w:t>
      </w:r>
      <w:r w:rsidR="00F85CDA">
        <w:rPr>
          <w:rFonts w:eastAsia="Times New Roman" w:cs="Arial"/>
          <w:bCs/>
          <w:noProof/>
          <w:sz w:val="20"/>
          <w:szCs w:val="18"/>
          <w:lang w:val="en-US" w:eastAsia="zh-CN"/>
        </w:rPr>
        <w:t xml:space="preserve"> </w:t>
      </w:r>
      <w:r w:rsidR="00A25E7D">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sidR="00407034">
        <w:rPr>
          <w:rFonts w:eastAsia="Times New Roman" w:cs="Arial"/>
          <w:bCs/>
          <w:noProof/>
          <w:sz w:val="20"/>
          <w:szCs w:val="18"/>
          <w:lang w:val="en-US" w:eastAsia="zh-CN"/>
        </w:rPr>
        <w:t>27</w:t>
      </w:r>
      <w:r w:rsidR="00A25E7D">
        <w:rPr>
          <w:rFonts w:eastAsia="Times New Roman" w:cs="Arial"/>
          <w:bCs/>
          <w:noProof/>
          <w:sz w:val="20"/>
          <w:szCs w:val="18"/>
          <w:vertAlign w:val="superscript"/>
          <w:lang w:val="en-US" w:eastAsia="zh-CN"/>
        </w:rPr>
        <w:t>th</w:t>
      </w:r>
      <w:r w:rsidR="00407034">
        <w:rPr>
          <w:rFonts w:eastAsia="Times New Roman" w:cs="Arial"/>
          <w:bCs/>
          <w:noProof/>
          <w:sz w:val="20"/>
          <w:szCs w:val="18"/>
          <w:lang w:val="en-US" w:eastAsia="zh-CN"/>
        </w:rPr>
        <w:t xml:space="preserve"> May</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33A4F318"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573BDB" w:rsidRPr="00573BDB">
        <w:rPr>
          <w:sz w:val="20"/>
          <w:lang w:val="en-US"/>
        </w:rPr>
        <w:t xml:space="preserve">On </w:t>
      </w:r>
      <w:r w:rsidR="00693DD0">
        <w:rPr>
          <w:sz w:val="20"/>
          <w:lang w:val="en-US"/>
        </w:rPr>
        <w:t xml:space="preserve">Power Spectral Density Regulations for </w:t>
      </w:r>
      <w:proofErr w:type="spellStart"/>
      <w:r w:rsidR="00693DD0">
        <w:rPr>
          <w:sz w:val="20"/>
          <w:lang w:val="en-US"/>
        </w:rPr>
        <w:t>eLAA</w:t>
      </w:r>
      <w:proofErr w:type="spellEnd"/>
      <w:r w:rsidR="00693DD0">
        <w:rPr>
          <w:sz w:val="20"/>
          <w:lang w:val="en-US"/>
        </w:rPr>
        <w:t xml:space="preserve"> Transmissions</w:t>
      </w:r>
    </w:p>
    <w:p w14:paraId="0AF57746" w14:textId="24520B32"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8A2EB0">
        <w:rPr>
          <w:sz w:val="20"/>
          <w:lang w:val="en-US"/>
        </w:rPr>
        <w:t>6.2</w:t>
      </w:r>
      <w:r w:rsidR="00C8725C">
        <w:rPr>
          <w:sz w:val="20"/>
          <w:lang w:val="en-US"/>
        </w:rPr>
        <w:t>.</w:t>
      </w:r>
      <w:r w:rsidR="0005024D">
        <w:rPr>
          <w:sz w:val="20"/>
          <w:lang w:val="en-US"/>
        </w:rPr>
        <w:t>1.</w:t>
      </w:r>
      <w:r w:rsidR="008A2EB0">
        <w:rPr>
          <w:sz w:val="20"/>
          <w:lang w:val="en-US"/>
        </w:rPr>
        <w:t>1</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3C884065" w14:textId="77777777" w:rsidR="00693DD0" w:rsidRDefault="00A5462F" w:rsidP="00A5462F">
      <w:pPr>
        <w:pStyle w:val="BodyText"/>
        <w:spacing w:after="0"/>
        <w:rPr>
          <w:bCs/>
        </w:rPr>
      </w:pPr>
      <w:r w:rsidRPr="00031C9D">
        <w:rPr>
          <w:sz w:val="22"/>
          <w:szCs w:val="22"/>
        </w:rPr>
        <w:t>The new Rel-14 work item on enhanced LAA is tasked with specifying efficient operation of uplink LAA</w:t>
      </w:r>
      <w:r w:rsidR="00040F47">
        <w:rPr>
          <w:sz w:val="22"/>
          <w:szCs w:val="22"/>
        </w:rPr>
        <w:t xml:space="preserve"> </w:t>
      </w:r>
      <w:r w:rsidR="00040F47">
        <w:rPr>
          <w:sz w:val="22"/>
          <w:szCs w:val="22"/>
        </w:rPr>
        <w:fldChar w:fldCharType="begin"/>
      </w:r>
      <w:r w:rsidR="00040F47">
        <w:rPr>
          <w:sz w:val="22"/>
          <w:szCs w:val="22"/>
        </w:rPr>
        <w:instrText xml:space="preserve"> REF _Ref442291765 \r \h </w:instrText>
      </w:r>
      <w:r w:rsidR="00040F47">
        <w:rPr>
          <w:sz w:val="22"/>
          <w:szCs w:val="22"/>
        </w:rPr>
      </w:r>
      <w:r w:rsidR="00040F47">
        <w:rPr>
          <w:sz w:val="22"/>
          <w:szCs w:val="22"/>
        </w:rPr>
        <w:fldChar w:fldCharType="separate"/>
      </w:r>
      <w:r w:rsidR="00040F47">
        <w:rPr>
          <w:sz w:val="22"/>
          <w:szCs w:val="22"/>
        </w:rPr>
        <w:t>[1]</w:t>
      </w:r>
      <w:r w:rsidR="00040F47">
        <w:rPr>
          <w:sz w:val="22"/>
          <w:szCs w:val="22"/>
        </w:rPr>
        <w:fldChar w:fldCharType="end"/>
      </w:r>
      <w:r w:rsidRPr="00031C9D">
        <w:rPr>
          <w:sz w:val="22"/>
          <w:szCs w:val="22"/>
        </w:rPr>
        <w:t xml:space="preserve">.  </w:t>
      </w:r>
      <w:r w:rsidR="00693DD0">
        <w:rPr>
          <w:bCs/>
        </w:rPr>
        <w:t>Efficient transmission of PUSCH is essential to the specification of enhanced LAA</w:t>
      </w:r>
      <w:r>
        <w:rPr>
          <w:bCs/>
        </w:rPr>
        <w:t xml:space="preserve">. </w:t>
      </w:r>
      <w:r w:rsidR="00693DD0">
        <w:rPr>
          <w:bCs/>
        </w:rPr>
        <w:t>To this end, the following was agreed as a working assumption.</w:t>
      </w:r>
    </w:p>
    <w:p w14:paraId="7A77F8DE" w14:textId="77777777" w:rsidR="00693DD0" w:rsidRDefault="00693DD0" w:rsidP="00A5462F">
      <w:pPr>
        <w:pStyle w:val="BodyText"/>
        <w:spacing w:after="0"/>
        <w:rPr>
          <w:bCs/>
        </w:rPr>
      </w:pPr>
    </w:p>
    <w:p w14:paraId="7024917C" w14:textId="77777777" w:rsidR="000B5404" w:rsidRPr="001D7C9A" w:rsidRDefault="000B5404" w:rsidP="000B5404">
      <w:pPr>
        <w:rPr>
          <w:rFonts w:eastAsia="MS Mincho"/>
          <w:lang w:val="en-US" w:eastAsia="ja-JP"/>
        </w:rPr>
      </w:pPr>
      <w:r w:rsidRPr="001D7C9A">
        <w:rPr>
          <w:rFonts w:eastAsia="MS Mincho"/>
          <w:highlight w:val="green"/>
          <w:lang w:val="en-US" w:eastAsia="ja-JP"/>
        </w:rPr>
        <w:t>Agreement</w:t>
      </w:r>
      <w:r w:rsidRPr="001D7C9A">
        <w:rPr>
          <w:rFonts w:eastAsia="MS Mincho"/>
          <w:lang w:val="en-US" w:eastAsia="ja-JP"/>
        </w:rPr>
        <w:t>:</w:t>
      </w:r>
    </w:p>
    <w:p w14:paraId="45EE3A58" w14:textId="77777777" w:rsidR="000B5404" w:rsidRPr="001D7C9A" w:rsidRDefault="000B5404" w:rsidP="000B5404">
      <w:pPr>
        <w:numPr>
          <w:ilvl w:val="0"/>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 xml:space="preserve">For </w:t>
      </w:r>
      <w:proofErr w:type="spellStart"/>
      <w:r w:rsidRPr="001D7C9A">
        <w:rPr>
          <w:rFonts w:eastAsia="MS Mincho"/>
          <w:lang w:val="en-US" w:eastAsia="ja-JP"/>
        </w:rPr>
        <w:t>eLAA</w:t>
      </w:r>
      <w:proofErr w:type="spellEnd"/>
      <w:r w:rsidRPr="001D7C9A">
        <w:rPr>
          <w:rFonts w:eastAsia="MS Mincho"/>
          <w:lang w:val="en-US" w:eastAsia="ja-JP"/>
        </w:rPr>
        <w:t xml:space="preserve"> PUSCH transmission, one interlace is the basic unit of resource allo</w:t>
      </w:r>
      <w:bookmarkStart w:id="4" w:name="_GoBack"/>
      <w:bookmarkEnd w:id="4"/>
      <w:r w:rsidRPr="001D7C9A">
        <w:rPr>
          <w:rFonts w:eastAsia="MS Mincho"/>
          <w:lang w:val="en-US" w:eastAsia="ja-JP"/>
        </w:rPr>
        <w:t>cation, which is composed of 10RBs for 20MHz</w:t>
      </w:r>
    </w:p>
    <w:p w14:paraId="5F41209A" w14:textId="77777777" w:rsidR="000B5404" w:rsidRPr="001D7C9A" w:rsidRDefault="000B5404" w:rsidP="000B5404">
      <w:pPr>
        <w:numPr>
          <w:ilvl w:val="1"/>
          <w:numId w:val="41"/>
        </w:numPr>
        <w:overflowPunct/>
        <w:autoSpaceDE/>
        <w:autoSpaceDN/>
        <w:adjustRightInd/>
        <w:spacing w:after="0"/>
        <w:jc w:val="left"/>
        <w:textAlignment w:val="auto"/>
        <w:rPr>
          <w:rFonts w:eastAsia="MS Mincho"/>
          <w:lang w:val="en-US" w:eastAsia="ja-JP"/>
        </w:rPr>
      </w:pPr>
      <w:r w:rsidRPr="001D7C9A">
        <w:rPr>
          <w:rFonts w:eastAsia="MS Mincho"/>
          <w:highlight w:val="darkYellow"/>
          <w:lang w:val="en-US" w:eastAsia="ja-JP"/>
        </w:rPr>
        <w:t>Working assumption</w:t>
      </w:r>
      <w:r w:rsidRPr="001D7C9A">
        <w:rPr>
          <w:rFonts w:eastAsia="MS Mincho"/>
          <w:lang w:val="en-US" w:eastAsia="ja-JP"/>
        </w:rPr>
        <w:t>: the 10RBs are spaced equally in frequency domain for 20MHz</w:t>
      </w:r>
    </w:p>
    <w:p w14:paraId="608C9D98" w14:textId="77777777" w:rsidR="000B5404" w:rsidRPr="001D7C9A" w:rsidRDefault="000B5404" w:rsidP="000B5404">
      <w:pPr>
        <w:numPr>
          <w:ilvl w:val="2"/>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 xml:space="preserve">Ex for 20MHz </w:t>
      </w:r>
      <w:proofErr w:type="spellStart"/>
      <w:r w:rsidRPr="001D7C9A">
        <w:rPr>
          <w:rFonts w:eastAsia="MS Mincho"/>
          <w:lang w:val="en-US" w:eastAsia="ja-JP"/>
        </w:rPr>
        <w:t>eLAA</w:t>
      </w:r>
      <w:proofErr w:type="spellEnd"/>
      <w:r w:rsidRPr="001D7C9A">
        <w:rPr>
          <w:rFonts w:eastAsia="MS Mincho"/>
          <w:lang w:val="en-US" w:eastAsia="ja-JP"/>
        </w:rPr>
        <w:t xml:space="preserve"> </w:t>
      </w:r>
      <w:proofErr w:type="spellStart"/>
      <w:r w:rsidRPr="001D7C9A">
        <w:rPr>
          <w:rFonts w:eastAsia="MS Mincho"/>
          <w:lang w:val="en-US" w:eastAsia="ja-JP"/>
        </w:rPr>
        <w:t>SCell</w:t>
      </w:r>
      <w:proofErr w:type="spellEnd"/>
      <w:r w:rsidRPr="001D7C9A">
        <w:rPr>
          <w:rFonts w:eastAsia="MS Mincho"/>
          <w:lang w:val="en-US" w:eastAsia="ja-JP"/>
        </w:rPr>
        <w:t>: interlace 0 is composed of RBs 0,10,20,...,90</w:t>
      </w:r>
    </w:p>
    <w:p w14:paraId="0D86AE68" w14:textId="3AC36E10" w:rsidR="000B5404" w:rsidRPr="001D7C9A" w:rsidRDefault="000B5404" w:rsidP="000B5404">
      <w:pPr>
        <w:numPr>
          <w:ilvl w:val="2"/>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 xml:space="preserve">Send </w:t>
      </w:r>
      <w:proofErr w:type="gramStart"/>
      <w:r w:rsidRPr="001D7C9A">
        <w:rPr>
          <w:rFonts w:eastAsia="MS Mincho"/>
          <w:lang w:val="en-US" w:eastAsia="ja-JP"/>
        </w:rPr>
        <w:t>an LS</w:t>
      </w:r>
      <w:proofErr w:type="gramEnd"/>
      <w:r w:rsidRPr="001D7C9A">
        <w:rPr>
          <w:rFonts w:eastAsia="MS Mincho"/>
          <w:lang w:val="en-US" w:eastAsia="ja-JP"/>
        </w:rPr>
        <w:t xml:space="preserve"> to RAN4 asking whether or not RAN4 sees issues with the working assumption. RAN1 also discussed the possibility of having unequal spacing in frequency domain for the 10-RB interlace based resource allocation – </w:t>
      </w:r>
      <w:r w:rsidRPr="004B4988">
        <w:rPr>
          <w:rFonts w:eastAsia="MS Mincho"/>
          <w:lang w:val="en-US" w:eastAsia="ja-JP"/>
        </w:rPr>
        <w:t xml:space="preserve">Jeongho (Intel) - </w:t>
      </w:r>
      <w:hyperlink r:id="rId9" w:history="1">
        <w:r>
          <w:rPr>
            <w:rStyle w:val="Hyperlink"/>
            <w:rFonts w:eastAsia="MS Mincho"/>
            <w:b/>
            <w:lang w:val="en-US" w:eastAsia="ja-JP"/>
          </w:rPr>
          <w:t>R1-163703</w:t>
        </w:r>
      </w:hyperlink>
      <w:r>
        <w:rPr>
          <w:rFonts w:eastAsia="MS Mincho"/>
          <w:b/>
          <w:lang w:val="en-US" w:eastAsia="ja-JP"/>
        </w:rPr>
        <w:t xml:space="preserve"> </w:t>
      </w:r>
      <w:r w:rsidRPr="004B4988">
        <w:rPr>
          <w:rFonts w:eastAsia="MS Mincho"/>
          <w:lang w:val="en-US" w:eastAsia="ja-JP"/>
        </w:rPr>
        <w:t xml:space="preserve">– </w:t>
      </w:r>
      <w:r>
        <w:rPr>
          <w:rFonts w:eastAsia="MS Mincho"/>
          <w:lang w:val="en-US" w:eastAsia="ja-JP"/>
        </w:rPr>
        <w:t>approved</w:t>
      </w:r>
      <w:r w:rsidRPr="004B4988">
        <w:rPr>
          <w:rFonts w:eastAsia="MS Mincho"/>
          <w:lang w:val="en-US" w:eastAsia="ja-JP"/>
        </w:rPr>
        <w:t xml:space="preserve"> in</w:t>
      </w:r>
      <w:r>
        <w:rPr>
          <w:rFonts w:eastAsia="MS Mincho"/>
          <w:b/>
          <w:lang w:val="en-US" w:eastAsia="ja-JP"/>
        </w:rPr>
        <w:t xml:space="preserve"> </w:t>
      </w:r>
      <w:hyperlink r:id="rId10" w:history="1">
        <w:r>
          <w:rPr>
            <w:rStyle w:val="Hyperlink"/>
            <w:rFonts w:eastAsia="MS Mincho"/>
            <w:b/>
            <w:highlight w:val="green"/>
            <w:lang w:val="en-US" w:eastAsia="ja-JP"/>
          </w:rPr>
          <w:t>R1-163683</w:t>
        </w:r>
      </w:hyperlink>
    </w:p>
    <w:p w14:paraId="02DD8BA0" w14:textId="77777777" w:rsidR="000B5404" w:rsidRPr="001D7C9A" w:rsidRDefault="000B5404" w:rsidP="000B5404">
      <w:pPr>
        <w:numPr>
          <w:ilvl w:val="1"/>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FFS the case of other system bandwidth(s)</w:t>
      </w:r>
    </w:p>
    <w:p w14:paraId="08422350" w14:textId="77777777" w:rsidR="000B5404" w:rsidRPr="001D7C9A" w:rsidRDefault="000B5404" w:rsidP="000B5404">
      <w:pPr>
        <w:numPr>
          <w:ilvl w:val="0"/>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A UE can be assigned one or more interlaces</w:t>
      </w:r>
    </w:p>
    <w:p w14:paraId="6C5171A7" w14:textId="77777777" w:rsidR="000B5404" w:rsidRPr="001D7C9A" w:rsidRDefault="000B5404" w:rsidP="000B5404">
      <w:pPr>
        <w:numPr>
          <w:ilvl w:val="1"/>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The total number of RBs used for transmission should be a multiple of 2,3 and 5</w:t>
      </w:r>
    </w:p>
    <w:p w14:paraId="0B821058" w14:textId="77777777" w:rsidR="000B5404" w:rsidRPr="001D7C9A" w:rsidRDefault="000B5404" w:rsidP="000B5404">
      <w:pPr>
        <w:numPr>
          <w:ilvl w:val="1"/>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Decide one of the following alternatives:</w:t>
      </w:r>
    </w:p>
    <w:p w14:paraId="17B9ADC1" w14:textId="77777777" w:rsidR="000B5404" w:rsidRPr="001D7C9A" w:rsidRDefault="000B5404" w:rsidP="000B5404">
      <w:pPr>
        <w:numPr>
          <w:ilvl w:val="2"/>
          <w:numId w:val="40"/>
        </w:numPr>
        <w:overflowPunct/>
        <w:autoSpaceDE/>
        <w:autoSpaceDN/>
        <w:adjustRightInd/>
        <w:spacing w:after="0"/>
        <w:jc w:val="left"/>
        <w:textAlignment w:val="auto"/>
        <w:rPr>
          <w:rFonts w:eastAsia="MS Mincho"/>
          <w:lang w:val="en-US" w:eastAsia="ja-JP"/>
        </w:rPr>
      </w:pPr>
      <w:r w:rsidRPr="001D7C9A">
        <w:rPr>
          <w:rFonts w:eastAsia="MS Mincho"/>
          <w:lang w:val="en-US" w:eastAsia="ja-JP"/>
        </w:rPr>
        <w:t>Alt 1: UL resource allocation type 0 is used to allocate multiple interlaces to a UE</w:t>
      </w:r>
    </w:p>
    <w:p w14:paraId="494B77EA" w14:textId="77777777" w:rsidR="000B5404" w:rsidRPr="001D7C9A" w:rsidRDefault="000B5404" w:rsidP="000B5404">
      <w:pPr>
        <w:numPr>
          <w:ilvl w:val="3"/>
          <w:numId w:val="40"/>
        </w:numPr>
        <w:overflowPunct/>
        <w:autoSpaceDE/>
        <w:autoSpaceDN/>
        <w:adjustRightInd/>
        <w:spacing w:after="0"/>
        <w:jc w:val="left"/>
        <w:textAlignment w:val="auto"/>
        <w:rPr>
          <w:rFonts w:eastAsia="MS Mincho"/>
          <w:lang w:val="en-US" w:eastAsia="ja-JP"/>
        </w:rPr>
      </w:pPr>
      <w:r w:rsidRPr="001D7C9A">
        <w:rPr>
          <w:rFonts w:eastAsia="MS Mincho"/>
          <w:lang w:val="en-US" w:eastAsia="ja-JP"/>
        </w:rPr>
        <w:t>UL grant indicates start index and allocated number of interlaces with consecutive indices</w:t>
      </w:r>
    </w:p>
    <w:p w14:paraId="6F442BB0" w14:textId="77777777" w:rsidR="000B5404" w:rsidRPr="001D7C9A" w:rsidRDefault="000B5404" w:rsidP="000B5404">
      <w:pPr>
        <w:numPr>
          <w:ilvl w:val="2"/>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Alt 2: bitmap based resource allocation</w:t>
      </w:r>
    </w:p>
    <w:p w14:paraId="254CFD6B" w14:textId="77777777" w:rsidR="000B5404" w:rsidRPr="001D7C9A" w:rsidRDefault="000B5404" w:rsidP="000B5404">
      <w:pPr>
        <w:numPr>
          <w:ilvl w:val="2"/>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Alt 3: predefined resource allocation patterns</w:t>
      </w:r>
    </w:p>
    <w:p w14:paraId="15A2BCBA" w14:textId="77777777" w:rsidR="000B5404" w:rsidRPr="001D7C9A" w:rsidRDefault="000B5404" w:rsidP="000B5404">
      <w:pPr>
        <w:numPr>
          <w:ilvl w:val="1"/>
          <w:numId w:val="41"/>
        </w:numPr>
        <w:overflowPunct/>
        <w:autoSpaceDE/>
        <w:autoSpaceDN/>
        <w:adjustRightInd/>
        <w:spacing w:after="0"/>
        <w:jc w:val="left"/>
        <w:textAlignment w:val="auto"/>
        <w:rPr>
          <w:rFonts w:eastAsia="MS Mincho"/>
          <w:lang w:val="en-US" w:eastAsia="ja-JP"/>
        </w:rPr>
      </w:pPr>
      <w:r w:rsidRPr="001D7C9A">
        <w:rPr>
          <w:rFonts w:eastAsia="MS Mincho"/>
          <w:lang w:val="en-US" w:eastAsia="ja-JP"/>
        </w:rPr>
        <w:t>FFS: excluding some UL RBs from the resource allocation</w:t>
      </w:r>
    </w:p>
    <w:p w14:paraId="67935668" w14:textId="77777777" w:rsidR="00693DD0" w:rsidRDefault="00693DD0" w:rsidP="00A5462F">
      <w:pPr>
        <w:pStyle w:val="BodyText"/>
        <w:spacing w:after="0"/>
        <w:rPr>
          <w:bCs/>
        </w:rPr>
      </w:pPr>
    </w:p>
    <w:p w14:paraId="1816845C" w14:textId="673F2A2C" w:rsidR="00A5462F" w:rsidRDefault="00693DD0" w:rsidP="00A5462F">
      <w:pPr>
        <w:pStyle w:val="BodyText"/>
        <w:spacing w:after="0"/>
        <w:rPr>
          <w:bCs/>
        </w:rPr>
      </w:pPr>
      <w:r>
        <w:rPr>
          <w:bCs/>
        </w:rPr>
        <w:t>I</w:t>
      </w:r>
      <w:r w:rsidR="00A5462F">
        <w:rPr>
          <w:bCs/>
        </w:rPr>
        <w:t>n RAN1#84</w:t>
      </w:r>
      <w:r>
        <w:rPr>
          <w:bCs/>
        </w:rPr>
        <w:t>bis, there were some discussions</w:t>
      </w:r>
      <w:r w:rsidR="000B5404">
        <w:rPr>
          <w:bCs/>
        </w:rPr>
        <w:t xml:space="preserve"> on the power that a single interlace is allowed to transmit. There were differing views based on how the regulations were interpreted</w:t>
      </w:r>
      <w:r w:rsidR="004910F3">
        <w:rPr>
          <w:bCs/>
        </w:rPr>
        <w:t xml:space="preserve">. In the ETSI </w:t>
      </w:r>
      <w:r w:rsidR="000B5404">
        <w:rPr>
          <w:bCs/>
        </w:rPr>
        <w:t>regulations</w:t>
      </w:r>
      <w:r w:rsidR="00407034">
        <w:rPr>
          <w:bCs/>
        </w:rPr>
        <w:t xml:space="preserve"> </w:t>
      </w:r>
      <w:r w:rsidR="00407034">
        <w:rPr>
          <w:bCs/>
        </w:rPr>
        <w:fldChar w:fldCharType="begin"/>
      </w:r>
      <w:r w:rsidR="00407034">
        <w:rPr>
          <w:bCs/>
        </w:rPr>
        <w:instrText xml:space="preserve"> REF _Ref447194991 \r \h </w:instrText>
      </w:r>
      <w:r w:rsidR="00407034">
        <w:rPr>
          <w:bCs/>
        </w:rPr>
      </w:r>
      <w:r w:rsidR="00407034">
        <w:rPr>
          <w:bCs/>
        </w:rPr>
        <w:fldChar w:fldCharType="separate"/>
      </w:r>
      <w:r w:rsidR="00407034">
        <w:rPr>
          <w:bCs/>
        </w:rPr>
        <w:t>[2</w:t>
      </w:r>
      <w:proofErr w:type="gramStart"/>
      <w:r w:rsidR="00407034">
        <w:rPr>
          <w:bCs/>
        </w:rPr>
        <w:t>]</w:t>
      </w:r>
      <w:proofErr w:type="gramEnd"/>
      <w:r w:rsidR="00407034">
        <w:rPr>
          <w:bCs/>
        </w:rPr>
        <w:fldChar w:fldCharType="end"/>
      </w:r>
      <w:r w:rsidR="00407034">
        <w:rPr>
          <w:bCs/>
        </w:rPr>
        <w:fldChar w:fldCharType="begin"/>
      </w:r>
      <w:r w:rsidR="00407034">
        <w:rPr>
          <w:bCs/>
        </w:rPr>
        <w:instrText xml:space="preserve"> REF _Ref442345665 \r \h </w:instrText>
      </w:r>
      <w:r w:rsidR="00407034">
        <w:rPr>
          <w:bCs/>
        </w:rPr>
      </w:r>
      <w:r w:rsidR="00407034">
        <w:rPr>
          <w:bCs/>
        </w:rPr>
        <w:fldChar w:fldCharType="separate"/>
      </w:r>
      <w:r w:rsidR="00407034">
        <w:rPr>
          <w:bCs/>
        </w:rPr>
        <w:t>[4]</w:t>
      </w:r>
      <w:r w:rsidR="00407034">
        <w:rPr>
          <w:bCs/>
        </w:rPr>
        <w:fldChar w:fldCharType="end"/>
      </w:r>
      <w:r w:rsidR="000B5404">
        <w:rPr>
          <w:bCs/>
        </w:rPr>
        <w:t>, for instance, the requirement on PSD is</w:t>
      </w:r>
      <w:r w:rsidR="004910F3">
        <w:rPr>
          <w:bCs/>
        </w:rPr>
        <w:t xml:space="preserve"> defi</w:t>
      </w:r>
      <w:r w:rsidR="00B75F58">
        <w:rPr>
          <w:bCs/>
        </w:rPr>
        <w:t xml:space="preserve">ned so that the power within each 1 MHz of the channel is limited to 10 </w:t>
      </w:r>
      <w:proofErr w:type="spellStart"/>
      <w:r w:rsidR="00B75F58">
        <w:rPr>
          <w:bCs/>
        </w:rPr>
        <w:t>dBm</w:t>
      </w:r>
      <w:proofErr w:type="spellEnd"/>
      <w:r w:rsidR="000B5404">
        <w:rPr>
          <w:bCs/>
        </w:rPr>
        <w:t>.</w:t>
      </w:r>
      <w:r w:rsidR="00B75F58">
        <w:rPr>
          <w:bCs/>
        </w:rPr>
        <w:t xml:space="preserve"> In the sub-band of frequencies, 5150-5250 MHz, the limit is defined over 25 kHz. Considering the frequencies where the limit is based on 1 MHz, the question that was discussed was whether there is any limitation on the distribution of the power within this 1 </w:t>
      </w:r>
      <w:proofErr w:type="spellStart"/>
      <w:r w:rsidR="00B75F58">
        <w:rPr>
          <w:bCs/>
        </w:rPr>
        <w:t>MHz.</w:t>
      </w:r>
      <w:proofErr w:type="spellEnd"/>
      <w:r w:rsidR="00B75F58">
        <w:rPr>
          <w:bCs/>
        </w:rPr>
        <w:t xml:space="preserve"> Specifically, could a UE that is allocated only one interlace, put 10 </w:t>
      </w:r>
      <w:proofErr w:type="spellStart"/>
      <w:r w:rsidR="00B75F58">
        <w:rPr>
          <w:bCs/>
        </w:rPr>
        <w:t>dBm</w:t>
      </w:r>
      <w:proofErr w:type="spellEnd"/>
      <w:r w:rsidR="00B75F58">
        <w:rPr>
          <w:bCs/>
        </w:rPr>
        <w:t xml:space="preserve"> on a single PRB which lies within 1 MHz</w:t>
      </w:r>
      <w:r w:rsidR="00594575">
        <w:rPr>
          <w:bCs/>
        </w:rPr>
        <w:t xml:space="preserve"> (i.e., 20 </w:t>
      </w:r>
      <w:proofErr w:type="spellStart"/>
      <w:r w:rsidR="00594575">
        <w:rPr>
          <w:bCs/>
        </w:rPr>
        <w:t>dBm</w:t>
      </w:r>
      <w:proofErr w:type="spellEnd"/>
      <w:r w:rsidR="00594575">
        <w:rPr>
          <w:bCs/>
        </w:rPr>
        <w:t xml:space="preserve"> for the entire interlace)</w:t>
      </w:r>
      <w:r w:rsidR="00B75F58">
        <w:rPr>
          <w:bCs/>
        </w:rPr>
        <w:t xml:space="preserve">, but occupies only 180 kHz within it. One view was that </w:t>
      </w:r>
      <w:r w:rsidR="00594575">
        <w:rPr>
          <w:bCs/>
        </w:rPr>
        <w:t xml:space="preserve">this is not allowed since the PSD limit should be flat within the 1 </w:t>
      </w:r>
      <w:proofErr w:type="spellStart"/>
      <w:r w:rsidR="00594575">
        <w:rPr>
          <w:bCs/>
        </w:rPr>
        <w:t>MHz.</w:t>
      </w:r>
      <w:proofErr w:type="spellEnd"/>
      <w:r w:rsidR="00594575">
        <w:rPr>
          <w:bCs/>
        </w:rPr>
        <w:t xml:space="preserve"> With this view, the power would have to be reduced to 3 </w:t>
      </w:r>
      <w:proofErr w:type="spellStart"/>
      <w:r w:rsidR="00594575">
        <w:rPr>
          <w:bCs/>
        </w:rPr>
        <w:t>dBm</w:t>
      </w:r>
      <w:proofErr w:type="spellEnd"/>
      <w:r w:rsidR="00594575">
        <w:rPr>
          <w:bCs/>
        </w:rPr>
        <w:t xml:space="preserve"> for the PRB (i.e., 13 </w:t>
      </w:r>
      <w:proofErr w:type="spellStart"/>
      <w:r w:rsidR="00594575">
        <w:rPr>
          <w:bCs/>
        </w:rPr>
        <w:t>dBm</w:t>
      </w:r>
      <w:proofErr w:type="spellEnd"/>
      <w:r w:rsidR="00594575">
        <w:rPr>
          <w:bCs/>
        </w:rPr>
        <w:t xml:space="preserve"> for the entire interlace). In this contribution we provide our views on how the regulations should be interpreted.</w:t>
      </w:r>
    </w:p>
    <w:p w14:paraId="2C2B63A0" w14:textId="77777777" w:rsidR="000B5404" w:rsidRDefault="000B5404" w:rsidP="00A5462F">
      <w:pPr>
        <w:pStyle w:val="BodyText"/>
        <w:spacing w:after="0"/>
        <w:rPr>
          <w:bCs/>
        </w:rPr>
      </w:pPr>
    </w:p>
    <w:p w14:paraId="689CEBD2" w14:textId="77777777" w:rsidR="00A5462F" w:rsidRDefault="00A5462F" w:rsidP="00A5462F">
      <w:pPr>
        <w:pStyle w:val="BodyText"/>
        <w:spacing w:after="0"/>
        <w:rPr>
          <w:bCs/>
        </w:rPr>
      </w:pPr>
    </w:p>
    <w:p w14:paraId="5DC8B16B" w14:textId="7288BF91" w:rsidR="0059060D" w:rsidRPr="00A5462F" w:rsidRDefault="0059060D" w:rsidP="00A5462F">
      <w:pPr>
        <w:pStyle w:val="BodyText"/>
        <w:spacing w:after="0"/>
        <w:rPr>
          <w:lang w:val="en-US"/>
        </w:rPr>
      </w:pPr>
    </w:p>
    <w:p w14:paraId="4799679F" w14:textId="77777777" w:rsidR="0059060D" w:rsidRDefault="0059060D" w:rsidP="0059060D">
      <w:pPr>
        <w:rPr>
          <w:lang w:val="en-US"/>
        </w:rPr>
      </w:pPr>
    </w:p>
    <w:p w14:paraId="616EE499" w14:textId="4454006A" w:rsidR="00594575" w:rsidRPr="00594575" w:rsidRDefault="0059060D" w:rsidP="00594575">
      <w:pPr>
        <w:pStyle w:val="Heading1"/>
        <w:rPr>
          <w:lang w:val="en-US"/>
        </w:rPr>
      </w:pPr>
      <w:r>
        <w:rPr>
          <w:lang w:val="en-US"/>
        </w:rPr>
        <w:t>Discussion</w:t>
      </w:r>
    </w:p>
    <w:p w14:paraId="07275874" w14:textId="27D52785" w:rsidR="00594575" w:rsidRDefault="00594575" w:rsidP="00594575">
      <w:r>
        <w:t>First, it is important to note that the PSD limits were derived for the 5 GHz band based on sharing studies where the interference from RLAN services to other services such as satellite systems was considered.</w:t>
      </w:r>
      <w:r w:rsidR="00C62DD1">
        <w:t xml:space="preserve"> These </w:t>
      </w:r>
      <w:r>
        <w:t xml:space="preserve">sharing studies with other services in the 5 GHz band account for interference from aggregate RLANs and </w:t>
      </w:r>
      <w:r w:rsidR="00C62DD1">
        <w:t>the power limits are per device</w:t>
      </w:r>
      <w:r>
        <w:t>.</w:t>
      </w:r>
    </w:p>
    <w:p w14:paraId="40ACD9CF" w14:textId="5A342A49" w:rsidR="00594575" w:rsidRDefault="00C62DD1" w:rsidP="00594575">
      <w:r>
        <w:t>From</w:t>
      </w:r>
      <w:r w:rsidR="00594575">
        <w:t xml:space="preserve"> the sharing studies performed before the WRC-03 allocation</w:t>
      </w:r>
      <w:r w:rsidR="00407034">
        <w:t xml:space="preserve"> </w:t>
      </w:r>
      <w:r w:rsidR="00407034">
        <w:fldChar w:fldCharType="begin"/>
      </w:r>
      <w:r w:rsidR="00407034">
        <w:instrText xml:space="preserve"> REF _Ref450935343 \r \h </w:instrText>
      </w:r>
      <w:r w:rsidR="00407034">
        <w:fldChar w:fldCharType="separate"/>
      </w:r>
      <w:r w:rsidR="00407034">
        <w:t>[3]</w:t>
      </w:r>
      <w:r w:rsidR="00407034">
        <w:fldChar w:fldCharType="end"/>
      </w:r>
      <w:r w:rsidR="00594575">
        <w:t xml:space="preserve">, the ERC report 67 from 1999 shows the methodology for sharing with MSS feeder links in 5150-5250 MHz (ground-to-space). The results are “max number of tolerable devices” given a certain device power, and there were two victim systems, ICO </w:t>
      </w:r>
      <w:r w:rsidR="00594575">
        <w:lastRenderedPageBreak/>
        <w:t xml:space="preserve">using 25 kHz bandwidth and </w:t>
      </w:r>
      <w:proofErr w:type="spellStart"/>
      <w:r w:rsidR="00594575">
        <w:t>Globalstar</w:t>
      </w:r>
      <w:proofErr w:type="spellEnd"/>
      <w:r w:rsidR="00594575">
        <w:t xml:space="preserve"> using 1.23 MHz bandwidth. This is where the 2</w:t>
      </w:r>
      <w:r>
        <w:t>5 kHz comes from, and 1 MHz</w:t>
      </w:r>
      <w:r w:rsidR="00594575">
        <w:t xml:space="preserve"> for </w:t>
      </w:r>
      <w:proofErr w:type="spellStart"/>
      <w:r w:rsidR="00594575">
        <w:t>Globalstar</w:t>
      </w:r>
      <w:proofErr w:type="spellEnd"/>
      <w:r w:rsidR="00594575">
        <w:t>. The 25 kHz reference bandwidth is therefore related to th</w:t>
      </w:r>
      <w:r>
        <w:t xml:space="preserve">e bandwidth of a victim system and </w:t>
      </w:r>
      <w:r w:rsidR="00594575">
        <w:t xml:space="preserve">not </w:t>
      </w:r>
      <w:r>
        <w:t xml:space="preserve">any intended </w:t>
      </w:r>
      <w:r w:rsidR="00594575">
        <w:t>scaling</w:t>
      </w:r>
      <w:r>
        <w:t xml:space="preserve"> below 1 </w:t>
      </w:r>
      <w:proofErr w:type="spellStart"/>
      <w:r>
        <w:t>MHz.</w:t>
      </w:r>
      <w:proofErr w:type="spellEnd"/>
      <w:r>
        <w:t xml:space="preserve"> </w:t>
      </w:r>
      <w:r w:rsidR="00594575">
        <w:t xml:space="preserve">There is also an ITU-R recommendation in ITU-R M.1426 that shows a similar methodology for </w:t>
      </w:r>
      <w:r>
        <w:t xml:space="preserve">a sharing study, i.e., </w:t>
      </w:r>
      <w:r w:rsidR="00594575">
        <w:t xml:space="preserve">device power from </w:t>
      </w:r>
      <w:proofErr w:type="gramStart"/>
      <w:r w:rsidR="00594575">
        <w:t>a tolerable</w:t>
      </w:r>
      <w:proofErr w:type="gramEnd"/>
      <w:r w:rsidR="00594575">
        <w:t xml:space="preserve"> aggregate uplink interference from devi</w:t>
      </w:r>
      <w:r>
        <w:t>ces in the satellite footprint.</w:t>
      </w:r>
    </w:p>
    <w:p w14:paraId="6F4AC062" w14:textId="62D68AF5" w:rsidR="00594575" w:rsidRDefault="00594575" w:rsidP="00594575">
      <w:r>
        <w:t>Then for 5250-5350 MHz, IT</w:t>
      </w:r>
      <w:r w:rsidR="008165A2">
        <w:t xml:space="preserve">U-R recommendation SA.1632 has </w:t>
      </w:r>
      <w:r>
        <w:t>results on sharing studies with EESS (Earth Exploration Satellite Service). The total number of RLANs acceptable in the satellite footprint is estimated given the output power per device. The 25 kHz reference bandwidt</w:t>
      </w:r>
      <w:r w:rsidR="008165A2">
        <w:t xml:space="preserve">h does not appear in this band. </w:t>
      </w:r>
      <w:r>
        <w:t xml:space="preserve">Only 1 MHz reference bandwidth </w:t>
      </w:r>
      <w:r w:rsidR="008165A2">
        <w:t xml:space="preserve">is used </w:t>
      </w:r>
      <w:r>
        <w:t>for the PSD.</w:t>
      </w:r>
    </w:p>
    <w:p w14:paraId="21C360D2" w14:textId="77777777" w:rsidR="00594575" w:rsidRDefault="00594575" w:rsidP="00594575"/>
    <w:p w14:paraId="5942865B" w14:textId="7A52EB74" w:rsidR="00594575" w:rsidRDefault="00964912" w:rsidP="00594575">
      <w:r>
        <w:t xml:space="preserve">Furthermore, for </w:t>
      </w:r>
      <w:r w:rsidR="00594575">
        <w:t xml:space="preserve">measurement of the PSD in-channel, </w:t>
      </w:r>
      <w:r>
        <w:t xml:space="preserve">there are </w:t>
      </w:r>
      <w:r w:rsidR="00594575">
        <w:t xml:space="preserve">guidelines from the FCC on how to verify the FCC Part 15 rules, Part 15.407 </w:t>
      </w:r>
      <w:proofErr w:type="spellStart"/>
      <w:r w:rsidR="00594575">
        <w:t>subclause</w:t>
      </w:r>
      <w:proofErr w:type="spellEnd"/>
      <w:r w:rsidR="00594575">
        <w:t xml:space="preserve"> F (5725-5850 MHz) in particular, but the guidance also covers the remaining bands in Part 15. For the PSD it is stated that the measurements of PSD, e.g. the +10 </w:t>
      </w:r>
      <w:proofErr w:type="spellStart"/>
      <w:r w:rsidR="00594575">
        <w:t>dBm</w:t>
      </w:r>
      <w:proofErr w:type="spellEnd"/>
      <w:r w:rsidR="00594575">
        <w:t>/MHz is made like the unwanted emissions requirements, integrating the power across the reference bandwidth (1 MHz in the example). For PSD measurements the following apply in general:</w:t>
      </w:r>
    </w:p>
    <w:p w14:paraId="2D9AE30B" w14:textId="462C1088" w:rsidR="00594575" w:rsidRPr="00AB410B" w:rsidRDefault="00594575" w:rsidP="00AB410B">
      <w:pPr>
        <w:pStyle w:val="Default"/>
        <w:rPr>
          <w:rFonts w:ascii="Arial" w:hAnsi="Arial" w:cs="Arial"/>
          <w:sz w:val="20"/>
          <w:szCs w:val="20"/>
          <w:lang w:val="sv-SE"/>
        </w:rPr>
      </w:pPr>
      <w:r w:rsidRPr="00AB410B">
        <w:rPr>
          <w:rFonts w:ascii="Arial" w:hAnsi="Arial" w:cs="Arial"/>
          <w:sz w:val="20"/>
          <w:szCs w:val="20"/>
        </w:rPr>
        <w:t>“</w:t>
      </w:r>
      <w:r w:rsidR="00AB410B" w:rsidRPr="00AB410B">
        <w:rPr>
          <w:rFonts w:ascii="Arial" w:hAnsi="Arial" w:cs="Arial"/>
          <w:sz w:val="20"/>
          <w:szCs w:val="20"/>
          <w:lang w:val="sv-SE"/>
        </w:rPr>
        <w:t xml:space="preserve"> </w:t>
      </w:r>
      <w:r w:rsidRPr="00AB410B">
        <w:rPr>
          <w:rFonts w:ascii="Arial" w:hAnsi="Arial" w:cs="Arial"/>
          <w:sz w:val="20"/>
          <w:szCs w:val="20"/>
        </w:rPr>
        <w:t>For devices operating in the bands 5.15-5.25 GHz, 5.25-5.35 GHz, and 5.47-5.725 GHz, the above procedures make use of 1 MHz RBW to satisfy directly the 1 MHz reference bandwidth specified in § 15.407(a)(5). For devices operating in the band 5.725-5.85 GHz, the rules specify a measurement bandwidth of 500 kHz. Many spectrum analyzers do not have 500 kHz RBW, thus a narrower RBW may need to be used. The rules permit the use of a RBWs less than 1 MHz, or 500 kHz, “provided that the measured power is integrated over the full reference bandwidth” to show the total power over the specified measurement bandwidth (i.e.</w:t>
      </w:r>
      <w:r w:rsidRPr="00AB410B">
        <w:rPr>
          <w:rFonts w:ascii="Arial" w:hAnsi="Arial" w:cs="Arial"/>
          <w:i/>
          <w:iCs/>
          <w:sz w:val="20"/>
          <w:szCs w:val="20"/>
        </w:rPr>
        <w:t xml:space="preserve">, </w:t>
      </w:r>
      <w:r w:rsidRPr="00AB410B">
        <w:rPr>
          <w:rFonts w:ascii="Arial" w:hAnsi="Arial" w:cs="Arial"/>
          <w:sz w:val="20"/>
          <w:szCs w:val="20"/>
        </w:rPr>
        <w:t>1 MHz, or 500 kHz). ”</w:t>
      </w:r>
    </w:p>
    <w:p w14:paraId="13D2394A" w14:textId="77777777" w:rsidR="00AB410B" w:rsidRDefault="00AB410B" w:rsidP="00594575"/>
    <w:p w14:paraId="1853A5E3" w14:textId="2977A406" w:rsidR="00594575" w:rsidRDefault="00594575" w:rsidP="00594575">
      <w:r>
        <w:t xml:space="preserve">Hence one can verify the requirements by using RBW = reference bandwidth = 1 MHz below 5725 </w:t>
      </w:r>
      <w:proofErr w:type="spellStart"/>
      <w:r>
        <w:t>MHz.</w:t>
      </w:r>
      <w:proofErr w:type="spellEnd"/>
      <w:r>
        <w:t xml:space="preserve"> Then</w:t>
      </w:r>
      <w:r w:rsidR="00AB410B">
        <w:t>,</w:t>
      </w:r>
      <w:r>
        <w:t xml:space="preserve"> the FCC gives guidance in case one chooses to measure with a RBW &lt; reference bandwidth, then one should integrate the power across the reference bandwidth 1 MHz</w:t>
      </w:r>
      <w:r w:rsidR="00674AA1">
        <w:t xml:space="preserve"> to obtain a “per 1 MHz” result</w:t>
      </w:r>
      <w:r>
        <w:t>.</w:t>
      </w:r>
    </w:p>
    <w:p w14:paraId="4584CB3E" w14:textId="3ECA06AD" w:rsidR="00A902E8" w:rsidRDefault="00A902E8" w:rsidP="00594575">
      <w:r>
        <w:t>Finally, it is worthwhile noting that all power limits are per device even for IEEE 802.11ax MU-MIMO modes in the latest draft.</w:t>
      </w:r>
    </w:p>
    <w:p w14:paraId="5B0D07FA" w14:textId="77777777" w:rsidR="00674AA1" w:rsidRDefault="00674AA1" w:rsidP="00594575">
      <w:r>
        <w:t xml:space="preserve">So, overall for </w:t>
      </w:r>
      <w:r w:rsidR="00594575">
        <w:t>PSD</w:t>
      </w:r>
      <w:r>
        <w:t xml:space="preserve"> requirements</w:t>
      </w:r>
      <w:r w:rsidR="00594575">
        <w:t>,</w:t>
      </w:r>
      <w:r>
        <w:t xml:space="preserve"> based on the above discussion, we arrive at the following conclusion.</w:t>
      </w:r>
    </w:p>
    <w:p w14:paraId="4A8FDE99" w14:textId="77777777" w:rsidR="00674AA1" w:rsidRDefault="00674AA1" w:rsidP="00594575"/>
    <w:p w14:paraId="5C0FB3BB" w14:textId="4A62A5F0" w:rsidR="00594575" w:rsidRDefault="00674AA1" w:rsidP="00594575">
      <w:r w:rsidRPr="00674AA1">
        <w:rPr>
          <w:b/>
        </w:rPr>
        <w:t>Conclusion</w:t>
      </w:r>
      <w:r>
        <w:t xml:space="preserve">: </w:t>
      </w:r>
      <w:r w:rsidR="00A902E8">
        <w:t>S</w:t>
      </w:r>
      <w:r w:rsidR="00594575">
        <w:t>end</w:t>
      </w:r>
      <w:r w:rsidR="00A902E8">
        <w:t>ing</w:t>
      </w:r>
      <w:r w:rsidR="00594575">
        <w:t xml:space="preserve"> a singl</w:t>
      </w:r>
      <w:r w:rsidR="00A902E8">
        <w:t xml:space="preserve">e +10 </w:t>
      </w:r>
      <w:proofErr w:type="spellStart"/>
      <w:r w:rsidR="00A902E8">
        <w:t>dBm</w:t>
      </w:r>
      <w:proofErr w:type="spellEnd"/>
      <w:r w:rsidR="00A902E8">
        <w:t xml:space="preserve"> PRB in any 1 MHz band does not violate the intention of the regulations</w:t>
      </w:r>
    </w:p>
    <w:p w14:paraId="1CC2F7C9" w14:textId="00EFA436" w:rsidR="002F5CC2" w:rsidRPr="007429F7" w:rsidRDefault="002F5CC2" w:rsidP="00594575">
      <w:pPr>
        <w:pStyle w:val="BodyText"/>
        <w:overflowPunct/>
        <w:autoSpaceDE/>
        <w:autoSpaceDN/>
        <w:adjustRightInd/>
        <w:textAlignment w:val="auto"/>
        <w:rPr>
          <w:rFonts w:eastAsia="Calibri" w:cs="Arial"/>
          <w:lang w:val="en-US" w:eastAsia="en-US"/>
        </w:rPr>
      </w:pPr>
    </w:p>
    <w:p w14:paraId="387DCF3D" w14:textId="77777777" w:rsidR="0031745A" w:rsidRPr="00AA72AC" w:rsidRDefault="0031745A" w:rsidP="00AA72AC">
      <w:pPr>
        <w:pStyle w:val="BodyText"/>
        <w:rPr>
          <w:b/>
          <w:i/>
        </w:rPr>
      </w:pPr>
    </w:p>
    <w:p w14:paraId="4D8D43F9" w14:textId="77777777" w:rsidR="00D00AE7" w:rsidRDefault="00D00AE7" w:rsidP="00D00AE7">
      <w:pPr>
        <w:pStyle w:val="Heading1"/>
        <w:rPr>
          <w:lang w:val="en-US"/>
        </w:rPr>
      </w:pPr>
      <w:r>
        <w:rPr>
          <w:lang w:val="en-US"/>
        </w:rPr>
        <w:t>Conclusion</w:t>
      </w:r>
    </w:p>
    <w:p w14:paraId="21F83DCF" w14:textId="6ECB5167" w:rsidR="00A902E8" w:rsidRDefault="002F5CC2" w:rsidP="002F5CC2">
      <w:pPr>
        <w:pStyle w:val="BodyText"/>
        <w:rPr>
          <w:bCs/>
        </w:rPr>
      </w:pPr>
      <w:r>
        <w:rPr>
          <w:bCs/>
        </w:rPr>
        <w:t xml:space="preserve">In this contribution we discuss </w:t>
      </w:r>
      <w:r w:rsidR="00BD324D">
        <w:rPr>
          <w:bCs/>
        </w:rPr>
        <w:t xml:space="preserve">UL LBT procedures for enhanced LAA. </w:t>
      </w:r>
      <w:r>
        <w:rPr>
          <w:bCs/>
        </w:rPr>
        <w:t>Based on the evaluation results and further analysis we</w:t>
      </w:r>
      <w:r w:rsidR="00A902E8">
        <w:rPr>
          <w:bCs/>
        </w:rPr>
        <w:t xml:space="preserve"> reach the following conclusion.</w:t>
      </w:r>
    </w:p>
    <w:p w14:paraId="1115CD37" w14:textId="6E4BD8DC" w:rsidR="002F5CC2" w:rsidRPr="00BD324D" w:rsidRDefault="00A902E8" w:rsidP="00A902E8">
      <w:pPr>
        <w:pStyle w:val="BodyText"/>
        <w:overflowPunct/>
        <w:autoSpaceDE/>
        <w:autoSpaceDN/>
        <w:adjustRightInd/>
        <w:textAlignment w:val="auto"/>
        <w:rPr>
          <w:rFonts w:cs="Arial"/>
        </w:rPr>
      </w:pPr>
      <w:r w:rsidRPr="00674AA1">
        <w:rPr>
          <w:b/>
        </w:rPr>
        <w:t>Conclusion</w:t>
      </w:r>
      <w:r>
        <w:t xml:space="preserve">: Sending a single +10 </w:t>
      </w:r>
      <w:proofErr w:type="spellStart"/>
      <w:r>
        <w:t>dBm</w:t>
      </w:r>
      <w:proofErr w:type="spellEnd"/>
      <w:r>
        <w:t xml:space="preserve"> PRB in any 1 MHz band does not violate the intention of the regulations</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0739E171" w14:textId="31B91142" w:rsidR="00573BDB" w:rsidRPr="000B5404" w:rsidRDefault="006B165C" w:rsidP="000B5404">
      <w:pPr>
        <w:pStyle w:val="Reference"/>
        <w:keepNext/>
        <w:keepLines/>
        <w:rPr>
          <w:lang w:val="en-US"/>
        </w:rPr>
      </w:pPr>
      <w:bookmarkStart w:id="5" w:name="_Ref442291765"/>
      <w:bookmarkStart w:id="6"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5"/>
    </w:p>
    <w:p w14:paraId="4EBB1B1C" w14:textId="7B0BE44C" w:rsidR="00457FE5" w:rsidRPr="00C62DD1" w:rsidRDefault="00457FE5" w:rsidP="00D00AE7">
      <w:pPr>
        <w:pStyle w:val="Reference"/>
        <w:keepNext/>
        <w:keepLines/>
        <w:rPr>
          <w:lang w:val="en-US"/>
        </w:rPr>
      </w:pPr>
      <w:bookmarkStart w:id="7" w:name="_Ref447194991"/>
      <w:r>
        <w:t>ETSI EN 301 893, Harmonized European Standard, “Broadband Radio Access Networks (BRAN); 5 GHz high performance RLAN”</w:t>
      </w:r>
      <w:bookmarkEnd w:id="7"/>
    </w:p>
    <w:p w14:paraId="49BFA35B" w14:textId="79EE1818" w:rsidR="00C62DD1" w:rsidRPr="00C62DD1" w:rsidRDefault="00C62DD1" w:rsidP="00C62DD1">
      <w:pPr>
        <w:pStyle w:val="Reference"/>
        <w:rPr>
          <w:lang w:val="en-US"/>
        </w:rPr>
      </w:pPr>
      <w:bookmarkStart w:id="8" w:name="_Ref450935343"/>
      <w:r w:rsidRPr="00C62DD1">
        <w:rPr>
          <w:lang w:val="en-US"/>
        </w:rPr>
        <w:t>Study of the Frequency sharing between HIPERLANs</w:t>
      </w:r>
      <w:r>
        <w:rPr>
          <w:lang w:val="en-US"/>
        </w:rPr>
        <w:t xml:space="preserve"> </w:t>
      </w:r>
      <w:r w:rsidRPr="00C62DD1">
        <w:rPr>
          <w:lang w:val="en-US"/>
        </w:rPr>
        <w:t>and MSS</w:t>
      </w:r>
      <w:r>
        <w:rPr>
          <w:lang w:val="en-US"/>
        </w:rPr>
        <w:t xml:space="preserve"> feeder links in the 5 GHz band, </w:t>
      </w:r>
      <w:r w:rsidRPr="00C62DD1">
        <w:rPr>
          <w:lang w:val="en-US"/>
        </w:rPr>
        <w:t>Marbella, February 1999</w:t>
      </w:r>
      <w:r>
        <w:rPr>
          <w:lang w:val="en-US"/>
        </w:rPr>
        <w:t xml:space="preserve">, </w:t>
      </w:r>
      <w:r w:rsidRPr="00C62DD1">
        <w:rPr>
          <w:lang w:val="en-US"/>
        </w:rPr>
        <w:t>ERC REPORT 67</w:t>
      </w:r>
      <w:bookmarkEnd w:id="8"/>
    </w:p>
    <w:p w14:paraId="5286A8AE" w14:textId="1A056C56" w:rsidR="00923BA6" w:rsidRPr="00B84835" w:rsidRDefault="000B5404" w:rsidP="00D00AE7">
      <w:pPr>
        <w:pStyle w:val="Reference"/>
        <w:rPr>
          <w:lang w:eastAsia="ja-JP"/>
        </w:rPr>
      </w:pPr>
      <w:bookmarkStart w:id="9" w:name="_Ref442345665"/>
      <w:bookmarkStart w:id="10" w:name="_Ref447181229"/>
      <w:bookmarkStart w:id="11" w:name="_Ref446624612"/>
      <w:r w:rsidRPr="00713ED1">
        <w:t>3GPP TR 36.889 v.13.0.0, Study on Licensed-Assisted Access to Unlicensed Spectrum</w:t>
      </w:r>
      <w:bookmarkEnd w:id="6"/>
      <w:bookmarkEnd w:id="9"/>
      <w:bookmarkEnd w:id="10"/>
      <w:bookmarkEnd w:id="11"/>
    </w:p>
    <w:sectPr w:rsidR="00923BA6" w:rsidRPr="00B8483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AF649" w14:textId="77777777" w:rsidR="00DA3C58" w:rsidRDefault="00DA3C58">
      <w:r>
        <w:separator/>
      </w:r>
    </w:p>
  </w:endnote>
  <w:endnote w:type="continuationSeparator" w:id="0">
    <w:p w14:paraId="5EA87819" w14:textId="77777777" w:rsidR="00DA3C58" w:rsidRDefault="00DA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58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8D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74987" w14:textId="77777777" w:rsidR="00DA3C58" w:rsidRDefault="00DA3C58">
      <w:r>
        <w:separator/>
      </w:r>
    </w:p>
  </w:footnote>
  <w:footnote w:type="continuationSeparator" w:id="0">
    <w:p w14:paraId="6AA33D79" w14:textId="77777777" w:rsidR="00DA3C58" w:rsidRDefault="00DA3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745B09"/>
    <w:multiLevelType w:val="hybridMultilevel"/>
    <w:tmpl w:val="55F4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B864DF"/>
    <w:multiLevelType w:val="hybridMultilevel"/>
    <w:tmpl w:val="17B0FC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2">
    <w:nsid w:val="2DE72AF2"/>
    <w:multiLevelType w:val="hybridMultilevel"/>
    <w:tmpl w:val="8FB6D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B642C"/>
    <w:multiLevelType w:val="hybridMultilevel"/>
    <w:tmpl w:val="6ED4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17E464F"/>
    <w:multiLevelType w:val="hybridMultilevel"/>
    <w:tmpl w:val="2076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1273EB"/>
    <w:multiLevelType w:val="hybridMultilevel"/>
    <w:tmpl w:val="79F0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7">
    <w:nsid w:val="54E10129"/>
    <w:multiLevelType w:val="hybridMultilevel"/>
    <w:tmpl w:val="63A064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96264A"/>
    <w:multiLevelType w:val="hybridMultilevel"/>
    <w:tmpl w:val="E16A2D60"/>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027EF4"/>
    <w:multiLevelType w:val="hybridMultilevel"/>
    <w:tmpl w:val="2380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4">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9"/>
  </w:num>
  <w:num w:numId="4">
    <w:abstractNumId w:val="14"/>
  </w:num>
  <w:num w:numId="5">
    <w:abstractNumId w:val="21"/>
  </w:num>
  <w:num w:numId="6">
    <w:abstractNumId w:val="28"/>
  </w:num>
  <w:num w:numId="7">
    <w:abstractNumId w:val="16"/>
  </w:num>
  <w:num w:numId="8">
    <w:abstractNumId w:val="23"/>
  </w:num>
  <w:num w:numId="9">
    <w:abstractNumId w:val="25"/>
  </w:num>
  <w:num w:numId="10">
    <w:abstractNumId w:val="18"/>
  </w:num>
  <w:num w:numId="11">
    <w:abstractNumId w:val="17"/>
  </w:num>
  <w:num w:numId="12">
    <w:abstractNumId w:val="34"/>
  </w:num>
  <w:num w:numId="13">
    <w:abstractNumId w:val="4"/>
  </w:num>
  <w:num w:numId="14">
    <w:abstractNumId w:val="9"/>
  </w:num>
  <w:num w:numId="15">
    <w:abstractNumId w:val="7"/>
  </w:num>
  <w:num w:numId="16">
    <w:abstractNumId w:val="30"/>
  </w:num>
  <w:num w:numId="17">
    <w:abstractNumId w:val="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2"/>
  </w:num>
  <w:num w:numId="27">
    <w:abstractNumId w:val="20"/>
  </w:num>
  <w:num w:numId="28">
    <w:abstractNumId w:val="3"/>
  </w:num>
  <w:num w:numId="29">
    <w:abstractNumId w:val="10"/>
  </w:num>
  <w:num w:numId="30">
    <w:abstractNumId w:val="31"/>
  </w:num>
  <w:num w:numId="31">
    <w:abstractNumId w:val="29"/>
  </w:num>
  <w:num w:numId="32">
    <w:abstractNumId w:val="0"/>
  </w:num>
  <w:num w:numId="33">
    <w:abstractNumId w:val="11"/>
  </w:num>
  <w:num w:numId="34">
    <w:abstractNumId w:val="27"/>
  </w:num>
  <w:num w:numId="35">
    <w:abstractNumId w:val="5"/>
  </w:num>
  <w:num w:numId="36">
    <w:abstractNumId w:val="12"/>
  </w:num>
  <w:num w:numId="37">
    <w:abstractNumId w:val="13"/>
  </w:num>
  <w:num w:numId="38">
    <w:abstractNumId w:val="2"/>
  </w:num>
  <w:num w:numId="39">
    <w:abstractNumId w:val="24"/>
  </w:num>
  <w:num w:numId="40">
    <w:abstractNumId w:val="26"/>
  </w:num>
  <w:num w:numId="41">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5D15"/>
    <w:rsid w:val="00023678"/>
    <w:rsid w:val="0002564D"/>
    <w:rsid w:val="000259B2"/>
    <w:rsid w:val="00025ECA"/>
    <w:rsid w:val="000325B8"/>
    <w:rsid w:val="00034C15"/>
    <w:rsid w:val="000364B8"/>
    <w:rsid w:val="00036BA1"/>
    <w:rsid w:val="00037B23"/>
    <w:rsid w:val="00040F47"/>
    <w:rsid w:val="000422E2"/>
    <w:rsid w:val="00042F22"/>
    <w:rsid w:val="0004395C"/>
    <w:rsid w:val="000444E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404"/>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E309E"/>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E4D"/>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6853"/>
    <w:rsid w:val="00197DF9"/>
    <w:rsid w:val="001A1987"/>
    <w:rsid w:val="001A2564"/>
    <w:rsid w:val="001A27F7"/>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5632"/>
    <w:rsid w:val="00235872"/>
    <w:rsid w:val="00240E69"/>
    <w:rsid w:val="00241559"/>
    <w:rsid w:val="002435B3"/>
    <w:rsid w:val="002458EB"/>
    <w:rsid w:val="002460BE"/>
    <w:rsid w:val="00246C7A"/>
    <w:rsid w:val="002500C8"/>
    <w:rsid w:val="002502EA"/>
    <w:rsid w:val="0025561B"/>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1BA"/>
    <w:rsid w:val="002C5FAA"/>
    <w:rsid w:val="002D04B8"/>
    <w:rsid w:val="002D071A"/>
    <w:rsid w:val="002D0D2C"/>
    <w:rsid w:val="002D34B2"/>
    <w:rsid w:val="002D3E97"/>
    <w:rsid w:val="002D6234"/>
    <w:rsid w:val="002D6CA1"/>
    <w:rsid w:val="002D7637"/>
    <w:rsid w:val="002E17F2"/>
    <w:rsid w:val="002E5728"/>
    <w:rsid w:val="002E5848"/>
    <w:rsid w:val="002E7CAE"/>
    <w:rsid w:val="002F2771"/>
    <w:rsid w:val="002F37A9"/>
    <w:rsid w:val="002F5CC2"/>
    <w:rsid w:val="002F6661"/>
    <w:rsid w:val="00301CE6"/>
    <w:rsid w:val="0030256B"/>
    <w:rsid w:val="00302631"/>
    <w:rsid w:val="003042A8"/>
    <w:rsid w:val="0030501F"/>
    <w:rsid w:val="00306D27"/>
    <w:rsid w:val="00307BA1"/>
    <w:rsid w:val="00311702"/>
    <w:rsid w:val="00311E82"/>
    <w:rsid w:val="00313FD6"/>
    <w:rsid w:val="003140FC"/>
    <w:rsid w:val="003143BD"/>
    <w:rsid w:val="00317322"/>
    <w:rsid w:val="0031745A"/>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23FE"/>
    <w:rsid w:val="003632D8"/>
    <w:rsid w:val="00367803"/>
    <w:rsid w:val="00370E47"/>
    <w:rsid w:val="00372747"/>
    <w:rsid w:val="003742AC"/>
    <w:rsid w:val="00377CE1"/>
    <w:rsid w:val="003856C9"/>
    <w:rsid w:val="00385BF0"/>
    <w:rsid w:val="00390400"/>
    <w:rsid w:val="00391C44"/>
    <w:rsid w:val="003921EB"/>
    <w:rsid w:val="003939FF"/>
    <w:rsid w:val="0039454E"/>
    <w:rsid w:val="00394AF5"/>
    <w:rsid w:val="0039564B"/>
    <w:rsid w:val="003A0700"/>
    <w:rsid w:val="003A2223"/>
    <w:rsid w:val="003A2A0F"/>
    <w:rsid w:val="003A34D9"/>
    <w:rsid w:val="003A45A1"/>
    <w:rsid w:val="003A5B0A"/>
    <w:rsid w:val="003A6BAC"/>
    <w:rsid w:val="003A7707"/>
    <w:rsid w:val="003A7EF3"/>
    <w:rsid w:val="003B159C"/>
    <w:rsid w:val="003B15D1"/>
    <w:rsid w:val="003B24E3"/>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D6006"/>
    <w:rsid w:val="003E15FA"/>
    <w:rsid w:val="003E33C9"/>
    <w:rsid w:val="003E55E4"/>
    <w:rsid w:val="003E6325"/>
    <w:rsid w:val="003E65CB"/>
    <w:rsid w:val="003E74E3"/>
    <w:rsid w:val="003F05C7"/>
    <w:rsid w:val="003F2868"/>
    <w:rsid w:val="003F2CD4"/>
    <w:rsid w:val="003F2DF5"/>
    <w:rsid w:val="003F4C20"/>
    <w:rsid w:val="003F6BBE"/>
    <w:rsid w:val="004000E8"/>
    <w:rsid w:val="00401B08"/>
    <w:rsid w:val="00402E2B"/>
    <w:rsid w:val="00404F83"/>
    <w:rsid w:val="0040512B"/>
    <w:rsid w:val="0040594A"/>
    <w:rsid w:val="00405CA5"/>
    <w:rsid w:val="00407034"/>
    <w:rsid w:val="00407AB5"/>
    <w:rsid w:val="00407CD3"/>
    <w:rsid w:val="00410134"/>
    <w:rsid w:val="00410B72"/>
    <w:rsid w:val="00410F18"/>
    <w:rsid w:val="004117A3"/>
    <w:rsid w:val="0041263E"/>
    <w:rsid w:val="0041398A"/>
    <w:rsid w:val="00413AAC"/>
    <w:rsid w:val="004161FB"/>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6851"/>
    <w:rsid w:val="00457565"/>
    <w:rsid w:val="00457B71"/>
    <w:rsid w:val="00457FE5"/>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10F3"/>
    <w:rsid w:val="00492BC5"/>
    <w:rsid w:val="00492BD0"/>
    <w:rsid w:val="004964F1"/>
    <w:rsid w:val="004A119C"/>
    <w:rsid w:val="004A16BC"/>
    <w:rsid w:val="004A1DD3"/>
    <w:rsid w:val="004A2B94"/>
    <w:rsid w:val="004A32E3"/>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76F4"/>
    <w:rsid w:val="004E76FE"/>
    <w:rsid w:val="004F0B4E"/>
    <w:rsid w:val="004F0B6C"/>
    <w:rsid w:val="004F2078"/>
    <w:rsid w:val="004F4DA3"/>
    <w:rsid w:val="004F76B3"/>
    <w:rsid w:val="00502C0B"/>
    <w:rsid w:val="00506557"/>
    <w:rsid w:val="0050677A"/>
    <w:rsid w:val="005108D8"/>
    <w:rsid w:val="005116F9"/>
    <w:rsid w:val="00514227"/>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3BDB"/>
    <w:rsid w:val="0057568B"/>
    <w:rsid w:val="00577BB7"/>
    <w:rsid w:val="00582267"/>
    <w:rsid w:val="00582809"/>
    <w:rsid w:val="00584027"/>
    <w:rsid w:val="0058798C"/>
    <w:rsid w:val="00587FA9"/>
    <w:rsid w:val="005900FA"/>
    <w:rsid w:val="0059060D"/>
    <w:rsid w:val="005935A4"/>
    <w:rsid w:val="005943A9"/>
    <w:rsid w:val="00594575"/>
    <w:rsid w:val="00594793"/>
    <w:rsid w:val="005948C2"/>
    <w:rsid w:val="00594A09"/>
    <w:rsid w:val="00595DCA"/>
    <w:rsid w:val="0059779B"/>
    <w:rsid w:val="005A014B"/>
    <w:rsid w:val="005A209A"/>
    <w:rsid w:val="005A3F00"/>
    <w:rsid w:val="005A56B8"/>
    <w:rsid w:val="005A662D"/>
    <w:rsid w:val="005A68BA"/>
    <w:rsid w:val="005B04A1"/>
    <w:rsid w:val="005B1CDF"/>
    <w:rsid w:val="005B35D7"/>
    <w:rsid w:val="005B392A"/>
    <w:rsid w:val="005B3AA3"/>
    <w:rsid w:val="005B43A5"/>
    <w:rsid w:val="005B6F83"/>
    <w:rsid w:val="005C0267"/>
    <w:rsid w:val="005C0992"/>
    <w:rsid w:val="005C1729"/>
    <w:rsid w:val="005C1962"/>
    <w:rsid w:val="005C55E3"/>
    <w:rsid w:val="005C74FB"/>
    <w:rsid w:val="005D1602"/>
    <w:rsid w:val="005D2AFD"/>
    <w:rsid w:val="005D4A91"/>
    <w:rsid w:val="005D4C89"/>
    <w:rsid w:val="005D6F32"/>
    <w:rsid w:val="005D7ED0"/>
    <w:rsid w:val="005E385F"/>
    <w:rsid w:val="005E5834"/>
    <w:rsid w:val="005E5B81"/>
    <w:rsid w:val="005E6EB3"/>
    <w:rsid w:val="005F2CB1"/>
    <w:rsid w:val="005F3025"/>
    <w:rsid w:val="005F3A30"/>
    <w:rsid w:val="005F618C"/>
    <w:rsid w:val="005F70BD"/>
    <w:rsid w:val="006000D8"/>
    <w:rsid w:val="00600F6A"/>
    <w:rsid w:val="0060283C"/>
    <w:rsid w:val="0060342F"/>
    <w:rsid w:val="00603BC5"/>
    <w:rsid w:val="00604F14"/>
    <w:rsid w:val="00607463"/>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3F2"/>
    <w:rsid w:val="00655733"/>
    <w:rsid w:val="00655ACD"/>
    <w:rsid w:val="00656A92"/>
    <w:rsid w:val="00656B4E"/>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AA1"/>
    <w:rsid w:val="00674CC3"/>
    <w:rsid w:val="00675C72"/>
    <w:rsid w:val="006771F9"/>
    <w:rsid w:val="006776D7"/>
    <w:rsid w:val="00681003"/>
    <w:rsid w:val="006817C9"/>
    <w:rsid w:val="00683ECE"/>
    <w:rsid w:val="00685964"/>
    <w:rsid w:val="006865E1"/>
    <w:rsid w:val="00690137"/>
    <w:rsid w:val="00691500"/>
    <w:rsid w:val="0069162B"/>
    <w:rsid w:val="00693726"/>
    <w:rsid w:val="00693DD0"/>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0D2"/>
    <w:rsid w:val="006B27D4"/>
    <w:rsid w:val="006B50CF"/>
    <w:rsid w:val="006C03B8"/>
    <w:rsid w:val="006C0E8F"/>
    <w:rsid w:val="006C1ED3"/>
    <w:rsid w:val="006C2858"/>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4C01"/>
    <w:rsid w:val="00726EA6"/>
    <w:rsid w:val="00727208"/>
    <w:rsid w:val="00727680"/>
    <w:rsid w:val="00732966"/>
    <w:rsid w:val="007348B1"/>
    <w:rsid w:val="00735268"/>
    <w:rsid w:val="007362A6"/>
    <w:rsid w:val="00736D7D"/>
    <w:rsid w:val="00740E58"/>
    <w:rsid w:val="007429F7"/>
    <w:rsid w:val="007445A0"/>
    <w:rsid w:val="0074524B"/>
    <w:rsid w:val="00747D8B"/>
    <w:rsid w:val="007508A2"/>
    <w:rsid w:val="00751228"/>
    <w:rsid w:val="00756DA6"/>
    <w:rsid w:val="007571E1"/>
    <w:rsid w:val="007604B2"/>
    <w:rsid w:val="00761F5F"/>
    <w:rsid w:val="007629FB"/>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182A"/>
    <w:rsid w:val="007B216A"/>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7F07D5"/>
    <w:rsid w:val="0080371F"/>
    <w:rsid w:val="00803FAE"/>
    <w:rsid w:val="0080605F"/>
    <w:rsid w:val="00807786"/>
    <w:rsid w:val="0081076A"/>
    <w:rsid w:val="00811FCB"/>
    <w:rsid w:val="008158D6"/>
    <w:rsid w:val="008165A2"/>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0103"/>
    <w:rsid w:val="008677FD"/>
    <w:rsid w:val="008706D4"/>
    <w:rsid w:val="00870F8A"/>
    <w:rsid w:val="008719A4"/>
    <w:rsid w:val="00871D23"/>
    <w:rsid w:val="00874312"/>
    <w:rsid w:val="0087437C"/>
    <w:rsid w:val="00875CD7"/>
    <w:rsid w:val="00876B4D"/>
    <w:rsid w:val="00877F18"/>
    <w:rsid w:val="00884BB3"/>
    <w:rsid w:val="00885D70"/>
    <w:rsid w:val="00887FD9"/>
    <w:rsid w:val="0089039E"/>
    <w:rsid w:val="00890A58"/>
    <w:rsid w:val="00894A88"/>
    <w:rsid w:val="00895386"/>
    <w:rsid w:val="00896419"/>
    <w:rsid w:val="008A21FF"/>
    <w:rsid w:val="008A2CE2"/>
    <w:rsid w:val="008A2EB0"/>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55FE"/>
    <w:rsid w:val="008C6AE8"/>
    <w:rsid w:val="008C7573"/>
    <w:rsid w:val="008D34F1"/>
    <w:rsid w:val="008D39D8"/>
    <w:rsid w:val="008D47E3"/>
    <w:rsid w:val="008D4F7B"/>
    <w:rsid w:val="008D5CEB"/>
    <w:rsid w:val="008D6D1A"/>
    <w:rsid w:val="008D6D2E"/>
    <w:rsid w:val="008D74B4"/>
    <w:rsid w:val="008E065E"/>
    <w:rsid w:val="008E0927"/>
    <w:rsid w:val="008E153D"/>
    <w:rsid w:val="008E1909"/>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75E"/>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02F2"/>
    <w:rsid w:val="00961921"/>
    <w:rsid w:val="00962383"/>
    <w:rsid w:val="0096430A"/>
    <w:rsid w:val="00964912"/>
    <w:rsid w:val="0096554B"/>
    <w:rsid w:val="0096584A"/>
    <w:rsid w:val="009659BA"/>
    <w:rsid w:val="009675AA"/>
    <w:rsid w:val="00971F08"/>
    <w:rsid w:val="0097603D"/>
    <w:rsid w:val="00976949"/>
    <w:rsid w:val="00977098"/>
    <w:rsid w:val="00980477"/>
    <w:rsid w:val="00985105"/>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38C1"/>
    <w:rsid w:val="00A048A8"/>
    <w:rsid w:val="00A04C24"/>
    <w:rsid w:val="00A04F49"/>
    <w:rsid w:val="00A0560A"/>
    <w:rsid w:val="00A07A3D"/>
    <w:rsid w:val="00A13E54"/>
    <w:rsid w:val="00A14603"/>
    <w:rsid w:val="00A17F63"/>
    <w:rsid w:val="00A2193B"/>
    <w:rsid w:val="00A21F85"/>
    <w:rsid w:val="00A2351A"/>
    <w:rsid w:val="00A23C84"/>
    <w:rsid w:val="00A24474"/>
    <w:rsid w:val="00A25E7D"/>
    <w:rsid w:val="00A25F47"/>
    <w:rsid w:val="00A264A9"/>
    <w:rsid w:val="00A27785"/>
    <w:rsid w:val="00A27B61"/>
    <w:rsid w:val="00A30187"/>
    <w:rsid w:val="00A309A8"/>
    <w:rsid w:val="00A31C10"/>
    <w:rsid w:val="00A3448A"/>
    <w:rsid w:val="00A34AE3"/>
    <w:rsid w:val="00A36297"/>
    <w:rsid w:val="00A3793A"/>
    <w:rsid w:val="00A41E2B"/>
    <w:rsid w:val="00A45B74"/>
    <w:rsid w:val="00A52E1D"/>
    <w:rsid w:val="00A53CB2"/>
    <w:rsid w:val="00A5462F"/>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8187D"/>
    <w:rsid w:val="00A83E8E"/>
    <w:rsid w:val="00A84B2D"/>
    <w:rsid w:val="00A87208"/>
    <w:rsid w:val="00A902E8"/>
    <w:rsid w:val="00A92879"/>
    <w:rsid w:val="00A937F3"/>
    <w:rsid w:val="00A9442A"/>
    <w:rsid w:val="00AA016F"/>
    <w:rsid w:val="00AA1ED6"/>
    <w:rsid w:val="00AA2733"/>
    <w:rsid w:val="00AA4F83"/>
    <w:rsid w:val="00AA51D6"/>
    <w:rsid w:val="00AA72AC"/>
    <w:rsid w:val="00AA7770"/>
    <w:rsid w:val="00AB0BC8"/>
    <w:rsid w:val="00AB11CA"/>
    <w:rsid w:val="00AB14D9"/>
    <w:rsid w:val="00AB245B"/>
    <w:rsid w:val="00AB3577"/>
    <w:rsid w:val="00AB410B"/>
    <w:rsid w:val="00AB4AB8"/>
    <w:rsid w:val="00AB655E"/>
    <w:rsid w:val="00AC007F"/>
    <w:rsid w:val="00AC2ECD"/>
    <w:rsid w:val="00AC3119"/>
    <w:rsid w:val="00AC49FB"/>
    <w:rsid w:val="00AC5A10"/>
    <w:rsid w:val="00AD0AA3"/>
    <w:rsid w:val="00AD10A8"/>
    <w:rsid w:val="00AD1D0F"/>
    <w:rsid w:val="00AD1EEF"/>
    <w:rsid w:val="00AD2ACF"/>
    <w:rsid w:val="00AD3F94"/>
    <w:rsid w:val="00AD4A5A"/>
    <w:rsid w:val="00AD637A"/>
    <w:rsid w:val="00AE27AC"/>
    <w:rsid w:val="00AE28DF"/>
    <w:rsid w:val="00AE3489"/>
    <w:rsid w:val="00AE40E0"/>
    <w:rsid w:val="00AE4DBA"/>
    <w:rsid w:val="00AE4F07"/>
    <w:rsid w:val="00AE5C3E"/>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1F41"/>
    <w:rsid w:val="00B45A52"/>
    <w:rsid w:val="00B46175"/>
    <w:rsid w:val="00B468D4"/>
    <w:rsid w:val="00B503A6"/>
    <w:rsid w:val="00B5100C"/>
    <w:rsid w:val="00B536CC"/>
    <w:rsid w:val="00B6391E"/>
    <w:rsid w:val="00B664C7"/>
    <w:rsid w:val="00B70FB7"/>
    <w:rsid w:val="00B739F6"/>
    <w:rsid w:val="00B75F58"/>
    <w:rsid w:val="00B761D2"/>
    <w:rsid w:val="00B76BF6"/>
    <w:rsid w:val="00B8088E"/>
    <w:rsid w:val="00B816EA"/>
    <w:rsid w:val="00B81A6C"/>
    <w:rsid w:val="00B81B0D"/>
    <w:rsid w:val="00B83BC0"/>
    <w:rsid w:val="00B84835"/>
    <w:rsid w:val="00B85DE5"/>
    <w:rsid w:val="00B90301"/>
    <w:rsid w:val="00B90C2F"/>
    <w:rsid w:val="00B90F73"/>
    <w:rsid w:val="00B92972"/>
    <w:rsid w:val="00B92D5D"/>
    <w:rsid w:val="00B92EA3"/>
    <w:rsid w:val="00B93B59"/>
    <w:rsid w:val="00B9406A"/>
    <w:rsid w:val="00B97352"/>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D09F7"/>
    <w:rsid w:val="00BD324D"/>
    <w:rsid w:val="00BD48AC"/>
    <w:rsid w:val="00BD5F1A"/>
    <w:rsid w:val="00BE1234"/>
    <w:rsid w:val="00BE2FA6"/>
    <w:rsid w:val="00BE333F"/>
    <w:rsid w:val="00BE7406"/>
    <w:rsid w:val="00BE7603"/>
    <w:rsid w:val="00BF00F5"/>
    <w:rsid w:val="00BF21E6"/>
    <w:rsid w:val="00BF3279"/>
    <w:rsid w:val="00BF74C7"/>
    <w:rsid w:val="00C015F1"/>
    <w:rsid w:val="00C01F33"/>
    <w:rsid w:val="00C02CC6"/>
    <w:rsid w:val="00C040F7"/>
    <w:rsid w:val="00C044AB"/>
    <w:rsid w:val="00C04DD2"/>
    <w:rsid w:val="00C04F22"/>
    <w:rsid w:val="00C05706"/>
    <w:rsid w:val="00C058DB"/>
    <w:rsid w:val="00C07377"/>
    <w:rsid w:val="00C10478"/>
    <w:rsid w:val="00C10F3D"/>
    <w:rsid w:val="00C12107"/>
    <w:rsid w:val="00C14D4B"/>
    <w:rsid w:val="00C154BB"/>
    <w:rsid w:val="00C1744C"/>
    <w:rsid w:val="00C174D0"/>
    <w:rsid w:val="00C22738"/>
    <w:rsid w:val="00C25B67"/>
    <w:rsid w:val="00C25C91"/>
    <w:rsid w:val="00C27711"/>
    <w:rsid w:val="00C279B5"/>
    <w:rsid w:val="00C27C45"/>
    <w:rsid w:val="00C31EC1"/>
    <w:rsid w:val="00C33F7D"/>
    <w:rsid w:val="00C36C34"/>
    <w:rsid w:val="00C3719D"/>
    <w:rsid w:val="00C401BA"/>
    <w:rsid w:val="00C4487A"/>
    <w:rsid w:val="00C44DC5"/>
    <w:rsid w:val="00C465CE"/>
    <w:rsid w:val="00C4713E"/>
    <w:rsid w:val="00C47294"/>
    <w:rsid w:val="00C54995"/>
    <w:rsid w:val="00C54D41"/>
    <w:rsid w:val="00C54E7B"/>
    <w:rsid w:val="00C57E51"/>
    <w:rsid w:val="00C57E65"/>
    <w:rsid w:val="00C60783"/>
    <w:rsid w:val="00C60D03"/>
    <w:rsid w:val="00C62DD1"/>
    <w:rsid w:val="00C63BA2"/>
    <w:rsid w:val="00C64672"/>
    <w:rsid w:val="00C70697"/>
    <w:rsid w:val="00C72EF4"/>
    <w:rsid w:val="00C75D2F"/>
    <w:rsid w:val="00C767BE"/>
    <w:rsid w:val="00C76E3C"/>
    <w:rsid w:val="00C81568"/>
    <w:rsid w:val="00C8725C"/>
    <w:rsid w:val="00C8739A"/>
    <w:rsid w:val="00C9027A"/>
    <w:rsid w:val="00C9068E"/>
    <w:rsid w:val="00C93C4B"/>
    <w:rsid w:val="00C944AB"/>
    <w:rsid w:val="00C95B40"/>
    <w:rsid w:val="00CA1E15"/>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314"/>
    <w:rsid w:val="00D13E4E"/>
    <w:rsid w:val="00D17994"/>
    <w:rsid w:val="00D239A7"/>
    <w:rsid w:val="00D23F47"/>
    <w:rsid w:val="00D25712"/>
    <w:rsid w:val="00D25792"/>
    <w:rsid w:val="00D25BE1"/>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97BE6"/>
    <w:rsid w:val="00DA305E"/>
    <w:rsid w:val="00DA3C58"/>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0CE"/>
    <w:rsid w:val="00E00600"/>
    <w:rsid w:val="00E00660"/>
    <w:rsid w:val="00E00BE1"/>
    <w:rsid w:val="00E06570"/>
    <w:rsid w:val="00E07842"/>
    <w:rsid w:val="00E110E7"/>
    <w:rsid w:val="00E11B20"/>
    <w:rsid w:val="00E12BA4"/>
    <w:rsid w:val="00E14C07"/>
    <w:rsid w:val="00E17C35"/>
    <w:rsid w:val="00E17FA2"/>
    <w:rsid w:val="00E20027"/>
    <w:rsid w:val="00E22330"/>
    <w:rsid w:val="00E233B2"/>
    <w:rsid w:val="00E2740D"/>
    <w:rsid w:val="00E30B5A"/>
    <w:rsid w:val="00E3123D"/>
    <w:rsid w:val="00E313EE"/>
    <w:rsid w:val="00E31461"/>
    <w:rsid w:val="00E31D43"/>
    <w:rsid w:val="00E32608"/>
    <w:rsid w:val="00E34188"/>
    <w:rsid w:val="00E34B6E"/>
    <w:rsid w:val="00E35559"/>
    <w:rsid w:val="00E3723A"/>
    <w:rsid w:val="00E37860"/>
    <w:rsid w:val="00E401E7"/>
    <w:rsid w:val="00E446F1"/>
    <w:rsid w:val="00E46886"/>
    <w:rsid w:val="00E47AEF"/>
    <w:rsid w:val="00E52A05"/>
    <w:rsid w:val="00E53B75"/>
    <w:rsid w:val="00E54E3B"/>
    <w:rsid w:val="00E57565"/>
    <w:rsid w:val="00E63838"/>
    <w:rsid w:val="00E63D04"/>
    <w:rsid w:val="00E64434"/>
    <w:rsid w:val="00E66C38"/>
    <w:rsid w:val="00E679C0"/>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1A7C"/>
    <w:rsid w:val="00EA4EB6"/>
    <w:rsid w:val="00EA7A41"/>
    <w:rsid w:val="00EB031C"/>
    <w:rsid w:val="00EB077B"/>
    <w:rsid w:val="00EB4EA2"/>
    <w:rsid w:val="00EC0838"/>
    <w:rsid w:val="00EC27C6"/>
    <w:rsid w:val="00EC4207"/>
    <w:rsid w:val="00EC5653"/>
    <w:rsid w:val="00EC71CE"/>
    <w:rsid w:val="00ED1006"/>
    <w:rsid w:val="00ED2AAD"/>
    <w:rsid w:val="00EF18FE"/>
    <w:rsid w:val="00EF3935"/>
    <w:rsid w:val="00EF3C81"/>
    <w:rsid w:val="00EF4221"/>
    <w:rsid w:val="00EF4C30"/>
    <w:rsid w:val="00EF5787"/>
    <w:rsid w:val="00EF60D0"/>
    <w:rsid w:val="00F03BFE"/>
    <w:rsid w:val="00F0528D"/>
    <w:rsid w:val="00F06C67"/>
    <w:rsid w:val="00F06DFD"/>
    <w:rsid w:val="00F071D1"/>
    <w:rsid w:val="00F07533"/>
    <w:rsid w:val="00F102DE"/>
    <w:rsid w:val="00F10595"/>
    <w:rsid w:val="00F10629"/>
    <w:rsid w:val="00F15FA5"/>
    <w:rsid w:val="00F16310"/>
    <w:rsid w:val="00F20021"/>
    <w:rsid w:val="00F209B7"/>
    <w:rsid w:val="00F220C8"/>
    <w:rsid w:val="00F2376F"/>
    <w:rsid w:val="00F243D8"/>
    <w:rsid w:val="00F27740"/>
    <w:rsid w:val="00F30828"/>
    <w:rsid w:val="00F313D6"/>
    <w:rsid w:val="00F3410C"/>
    <w:rsid w:val="00F34CD8"/>
    <w:rsid w:val="00F35CA9"/>
    <w:rsid w:val="00F36E17"/>
    <w:rsid w:val="00F40343"/>
    <w:rsid w:val="00F40F0C"/>
    <w:rsid w:val="00F42239"/>
    <w:rsid w:val="00F4766C"/>
    <w:rsid w:val="00F50548"/>
    <w:rsid w:val="00F507D1"/>
    <w:rsid w:val="00F5080D"/>
    <w:rsid w:val="00F519CE"/>
    <w:rsid w:val="00F51ADA"/>
    <w:rsid w:val="00F52664"/>
    <w:rsid w:val="00F552E5"/>
    <w:rsid w:val="00F56091"/>
    <w:rsid w:val="00F607C5"/>
    <w:rsid w:val="00F60DEA"/>
    <w:rsid w:val="00F6302A"/>
    <w:rsid w:val="00F63095"/>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01A3"/>
    <w:rsid w:val="00FB216B"/>
    <w:rsid w:val="00FB3B05"/>
    <w:rsid w:val="00FB4C80"/>
    <w:rsid w:val="00FB5002"/>
    <w:rsid w:val="00FB52D1"/>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 w:type="paragraph" w:customStyle="1" w:styleId="Default">
    <w:name w:val="Default"/>
    <w:basedOn w:val="Normal"/>
    <w:rsid w:val="00594575"/>
    <w:pPr>
      <w:overflowPunct/>
      <w:adjustRightInd/>
      <w:spacing w:after="0"/>
      <w:jc w:val="left"/>
      <w:textAlignment w:val="auto"/>
    </w:pPr>
    <w:rPr>
      <w:rFonts w:ascii="Times New Roman" w:eastAsiaTheme="minorHAnsi" w:hAnsi="Times New Roman"/>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 w:type="paragraph" w:customStyle="1" w:styleId="Default">
    <w:name w:val="Default"/>
    <w:basedOn w:val="Normal"/>
    <w:rsid w:val="00594575"/>
    <w:pPr>
      <w:overflowPunct/>
      <w:adjustRightInd/>
      <w:spacing w:after="0"/>
      <w:jc w:val="left"/>
      <w:textAlignment w:val="auto"/>
    </w:pPr>
    <w:rPr>
      <w:rFonts w:ascii="Times New Roman" w:eastAsiaTheme="minorHAnsi"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1665933361">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eushako\Documents\Projects\Liger\LTE%20Unlicenced\3GPP\2016%2005\R1-163683.zip" TargetMode="External"/><Relationship Id="rId4" Type="http://schemas.microsoft.com/office/2007/relationships/stylesWithEffects" Target="stylesWithEffects.xml"/><Relationship Id="rId9" Type="http://schemas.openxmlformats.org/officeDocument/2006/relationships/hyperlink" Target="file:///C:\Users\eushako\Documents\Projects\Liger\LTE%20Unlicenced\3GPP\2016%2005\R1-1637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68047-6369-4739-88CA-9CE120DD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2</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7</cp:revision>
  <cp:lastPrinted>2008-01-31T07:09:00Z</cp:lastPrinted>
  <dcterms:created xsi:type="dcterms:W3CDTF">2016-05-14T03:38:00Z</dcterms:created>
  <dcterms:modified xsi:type="dcterms:W3CDTF">2016-05-14T03:42:00Z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