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7EB" w:rsidRPr="006857EB" w:rsidRDefault="006857EB" w:rsidP="005544D4">
      <w:pPr>
        <w:pStyle w:val="a3"/>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 #</w:t>
      </w:r>
      <w:r w:rsidR="009647C7" w:rsidRPr="006857EB">
        <w:rPr>
          <w:rFonts w:cs="Arial"/>
          <w:noProof w:val="0"/>
          <w:sz w:val="28"/>
          <w:szCs w:val="28"/>
          <w:lang w:val="en-US"/>
        </w:rPr>
        <w:t>8</w:t>
      </w:r>
      <w:r w:rsidR="009647C7">
        <w:rPr>
          <w:rFonts w:cs="Arial" w:hint="eastAsia"/>
          <w:noProof w:val="0"/>
          <w:sz w:val="28"/>
          <w:szCs w:val="28"/>
          <w:lang w:val="en-US"/>
        </w:rPr>
        <w:t>5</w:t>
      </w:r>
      <w:r w:rsidRPr="006857EB">
        <w:rPr>
          <w:rFonts w:cs="Arial"/>
          <w:noProof w:val="0"/>
          <w:sz w:val="28"/>
          <w:szCs w:val="28"/>
          <w:lang w:val="en-US"/>
        </w:rPr>
        <w:tab/>
      </w:r>
      <w:r w:rsidR="00BB0967" w:rsidRPr="00BB0967">
        <w:rPr>
          <w:rFonts w:cs="Arial"/>
          <w:noProof w:val="0"/>
          <w:sz w:val="28"/>
          <w:szCs w:val="28"/>
          <w:lang w:val="en-US"/>
        </w:rPr>
        <w:t>R1-16</w:t>
      </w:r>
      <w:r w:rsidR="00151886">
        <w:rPr>
          <w:rFonts w:cs="Arial"/>
          <w:noProof w:val="0"/>
          <w:sz w:val="28"/>
          <w:szCs w:val="28"/>
          <w:lang w:val="en-US"/>
        </w:rPr>
        <w:t>5003</w:t>
      </w:r>
    </w:p>
    <w:p w:rsidR="00826E40" w:rsidRPr="00AE63A5" w:rsidRDefault="00CD764D" w:rsidP="005544D4">
      <w:pPr>
        <w:pStyle w:val="a3"/>
        <w:tabs>
          <w:tab w:val="right" w:pos="9072"/>
          <w:tab w:val="right" w:pos="10206"/>
        </w:tabs>
        <w:spacing w:after="0" w:afterAutospacing="0"/>
        <w:rPr>
          <w:rFonts w:cs="Arial"/>
          <w:noProof w:val="0"/>
          <w:sz w:val="28"/>
          <w:szCs w:val="28"/>
          <w:lang w:val="en-US"/>
        </w:rPr>
      </w:pPr>
      <w:bookmarkStart w:id="1" w:name="_Ref133120545"/>
      <w:bookmarkEnd w:id="0"/>
      <w:r>
        <w:rPr>
          <w:rFonts w:cs="Arial"/>
          <w:noProof w:val="0"/>
          <w:sz w:val="28"/>
          <w:szCs w:val="28"/>
          <w:lang w:val="en-US"/>
        </w:rPr>
        <w:t>Nanjing</w:t>
      </w:r>
      <w:r w:rsidR="00826E40">
        <w:rPr>
          <w:rFonts w:cs="Arial"/>
          <w:noProof w:val="0"/>
          <w:sz w:val="28"/>
          <w:szCs w:val="28"/>
          <w:lang w:val="en-US"/>
        </w:rPr>
        <w:t xml:space="preserve">, </w:t>
      </w:r>
      <w:r>
        <w:rPr>
          <w:rFonts w:cs="Arial"/>
          <w:noProof w:val="0"/>
          <w:sz w:val="28"/>
          <w:szCs w:val="28"/>
          <w:lang w:val="en-US"/>
        </w:rPr>
        <w:t>China</w:t>
      </w:r>
      <w:r w:rsidR="00826E40" w:rsidRPr="00B1121C">
        <w:rPr>
          <w:rFonts w:cs="Arial"/>
          <w:noProof w:val="0"/>
          <w:sz w:val="28"/>
          <w:szCs w:val="28"/>
          <w:lang w:val="en-US"/>
        </w:rPr>
        <w:t xml:space="preserve">, </w:t>
      </w:r>
      <w:r>
        <w:rPr>
          <w:rFonts w:cs="Arial"/>
          <w:noProof w:val="0"/>
          <w:sz w:val="28"/>
          <w:szCs w:val="28"/>
          <w:lang w:val="en-US"/>
        </w:rPr>
        <w:t>23</w:t>
      </w:r>
      <w:r w:rsidRPr="00CD764D">
        <w:rPr>
          <w:rFonts w:cs="Arial"/>
          <w:noProof w:val="0"/>
          <w:sz w:val="28"/>
          <w:szCs w:val="28"/>
          <w:vertAlign w:val="superscript"/>
          <w:lang w:val="en-US"/>
        </w:rPr>
        <w:t>rd</w:t>
      </w:r>
      <w:r>
        <w:rPr>
          <w:rFonts w:cs="Arial"/>
          <w:noProof w:val="0"/>
          <w:sz w:val="28"/>
          <w:szCs w:val="28"/>
          <w:lang w:val="en-US"/>
        </w:rPr>
        <w:t xml:space="preserve"> </w:t>
      </w:r>
      <w:r w:rsidR="00826E40" w:rsidRPr="00B1121C">
        <w:rPr>
          <w:rFonts w:cs="Arial"/>
          <w:noProof w:val="0"/>
          <w:sz w:val="28"/>
          <w:szCs w:val="28"/>
          <w:lang w:val="en-US"/>
        </w:rPr>
        <w:t xml:space="preserve">– </w:t>
      </w:r>
      <w:r>
        <w:rPr>
          <w:rFonts w:cs="Arial"/>
          <w:noProof w:val="0"/>
          <w:sz w:val="28"/>
          <w:szCs w:val="28"/>
          <w:lang w:val="en-US"/>
        </w:rPr>
        <w:t>27</w:t>
      </w:r>
      <w:r w:rsidRPr="00CD764D">
        <w:rPr>
          <w:rFonts w:cs="Arial"/>
          <w:noProof w:val="0"/>
          <w:sz w:val="28"/>
          <w:szCs w:val="28"/>
          <w:vertAlign w:val="superscript"/>
          <w:lang w:val="en-US"/>
        </w:rPr>
        <w:t>th</w:t>
      </w:r>
      <w:r>
        <w:rPr>
          <w:rFonts w:cs="Arial"/>
          <w:noProof w:val="0"/>
          <w:sz w:val="28"/>
          <w:szCs w:val="28"/>
          <w:lang w:val="en-US"/>
        </w:rPr>
        <w:t xml:space="preserve"> May</w:t>
      </w:r>
      <w:r w:rsidR="00826E40">
        <w:rPr>
          <w:rFonts w:cs="Arial"/>
          <w:noProof w:val="0"/>
          <w:sz w:val="28"/>
          <w:szCs w:val="28"/>
          <w:lang w:val="en-US"/>
        </w:rPr>
        <w:t xml:space="preserve"> </w:t>
      </w:r>
      <w:r w:rsidR="00826E40" w:rsidRPr="00B1121C">
        <w:rPr>
          <w:rFonts w:cs="Arial"/>
          <w:noProof w:val="0"/>
          <w:sz w:val="28"/>
          <w:szCs w:val="28"/>
          <w:lang w:val="en-US"/>
        </w:rPr>
        <w:t>201</w:t>
      </w:r>
      <w:r w:rsidR="00826E40">
        <w:rPr>
          <w:rFonts w:cs="Arial" w:hint="eastAsia"/>
          <w:noProof w:val="0"/>
          <w:sz w:val="28"/>
          <w:szCs w:val="28"/>
          <w:lang w:val="en-US"/>
        </w:rPr>
        <w:t>6</w:t>
      </w:r>
    </w:p>
    <w:p w:rsidR="006857EB" w:rsidRDefault="006857EB" w:rsidP="005544D4">
      <w:pPr>
        <w:tabs>
          <w:tab w:val="left" w:pos="1985"/>
        </w:tabs>
        <w:spacing w:after="0" w:afterAutospacing="0"/>
        <w:ind w:left="1985" w:hangingChars="706" w:hanging="1985"/>
        <w:rPr>
          <w:rFonts w:ascii="Arial" w:hAnsi="Arial" w:cs="Arial"/>
          <w:b/>
          <w:sz w:val="28"/>
          <w:szCs w:val="28"/>
          <w:lang w:val="en-US"/>
        </w:rPr>
      </w:pP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r w:rsidR="00982F1B">
        <w:rPr>
          <w:rFonts w:ascii="Arial" w:hAnsi="Arial" w:cs="Arial"/>
          <w:b/>
          <w:sz w:val="28"/>
          <w:szCs w:val="28"/>
          <w:lang w:val="en-US"/>
        </w:rPr>
        <w:t>, MTI</w:t>
      </w:r>
      <w:bookmarkStart w:id="2" w:name="_GoBack"/>
      <w:bookmarkEnd w:id="2"/>
    </w:p>
    <w:p w:rsidR="00004B52" w:rsidRPr="00442959" w:rsidRDefault="00004B52" w:rsidP="005544D4">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3" w:name="OLE_LINK1"/>
      <w:r w:rsidR="00FB15D2">
        <w:rPr>
          <w:rFonts w:ascii="Arial" w:hAnsi="Arial" w:cs="Arial"/>
          <w:b/>
          <w:sz w:val="28"/>
          <w:szCs w:val="28"/>
          <w:lang w:val="en-US"/>
        </w:rPr>
        <w:t>Short TTI and p</w:t>
      </w:r>
      <w:r w:rsidR="00A40EB4">
        <w:rPr>
          <w:rFonts w:ascii="Arial" w:hAnsi="Arial" w:cs="Arial"/>
          <w:b/>
          <w:sz w:val="28"/>
          <w:szCs w:val="28"/>
          <w:lang w:val="en-US"/>
        </w:rPr>
        <w:t>rocessing time reduction for TDD</w:t>
      </w:r>
      <w:bookmarkEnd w:id="3"/>
    </w:p>
    <w:p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D764D">
        <w:rPr>
          <w:rFonts w:ascii="Arial" w:hAnsi="Arial" w:cs="Arial"/>
          <w:b/>
          <w:sz w:val="28"/>
          <w:szCs w:val="28"/>
          <w:lang w:val="pt-BR"/>
        </w:rPr>
        <w:t>6</w:t>
      </w:r>
      <w:r w:rsidR="00452686">
        <w:rPr>
          <w:rFonts w:ascii="Arial" w:hAnsi="Arial" w:cs="Arial"/>
          <w:b/>
          <w:sz w:val="28"/>
          <w:szCs w:val="28"/>
          <w:lang w:val="pt-BR"/>
        </w:rPr>
        <w:t>.</w:t>
      </w:r>
      <w:r w:rsidR="00CD764D">
        <w:rPr>
          <w:rFonts w:ascii="Arial" w:hAnsi="Arial" w:cs="Arial"/>
          <w:b/>
          <w:sz w:val="28"/>
          <w:szCs w:val="28"/>
          <w:lang w:val="pt-BR"/>
        </w:rPr>
        <w:t>2</w:t>
      </w:r>
      <w:r w:rsidR="00452686">
        <w:rPr>
          <w:rFonts w:ascii="Arial" w:hAnsi="Arial" w:cs="Arial"/>
          <w:b/>
          <w:sz w:val="28"/>
          <w:szCs w:val="28"/>
          <w:lang w:val="pt-BR"/>
        </w:rPr>
        <w:t>.1</w:t>
      </w:r>
      <w:r w:rsidR="00A40EB4">
        <w:rPr>
          <w:rFonts w:ascii="Arial" w:hAnsi="Arial" w:cs="Arial"/>
          <w:b/>
          <w:sz w:val="28"/>
          <w:szCs w:val="28"/>
          <w:lang w:val="pt-BR"/>
        </w:rPr>
        <w:t>0</w:t>
      </w:r>
      <w:r w:rsidR="00452686">
        <w:rPr>
          <w:rFonts w:ascii="Arial" w:hAnsi="Arial" w:cs="Arial"/>
          <w:b/>
          <w:sz w:val="28"/>
          <w:szCs w:val="28"/>
          <w:lang w:val="pt-BR"/>
        </w:rPr>
        <w:t>.</w:t>
      </w:r>
      <w:r w:rsidR="00647539">
        <w:rPr>
          <w:rFonts w:ascii="Arial" w:hAnsi="Arial" w:cs="Arial"/>
          <w:b/>
          <w:sz w:val="28"/>
          <w:szCs w:val="28"/>
          <w:lang w:val="pt-BR"/>
        </w:rPr>
        <w:t>4</w:t>
      </w:r>
    </w:p>
    <w:p w:rsidR="00004B52" w:rsidRPr="00442959"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843FA0" w:rsidRDefault="00FB15D2" w:rsidP="005544D4">
      <w:pPr>
        <w:autoSpaceDE w:val="0"/>
        <w:autoSpaceDN w:val="0"/>
        <w:adjustRightInd w:val="0"/>
        <w:spacing w:before="100" w:beforeAutospacing="1"/>
        <w:rPr>
          <w:rFonts w:cs="Arial"/>
          <w:szCs w:val="24"/>
          <w:lang w:val="en-US" w:eastAsia="zh-CN"/>
        </w:rPr>
      </w:pPr>
      <w:r>
        <w:rPr>
          <w:rFonts w:cs="Arial"/>
          <w:szCs w:val="24"/>
          <w:lang w:eastAsia="zh-CN"/>
        </w:rPr>
        <w:t>In RAN</w:t>
      </w:r>
      <w:r w:rsidR="001E6912">
        <w:rPr>
          <w:rFonts w:cs="Arial"/>
          <w:szCs w:val="24"/>
          <w:lang w:eastAsia="zh-CN"/>
        </w:rPr>
        <w:t>1 #84bis, a</w:t>
      </w:r>
      <w:r w:rsidR="001E6912" w:rsidRPr="001E6912">
        <w:rPr>
          <w:rFonts w:cs="Arial"/>
          <w:szCs w:val="24"/>
          <w:lang w:eastAsia="zh-CN"/>
        </w:rPr>
        <w:t xml:space="preserve">dditional subframe type(s) with symbol(s) for downlink transmission, GP and symbol(s) for uplink transmission </w:t>
      </w:r>
      <w:r w:rsidR="001E6912">
        <w:rPr>
          <w:rFonts w:cs="Arial"/>
          <w:szCs w:val="24"/>
          <w:lang w:eastAsia="zh-CN"/>
        </w:rPr>
        <w:t>in a TDD subframe was proposed for latency reduction of TDD</w:t>
      </w:r>
      <w:r w:rsidR="00D75EA1">
        <w:rPr>
          <w:rFonts w:cs="Arial"/>
          <w:szCs w:val="24"/>
          <w:lang w:eastAsia="zh-CN"/>
        </w:rPr>
        <w:t xml:space="preserve"> </w:t>
      </w:r>
      <w:r w:rsidR="00D75EA1">
        <w:rPr>
          <w:rFonts w:cs="Arial"/>
          <w:szCs w:val="24"/>
          <w:lang w:eastAsia="zh-CN"/>
        </w:rPr>
        <w:fldChar w:fldCharType="begin"/>
      </w:r>
      <w:r w:rsidR="00D75EA1">
        <w:rPr>
          <w:rFonts w:cs="Arial"/>
          <w:szCs w:val="24"/>
          <w:lang w:eastAsia="zh-CN"/>
        </w:rPr>
        <w:instrText xml:space="preserve"> REF _Ref450725503 \r \h </w:instrText>
      </w:r>
      <w:r w:rsidR="00D75EA1">
        <w:rPr>
          <w:rFonts w:cs="Arial"/>
          <w:szCs w:val="24"/>
          <w:lang w:eastAsia="zh-CN"/>
        </w:rPr>
      </w:r>
      <w:r w:rsidR="00D75EA1">
        <w:rPr>
          <w:rFonts w:cs="Arial"/>
          <w:szCs w:val="24"/>
          <w:lang w:eastAsia="zh-CN"/>
        </w:rPr>
        <w:fldChar w:fldCharType="separate"/>
      </w:r>
      <w:r w:rsidR="00D75EA1">
        <w:rPr>
          <w:rFonts w:cs="Arial"/>
          <w:szCs w:val="24"/>
          <w:lang w:eastAsia="zh-CN"/>
        </w:rPr>
        <w:t>[1]</w:t>
      </w:r>
      <w:r w:rsidR="00D75EA1">
        <w:rPr>
          <w:rFonts w:cs="Arial"/>
          <w:szCs w:val="24"/>
          <w:lang w:eastAsia="zh-CN"/>
        </w:rPr>
        <w:fldChar w:fldCharType="end"/>
      </w:r>
      <w:r w:rsidR="00586BB2">
        <w:rPr>
          <w:rFonts w:cs="Arial" w:hint="eastAsia"/>
          <w:szCs w:val="24"/>
        </w:rPr>
        <w:t>,</w:t>
      </w:r>
      <w:r w:rsidR="00586BB2">
        <w:rPr>
          <w:rFonts w:cs="Arial"/>
          <w:szCs w:val="24"/>
        </w:rPr>
        <w:t xml:space="preserve"> </w:t>
      </w:r>
      <w:r w:rsidR="00D75EA1">
        <w:rPr>
          <w:rFonts w:cs="Arial"/>
          <w:szCs w:val="24"/>
          <w:lang w:eastAsia="zh-CN"/>
        </w:rPr>
        <w:fldChar w:fldCharType="begin"/>
      </w:r>
      <w:r w:rsidR="00D75EA1">
        <w:rPr>
          <w:rFonts w:cs="Arial"/>
          <w:szCs w:val="24"/>
          <w:lang w:eastAsia="zh-CN"/>
        </w:rPr>
        <w:instrText xml:space="preserve"> REF _Ref450725506 \r \h </w:instrText>
      </w:r>
      <w:r w:rsidR="00D75EA1">
        <w:rPr>
          <w:rFonts w:cs="Arial"/>
          <w:szCs w:val="24"/>
          <w:lang w:eastAsia="zh-CN"/>
        </w:rPr>
      </w:r>
      <w:r w:rsidR="00D75EA1">
        <w:rPr>
          <w:rFonts w:cs="Arial"/>
          <w:szCs w:val="24"/>
          <w:lang w:eastAsia="zh-CN"/>
        </w:rPr>
        <w:fldChar w:fldCharType="separate"/>
      </w:r>
      <w:r w:rsidR="00D75EA1">
        <w:rPr>
          <w:rFonts w:cs="Arial"/>
          <w:szCs w:val="24"/>
          <w:lang w:eastAsia="zh-CN"/>
        </w:rPr>
        <w:t>[2]</w:t>
      </w:r>
      <w:r w:rsidR="00D75EA1">
        <w:rPr>
          <w:rFonts w:cs="Arial"/>
          <w:szCs w:val="24"/>
          <w:lang w:eastAsia="zh-CN"/>
        </w:rPr>
        <w:fldChar w:fldCharType="end"/>
      </w:r>
      <w:r w:rsidR="001E6912">
        <w:rPr>
          <w:rFonts w:cs="Arial"/>
          <w:szCs w:val="24"/>
          <w:lang w:eastAsia="zh-CN"/>
        </w:rPr>
        <w:t xml:space="preserve">. </w:t>
      </w:r>
      <w:r w:rsidR="00AC547A">
        <w:rPr>
          <w:rFonts w:cs="Arial"/>
          <w:szCs w:val="24"/>
          <w:lang w:eastAsia="zh-CN"/>
        </w:rPr>
        <w:t>And it was agreed to further evaluation the additional subframe type</w:t>
      </w:r>
      <w:r w:rsidR="00D75EA1">
        <w:rPr>
          <w:rFonts w:cs="Arial"/>
          <w:szCs w:val="24"/>
          <w:lang w:eastAsia="zh-CN"/>
        </w:rPr>
        <w:t xml:space="preserve"> </w:t>
      </w:r>
      <w:r w:rsidR="00D75EA1">
        <w:rPr>
          <w:rFonts w:cs="Arial"/>
          <w:szCs w:val="24"/>
          <w:lang w:eastAsia="zh-CN"/>
        </w:rPr>
        <w:fldChar w:fldCharType="begin"/>
      </w:r>
      <w:r w:rsidR="00D75EA1">
        <w:rPr>
          <w:rFonts w:cs="Arial"/>
          <w:szCs w:val="24"/>
          <w:lang w:eastAsia="zh-CN"/>
        </w:rPr>
        <w:instrText xml:space="preserve"> REF _Ref450725513 \r \h </w:instrText>
      </w:r>
      <w:r w:rsidR="00D75EA1">
        <w:rPr>
          <w:rFonts w:cs="Arial"/>
          <w:szCs w:val="24"/>
          <w:lang w:eastAsia="zh-CN"/>
        </w:rPr>
      </w:r>
      <w:r w:rsidR="00D75EA1">
        <w:rPr>
          <w:rFonts w:cs="Arial"/>
          <w:szCs w:val="24"/>
          <w:lang w:eastAsia="zh-CN"/>
        </w:rPr>
        <w:fldChar w:fldCharType="separate"/>
      </w:r>
      <w:r w:rsidR="00D75EA1">
        <w:rPr>
          <w:rFonts w:cs="Arial"/>
          <w:szCs w:val="24"/>
          <w:lang w:eastAsia="zh-CN"/>
        </w:rPr>
        <w:t>[3]</w:t>
      </w:r>
      <w:r w:rsidR="00D75EA1">
        <w:rPr>
          <w:rFonts w:cs="Arial"/>
          <w:szCs w:val="24"/>
          <w:lang w:eastAsia="zh-CN"/>
        </w:rPr>
        <w:fldChar w:fldCharType="end"/>
      </w:r>
      <w:r w:rsidR="00843FA0">
        <w:rPr>
          <w:rFonts w:cs="Arial"/>
          <w:szCs w:val="24"/>
          <w:lang w:eastAsia="zh-CN"/>
        </w:rPr>
        <w:t xml:space="preserve">. </w:t>
      </w:r>
      <w:r w:rsidR="00843FA0">
        <w:rPr>
          <w:rFonts w:cs="Arial"/>
          <w:szCs w:val="24"/>
          <w:lang w:val="en-US" w:eastAsia="zh-CN"/>
        </w:rPr>
        <w:t xml:space="preserve">In this contribution, we analyze the impacts on TDD operations with the addition subframe type, and evaluated the improvement on latency reduction without modifying existing UL/DL allocation. </w:t>
      </w:r>
    </w:p>
    <w:p w:rsidR="00873A47" w:rsidRDefault="00843FA0" w:rsidP="005544D4">
      <w:pPr>
        <w:autoSpaceDE w:val="0"/>
        <w:autoSpaceDN w:val="0"/>
        <w:adjustRightInd w:val="0"/>
        <w:spacing w:before="100" w:beforeAutospacing="1"/>
        <w:rPr>
          <w:rFonts w:cs="Arial"/>
          <w:szCs w:val="24"/>
          <w:lang w:val="en-US" w:eastAsia="zh-CN"/>
        </w:rPr>
      </w:pPr>
      <w:r>
        <w:rPr>
          <w:rFonts w:cs="Arial"/>
          <w:szCs w:val="24"/>
          <w:lang w:val="en-US" w:eastAsia="zh-CN"/>
        </w:rPr>
        <w:t>Based on the observations</w:t>
      </w:r>
      <w:r w:rsidR="00873A47">
        <w:rPr>
          <w:rFonts w:cs="Arial"/>
          <w:szCs w:val="24"/>
          <w:lang w:val="en-US" w:eastAsia="zh-CN"/>
        </w:rPr>
        <w:t>, we recommend RAN1 to evaluate impacts to legacy operations and focus on backward compatible designs in this study, and consider additional subframe types on new TDD bands and new RAT later.</w:t>
      </w:r>
    </w:p>
    <w:p w:rsidR="00654A5D" w:rsidRDefault="00070A34" w:rsidP="00654A5D">
      <w:pPr>
        <w:pStyle w:val="10"/>
        <w:spacing w:after="180"/>
        <w:rPr>
          <w:lang w:val="en-US" w:eastAsia="zh-CN"/>
        </w:rPr>
      </w:pPr>
      <w:r>
        <w:rPr>
          <w:rFonts w:hint="eastAsia"/>
          <w:lang w:val="en-US"/>
        </w:rPr>
        <w:t>Potential RTT reduction</w:t>
      </w:r>
      <w:r w:rsidR="00654A5D">
        <w:rPr>
          <w:lang w:val="en-US" w:eastAsia="zh-CN"/>
        </w:rPr>
        <w:t xml:space="preserve"> for TDD</w:t>
      </w:r>
    </w:p>
    <w:p w:rsidR="00273606" w:rsidRDefault="00273606"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For the sTTI design, several lengths are considered, </w:t>
      </w:r>
      <w:r w:rsidRPr="00713854">
        <w:rPr>
          <w:rFonts w:cs="Arial"/>
          <w:szCs w:val="24"/>
          <w:lang w:val="en-US" w:eastAsia="zh-CN"/>
        </w:rPr>
        <w:t xml:space="preserve">including 2 OFDM symbols, 3 and 4 OFDM symbols and slot based </w:t>
      </w:r>
      <w:r w:rsidR="00FB36E2">
        <w:rPr>
          <w:rFonts w:cs="Arial" w:hint="eastAsia"/>
          <w:szCs w:val="24"/>
          <w:lang w:val="en-US"/>
        </w:rPr>
        <w:t>s</w:t>
      </w:r>
      <w:r w:rsidRPr="00713854">
        <w:rPr>
          <w:rFonts w:cs="Arial"/>
          <w:szCs w:val="24"/>
          <w:lang w:val="en-US" w:eastAsia="zh-CN"/>
        </w:rPr>
        <w:t>TTI.</w:t>
      </w:r>
      <w:r>
        <w:rPr>
          <w:rFonts w:cs="Arial"/>
          <w:szCs w:val="24"/>
          <w:lang w:val="en-US" w:eastAsia="zh-CN"/>
        </w:rPr>
        <w:t xml:space="preserve"> </w:t>
      </w:r>
      <w:r w:rsidR="009E0B11" w:rsidRPr="00713854">
        <w:rPr>
          <w:rFonts w:cs="Arial"/>
          <w:szCs w:val="24"/>
          <w:lang w:val="en-US" w:eastAsia="zh-CN"/>
        </w:rPr>
        <w:t xml:space="preserve">With </w:t>
      </w:r>
      <w:r w:rsidR="009E0B11">
        <w:rPr>
          <w:rFonts w:cs="Arial"/>
          <w:szCs w:val="24"/>
          <w:lang w:val="en-US" w:eastAsia="zh-CN"/>
        </w:rPr>
        <w:t>sTTI</w:t>
      </w:r>
      <w:r w:rsidR="009E0B11" w:rsidRPr="00713854">
        <w:rPr>
          <w:rFonts w:cs="Arial"/>
          <w:szCs w:val="24"/>
          <w:lang w:val="en-US" w:eastAsia="zh-CN"/>
        </w:rPr>
        <w:t xml:space="preserve"> the potential number of </w:t>
      </w:r>
      <w:r w:rsidR="00FB36E2">
        <w:rPr>
          <w:rFonts w:cs="Arial" w:hint="eastAsia"/>
          <w:szCs w:val="24"/>
          <w:lang w:val="en-US"/>
        </w:rPr>
        <w:t>downlink data</w:t>
      </w:r>
      <w:r w:rsidR="00FB36E2" w:rsidRPr="00713854">
        <w:rPr>
          <w:rFonts w:cs="Arial"/>
          <w:szCs w:val="24"/>
          <w:lang w:val="en-US" w:eastAsia="zh-CN"/>
        </w:rPr>
        <w:t xml:space="preserve"> </w:t>
      </w:r>
      <w:r w:rsidR="009E0B11" w:rsidRPr="00713854">
        <w:rPr>
          <w:rFonts w:cs="Arial"/>
          <w:szCs w:val="24"/>
          <w:lang w:val="en-US" w:eastAsia="zh-CN"/>
        </w:rPr>
        <w:t>transmissions is increased, and the potential number of reporting UL TTIs is also increased. The feedback latency may be reduced</w:t>
      </w:r>
      <w:r>
        <w:rPr>
          <w:rFonts w:cs="Arial"/>
          <w:szCs w:val="24"/>
          <w:lang w:val="en-US" w:eastAsia="zh-CN"/>
        </w:rPr>
        <w:t xml:space="preserve">, e.g. </w:t>
      </w:r>
      <w:r w:rsidR="009E0B11" w:rsidRPr="00713854">
        <w:rPr>
          <w:rFonts w:cs="Arial"/>
          <w:szCs w:val="24"/>
          <w:lang w:val="en-US" w:eastAsia="zh-CN"/>
        </w:rPr>
        <w:t xml:space="preserve">the HARQ-ACK can be reported earlier than what is defined by current association timing. Thus, </w:t>
      </w:r>
      <w:r>
        <w:rPr>
          <w:rFonts w:cs="Arial"/>
          <w:szCs w:val="24"/>
          <w:lang w:val="en-US" w:eastAsia="zh-CN"/>
        </w:rPr>
        <w:t xml:space="preserve">the main issue is how to reduce the RTT for a sTTI transmission. </w:t>
      </w:r>
    </w:p>
    <w:p w:rsidR="00713854" w:rsidRPr="00713854" w:rsidRDefault="00273606" w:rsidP="00273606">
      <w:pPr>
        <w:autoSpaceDE w:val="0"/>
        <w:autoSpaceDN w:val="0"/>
        <w:adjustRightInd w:val="0"/>
        <w:spacing w:before="100" w:beforeAutospacing="1"/>
        <w:rPr>
          <w:rFonts w:cs="Arial"/>
          <w:szCs w:val="24"/>
          <w:lang w:val="en-US" w:eastAsia="zh-CN"/>
        </w:rPr>
      </w:pPr>
      <w:r>
        <w:rPr>
          <w:rFonts w:cs="Arial"/>
          <w:szCs w:val="24"/>
          <w:lang w:val="en-US" w:eastAsia="zh-CN"/>
        </w:rPr>
        <w:t xml:space="preserve">Due to fixed subframe allocation, the feedback has to wait until the next available subframe allocation in TDD. For example, </w:t>
      </w:r>
      <w:r w:rsidR="009E0B11" w:rsidRPr="00713854">
        <w:rPr>
          <w:rFonts w:cs="Arial"/>
          <w:szCs w:val="24"/>
          <w:lang w:val="en-US" w:eastAsia="zh-CN"/>
        </w:rPr>
        <w:t xml:space="preserve">the HARQ-ACK feedback </w:t>
      </w:r>
      <w:r>
        <w:rPr>
          <w:rFonts w:cs="Arial"/>
          <w:szCs w:val="24"/>
          <w:lang w:val="en-US" w:eastAsia="zh-CN"/>
        </w:rPr>
        <w:t xml:space="preserve">of a sPDSCH </w:t>
      </w:r>
      <w:r w:rsidR="009E0B11" w:rsidRPr="00713854">
        <w:rPr>
          <w:rFonts w:cs="Arial"/>
          <w:szCs w:val="24"/>
          <w:lang w:val="en-US" w:eastAsia="zh-CN"/>
        </w:rPr>
        <w:t xml:space="preserve">can only be reported on </w:t>
      </w:r>
      <w:r>
        <w:rPr>
          <w:rFonts w:cs="Arial"/>
          <w:szCs w:val="24"/>
          <w:lang w:val="en-US" w:eastAsia="zh-CN"/>
        </w:rPr>
        <w:t>the next available UL subframe</w:t>
      </w:r>
      <w:r w:rsidR="009E0B11" w:rsidRPr="00713854">
        <w:rPr>
          <w:rFonts w:cs="Arial"/>
          <w:szCs w:val="24"/>
          <w:lang w:val="en-US" w:eastAsia="zh-CN"/>
        </w:rPr>
        <w:t xml:space="preserve">. For the HARQ-ACK feedback with reduced TTI, a very short TTI may not bring down the feedback delay of a </w:t>
      </w:r>
      <w:r>
        <w:rPr>
          <w:rFonts w:cs="Arial"/>
          <w:szCs w:val="24"/>
          <w:lang w:val="en-US" w:eastAsia="zh-CN"/>
        </w:rPr>
        <w:t>s</w:t>
      </w:r>
      <w:r w:rsidR="009E0B11" w:rsidRPr="00713854">
        <w:rPr>
          <w:rFonts w:cs="Arial"/>
          <w:szCs w:val="24"/>
          <w:lang w:val="en-US" w:eastAsia="zh-CN"/>
        </w:rPr>
        <w:t xml:space="preserve">PDSCH transmission for </w:t>
      </w:r>
      <w:r>
        <w:rPr>
          <w:rFonts w:cs="Arial"/>
          <w:szCs w:val="24"/>
          <w:lang w:val="en-US" w:eastAsia="zh-CN"/>
        </w:rPr>
        <w:t xml:space="preserve">a </w:t>
      </w:r>
      <w:r w:rsidR="009E0B11" w:rsidRPr="00713854">
        <w:rPr>
          <w:rFonts w:cs="Arial"/>
          <w:szCs w:val="24"/>
          <w:lang w:val="en-US" w:eastAsia="zh-CN"/>
        </w:rPr>
        <w:t>TDD serving cell</w:t>
      </w:r>
      <w:r>
        <w:rPr>
          <w:rFonts w:cs="Arial"/>
          <w:szCs w:val="24"/>
          <w:lang w:val="en-US" w:eastAsia="zh-CN"/>
        </w:rPr>
        <w:t xml:space="preserve"> with fixed UL/DL allocation</w:t>
      </w:r>
      <w:r w:rsidR="009E0B11" w:rsidRPr="00713854">
        <w:rPr>
          <w:rFonts w:cs="Arial"/>
          <w:szCs w:val="24"/>
          <w:lang w:val="en-US" w:eastAsia="zh-CN"/>
        </w:rPr>
        <w:t xml:space="preserve">. </w:t>
      </w:r>
    </w:p>
    <w:p w:rsidR="003F0632" w:rsidRDefault="00273606" w:rsidP="005544D4">
      <w:pPr>
        <w:autoSpaceDE w:val="0"/>
        <w:autoSpaceDN w:val="0"/>
        <w:adjustRightInd w:val="0"/>
        <w:spacing w:before="100" w:beforeAutospacing="1"/>
        <w:rPr>
          <w:rFonts w:cs="Arial"/>
          <w:szCs w:val="24"/>
          <w:lang w:val="en-US" w:eastAsia="zh-CN"/>
        </w:rPr>
      </w:pPr>
      <w:r>
        <w:rPr>
          <w:rFonts w:cs="Arial"/>
          <w:szCs w:val="24"/>
          <w:lang w:val="en-US" w:eastAsia="zh-CN"/>
        </w:rPr>
        <w:t xml:space="preserve">As an example, </w:t>
      </w:r>
      <w:r w:rsidR="00570916">
        <w:rPr>
          <w:rFonts w:cs="Arial"/>
          <w:szCs w:val="24"/>
          <w:lang w:val="en-US" w:eastAsia="zh-CN"/>
        </w:rPr>
        <w:t xml:space="preserve">Figure 1 shows the legacy PDSCH HARQ-ACK association. Figure 2 provides an example of </w:t>
      </w:r>
      <w:r w:rsidR="00821A5D">
        <w:rPr>
          <w:rFonts w:cs="Arial"/>
          <w:szCs w:val="24"/>
          <w:lang w:val="en-US" w:eastAsia="zh-CN"/>
        </w:rPr>
        <w:t xml:space="preserve">PDSCH HARQ-ACK </w:t>
      </w:r>
      <w:r w:rsidR="00570916">
        <w:rPr>
          <w:rFonts w:cs="Arial"/>
          <w:szCs w:val="24"/>
          <w:lang w:val="en-US" w:eastAsia="zh-CN"/>
        </w:rPr>
        <w:t>association with slot sTTI for UL/DL configurations 0, 1 and 2. Table 1 summarizes the average latency for the HARQ-ACK feedback of a DL subframe of legacy TTI and sTTI</w:t>
      </w:r>
      <w:r w:rsidR="003F0632" w:rsidRPr="003F0632">
        <w:rPr>
          <w:rFonts w:cs="Arial"/>
          <w:szCs w:val="24"/>
          <w:lang w:val="en-US" w:eastAsia="zh-CN"/>
        </w:rPr>
        <w:t xml:space="preserve"> </w:t>
      </w:r>
      <w:r w:rsidR="003F0632">
        <w:rPr>
          <w:rFonts w:cs="Arial"/>
          <w:szCs w:val="24"/>
          <w:lang w:val="en-US" w:eastAsia="zh-CN"/>
        </w:rPr>
        <w:t>assuming the PDSCH can be scheduled in all DL subframes</w:t>
      </w:r>
      <w:r w:rsidR="00570916">
        <w:rPr>
          <w:rFonts w:cs="Arial"/>
          <w:szCs w:val="24"/>
          <w:lang w:val="en-US" w:eastAsia="zh-CN"/>
        </w:rPr>
        <w:t>.</w:t>
      </w:r>
      <w:r w:rsidR="00F16E7F">
        <w:rPr>
          <w:rFonts w:cs="Arial"/>
          <w:szCs w:val="24"/>
          <w:lang w:val="en-US" w:eastAsia="zh-CN"/>
        </w:rPr>
        <w:t xml:space="preserve"> </w:t>
      </w:r>
    </w:p>
    <w:p w:rsidR="00570916" w:rsidRDefault="00F16E7F" w:rsidP="005544D4">
      <w:pPr>
        <w:autoSpaceDE w:val="0"/>
        <w:autoSpaceDN w:val="0"/>
        <w:adjustRightInd w:val="0"/>
        <w:spacing w:before="100" w:beforeAutospacing="1"/>
        <w:rPr>
          <w:rFonts w:cs="Arial"/>
          <w:szCs w:val="24"/>
          <w:lang w:val="en-US" w:eastAsia="zh-CN"/>
        </w:rPr>
      </w:pPr>
      <w:r>
        <w:rPr>
          <w:rFonts w:cs="Arial"/>
          <w:szCs w:val="24"/>
          <w:lang w:val="en-US" w:eastAsia="zh-CN"/>
        </w:rPr>
        <w:t>As shown in Table 1.</w:t>
      </w:r>
      <w:r w:rsidRPr="00F16E7F">
        <w:t xml:space="preserve"> </w:t>
      </w:r>
      <w:r w:rsidRPr="00F16E7F">
        <w:rPr>
          <w:rFonts w:cs="Arial"/>
          <w:szCs w:val="24"/>
          <w:lang w:val="en-US" w:eastAsia="zh-CN"/>
        </w:rPr>
        <w:t xml:space="preserve">The slot based sTTI </w:t>
      </w:r>
      <w:r>
        <w:rPr>
          <w:rFonts w:cs="Arial"/>
          <w:szCs w:val="24"/>
          <w:lang w:val="en-US" w:eastAsia="zh-CN"/>
        </w:rPr>
        <w:t xml:space="preserve">has no </w:t>
      </w:r>
      <w:r w:rsidRPr="00F16E7F">
        <w:rPr>
          <w:rFonts w:cs="Arial"/>
          <w:szCs w:val="24"/>
          <w:lang w:val="en-US" w:eastAsia="zh-CN"/>
        </w:rPr>
        <w:t>impact on legacy TDD operations</w:t>
      </w:r>
      <w:r>
        <w:rPr>
          <w:rFonts w:cs="Arial"/>
          <w:szCs w:val="24"/>
          <w:lang w:val="en-US" w:eastAsia="zh-CN"/>
        </w:rPr>
        <w:t>, and</w:t>
      </w:r>
      <w:r w:rsidRPr="00F16E7F">
        <w:rPr>
          <w:rFonts w:cs="Arial"/>
          <w:szCs w:val="24"/>
          <w:lang w:val="en-US" w:eastAsia="zh-CN"/>
        </w:rPr>
        <w:t xml:space="preserve"> provides reas</w:t>
      </w:r>
      <w:r>
        <w:rPr>
          <w:rFonts w:cs="Arial"/>
          <w:szCs w:val="24"/>
          <w:lang w:val="en-US" w:eastAsia="zh-CN"/>
        </w:rPr>
        <w:t xml:space="preserve">onable latency reduction, e.g. </w:t>
      </w:r>
      <w:r w:rsidR="00A23C2E">
        <w:rPr>
          <w:rFonts w:cs="Arial"/>
          <w:szCs w:val="24"/>
          <w:lang w:val="en-US" w:eastAsia="zh-CN"/>
        </w:rPr>
        <w:t xml:space="preserve">reduce the </w:t>
      </w:r>
      <w:r>
        <w:rPr>
          <w:rFonts w:cs="Arial"/>
          <w:szCs w:val="24"/>
          <w:lang w:val="en-US" w:eastAsia="zh-CN"/>
        </w:rPr>
        <w:t>process delay by ~50%.</w:t>
      </w:r>
      <w:r w:rsidR="003F0632">
        <w:rPr>
          <w:rFonts w:cs="Arial"/>
          <w:szCs w:val="24"/>
          <w:lang w:val="en-US" w:eastAsia="zh-CN"/>
        </w:rPr>
        <w:t xml:space="preserve"> Similarly, the RTT can be reduced to 5ms compared with at least 10ms for legacy TDD operations.</w:t>
      </w:r>
    </w:p>
    <w:p w:rsidR="003F0632" w:rsidRPr="003F0632" w:rsidRDefault="003F0632" w:rsidP="003F0632">
      <w:pPr>
        <w:autoSpaceDE w:val="0"/>
        <w:autoSpaceDN w:val="0"/>
        <w:adjustRightInd w:val="0"/>
        <w:spacing w:before="100" w:beforeAutospacing="1"/>
        <w:rPr>
          <w:rFonts w:cs="Arial"/>
          <w:b/>
          <w:szCs w:val="24"/>
          <w:lang w:val="en-US" w:eastAsia="zh-CN"/>
        </w:rPr>
      </w:pPr>
      <w:r>
        <w:rPr>
          <w:rFonts w:cs="Arial"/>
          <w:b/>
          <w:szCs w:val="24"/>
          <w:lang w:val="en-US" w:eastAsia="zh-CN"/>
        </w:rPr>
        <w:t>Observation</w:t>
      </w:r>
      <w:r w:rsidRPr="003F0632">
        <w:rPr>
          <w:rFonts w:cs="Arial"/>
          <w:b/>
          <w:szCs w:val="24"/>
          <w:lang w:val="en-US" w:eastAsia="zh-CN"/>
        </w:rPr>
        <w:t xml:space="preserve">: </w:t>
      </w:r>
      <w:r>
        <w:rPr>
          <w:rFonts w:cs="Arial"/>
          <w:b/>
          <w:szCs w:val="24"/>
          <w:lang w:val="en-US" w:eastAsia="zh-CN"/>
        </w:rPr>
        <w:t xml:space="preserve">Significant latency reduction can be achieved with </w:t>
      </w:r>
      <w:r w:rsidRPr="003F0632">
        <w:rPr>
          <w:rFonts w:cs="Arial"/>
          <w:b/>
          <w:szCs w:val="24"/>
          <w:lang w:val="en-US" w:eastAsia="zh-CN"/>
        </w:rPr>
        <w:t>sTTI</w:t>
      </w:r>
      <w:r w:rsidR="00FC6EC2">
        <w:rPr>
          <w:rFonts w:cs="Arial" w:hint="eastAsia"/>
          <w:b/>
          <w:szCs w:val="24"/>
          <w:lang w:val="en-US"/>
        </w:rPr>
        <w:t xml:space="preserve"> </w:t>
      </w:r>
      <w:r w:rsidR="00481C10">
        <w:rPr>
          <w:rFonts w:cs="Arial" w:hint="eastAsia"/>
          <w:b/>
          <w:szCs w:val="24"/>
          <w:lang w:val="en-US"/>
        </w:rPr>
        <w:t>on TDD UL/DL configurations 0, 1, and 2</w:t>
      </w:r>
      <w:r>
        <w:rPr>
          <w:rFonts w:cs="Arial"/>
          <w:b/>
          <w:szCs w:val="24"/>
          <w:lang w:val="en-US" w:eastAsia="zh-CN"/>
        </w:rPr>
        <w:t xml:space="preserve">.  </w:t>
      </w:r>
    </w:p>
    <w:p w:rsidR="00821A5D" w:rsidRDefault="00821A5D" w:rsidP="005544D4">
      <w:pPr>
        <w:autoSpaceDE w:val="0"/>
        <w:autoSpaceDN w:val="0"/>
        <w:adjustRightInd w:val="0"/>
        <w:spacing w:before="100" w:beforeAutospacing="1"/>
      </w:pPr>
      <w:r>
        <w:object w:dxaOrig="8884"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209pt" o:ole="">
            <v:imagedata r:id="rId8" o:title=""/>
          </v:shape>
          <o:OLEObject Type="Embed" ProgID="Visio.Drawing.11" ShapeID="_x0000_i1025" DrawAspect="Content" ObjectID="_1524729113" r:id="rId9"/>
        </w:object>
      </w:r>
    </w:p>
    <w:p w:rsidR="00821A5D" w:rsidRDefault="00570916" w:rsidP="00586BB2">
      <w:pPr>
        <w:autoSpaceDE w:val="0"/>
        <w:autoSpaceDN w:val="0"/>
        <w:adjustRightInd w:val="0"/>
        <w:spacing w:before="100" w:beforeAutospacing="1"/>
        <w:jc w:val="center"/>
      </w:pPr>
      <w:r>
        <w:t>Figure 1. Legacy PDSCH HARQ-ACK association timing</w:t>
      </w:r>
    </w:p>
    <w:p w:rsidR="00D75EA1" w:rsidRDefault="00D75EA1" w:rsidP="005544D4">
      <w:pPr>
        <w:autoSpaceDE w:val="0"/>
        <w:autoSpaceDN w:val="0"/>
        <w:adjustRightInd w:val="0"/>
        <w:spacing w:before="100" w:beforeAutospacing="1"/>
      </w:pPr>
    </w:p>
    <w:p w:rsidR="00276BD3" w:rsidRDefault="00FB3AC1" w:rsidP="005544D4">
      <w:pPr>
        <w:autoSpaceDE w:val="0"/>
        <w:autoSpaceDN w:val="0"/>
        <w:adjustRightInd w:val="0"/>
        <w:spacing w:before="100" w:beforeAutospacing="1"/>
      </w:pPr>
      <w:r>
        <w:object w:dxaOrig="9289" w:dyaOrig="4394">
          <v:shape id="_x0000_i1026" type="#_x0000_t75" style="width:464.25pt;height:219.75pt" o:ole="">
            <v:imagedata r:id="rId10" o:title=""/>
          </v:shape>
          <o:OLEObject Type="Embed" ProgID="Visio.Drawing.11" ShapeID="_x0000_i1026" DrawAspect="Content" ObjectID="_1524729114" r:id="rId11"/>
        </w:object>
      </w:r>
    </w:p>
    <w:p w:rsidR="00570916" w:rsidRDefault="00570916" w:rsidP="00586BB2">
      <w:pPr>
        <w:autoSpaceDE w:val="0"/>
        <w:autoSpaceDN w:val="0"/>
        <w:adjustRightInd w:val="0"/>
        <w:spacing w:before="100" w:beforeAutospacing="1"/>
        <w:jc w:val="center"/>
      </w:pPr>
      <w:r>
        <w:t>Figure 2. Example of PDSCH HARQ-ACK association timing with slot based sTTI</w:t>
      </w:r>
    </w:p>
    <w:p w:rsidR="00D75EA1" w:rsidRDefault="00D75EA1" w:rsidP="00570916">
      <w:pPr>
        <w:autoSpaceDE w:val="0"/>
        <w:autoSpaceDN w:val="0"/>
        <w:adjustRightInd w:val="0"/>
        <w:spacing w:before="100" w:beforeAutospacing="1"/>
      </w:pPr>
    </w:p>
    <w:p w:rsidR="00A23C2E" w:rsidRDefault="00A23C2E" w:rsidP="00425321">
      <w:pPr>
        <w:autoSpaceDE w:val="0"/>
        <w:autoSpaceDN w:val="0"/>
        <w:adjustRightInd w:val="0"/>
        <w:spacing w:before="100" w:beforeAutospacing="1"/>
        <w:jc w:val="center"/>
        <w:rPr>
          <w:szCs w:val="24"/>
          <w:lang w:val="en-US"/>
        </w:rPr>
      </w:pPr>
      <w:r>
        <w:rPr>
          <w:szCs w:val="24"/>
          <w:lang w:val="en-US"/>
        </w:rPr>
        <w:t>Table 1. Average DL subframe latency for HARQ-ACK reporting</w:t>
      </w:r>
    </w:p>
    <w:tbl>
      <w:tblPr>
        <w:tblStyle w:val="af0"/>
        <w:tblW w:w="9558" w:type="dxa"/>
        <w:tblLook w:val="04A0" w:firstRow="1" w:lastRow="0" w:firstColumn="1" w:lastColumn="0" w:noHBand="0" w:noVBand="1"/>
      </w:tblPr>
      <w:tblGrid>
        <w:gridCol w:w="3168"/>
        <w:gridCol w:w="3150"/>
        <w:gridCol w:w="3240"/>
      </w:tblGrid>
      <w:tr w:rsidR="00273606" w:rsidTr="003F0632">
        <w:tc>
          <w:tcPr>
            <w:tcW w:w="3168" w:type="dxa"/>
          </w:tcPr>
          <w:p w:rsidR="00273606" w:rsidRDefault="00273606" w:rsidP="003F0632">
            <w:pPr>
              <w:autoSpaceDE w:val="0"/>
              <w:autoSpaceDN w:val="0"/>
              <w:adjustRightInd w:val="0"/>
              <w:spacing w:before="100" w:beforeAutospacing="1"/>
              <w:jc w:val="center"/>
              <w:rPr>
                <w:szCs w:val="24"/>
                <w:lang w:val="en-US"/>
              </w:rPr>
            </w:pPr>
            <w:r>
              <w:rPr>
                <w:szCs w:val="24"/>
                <w:lang w:val="en-US"/>
              </w:rPr>
              <w:t xml:space="preserve">Average </w:t>
            </w:r>
            <w:r w:rsidR="003F0632">
              <w:rPr>
                <w:szCs w:val="24"/>
                <w:lang w:val="en-US"/>
              </w:rPr>
              <w:t>Feedback Latency</w:t>
            </w:r>
          </w:p>
        </w:tc>
        <w:tc>
          <w:tcPr>
            <w:tcW w:w="3150" w:type="dxa"/>
          </w:tcPr>
          <w:p w:rsidR="00273606" w:rsidRDefault="00273606" w:rsidP="003F0632">
            <w:pPr>
              <w:autoSpaceDE w:val="0"/>
              <w:autoSpaceDN w:val="0"/>
              <w:adjustRightInd w:val="0"/>
              <w:spacing w:before="100" w:beforeAutospacing="1"/>
              <w:jc w:val="center"/>
              <w:rPr>
                <w:szCs w:val="24"/>
                <w:lang w:val="en-US"/>
              </w:rPr>
            </w:pPr>
            <w:r>
              <w:rPr>
                <w:szCs w:val="24"/>
                <w:lang w:val="en-US"/>
              </w:rPr>
              <w:t xml:space="preserve">Legacy TDD </w:t>
            </w:r>
            <w:r w:rsidR="003F0632">
              <w:rPr>
                <w:szCs w:val="24"/>
                <w:lang w:val="en-US"/>
              </w:rPr>
              <w:t>(</w:t>
            </w:r>
            <w:r>
              <w:rPr>
                <w:szCs w:val="24"/>
                <w:lang w:val="en-US"/>
              </w:rPr>
              <w:t>in ms</w:t>
            </w:r>
            <w:r w:rsidR="003F0632">
              <w:rPr>
                <w:szCs w:val="24"/>
                <w:lang w:val="en-US"/>
              </w:rPr>
              <w:t>)</w:t>
            </w:r>
          </w:p>
        </w:tc>
        <w:tc>
          <w:tcPr>
            <w:tcW w:w="3240" w:type="dxa"/>
          </w:tcPr>
          <w:p w:rsidR="00273606" w:rsidRDefault="00273606" w:rsidP="003F0632">
            <w:pPr>
              <w:autoSpaceDE w:val="0"/>
              <w:autoSpaceDN w:val="0"/>
              <w:adjustRightInd w:val="0"/>
              <w:spacing w:before="100" w:beforeAutospacing="1"/>
              <w:jc w:val="center"/>
              <w:rPr>
                <w:szCs w:val="24"/>
                <w:lang w:val="en-US"/>
              </w:rPr>
            </w:pPr>
            <w:r>
              <w:rPr>
                <w:szCs w:val="24"/>
                <w:lang w:val="en-US"/>
              </w:rPr>
              <w:t xml:space="preserve">Slot based S-TTI </w:t>
            </w:r>
            <w:r w:rsidR="003F0632">
              <w:rPr>
                <w:szCs w:val="24"/>
                <w:lang w:val="en-US"/>
              </w:rPr>
              <w:t>(</w:t>
            </w:r>
            <w:r>
              <w:rPr>
                <w:szCs w:val="24"/>
                <w:lang w:val="en-US"/>
              </w:rPr>
              <w:t>in ms</w:t>
            </w:r>
            <w:r w:rsidR="003F0632">
              <w:rPr>
                <w:szCs w:val="24"/>
                <w:lang w:val="en-US"/>
              </w:rPr>
              <w:t>)</w:t>
            </w:r>
          </w:p>
        </w:tc>
      </w:tr>
      <w:tr w:rsidR="00273606" w:rsidTr="003F0632">
        <w:tc>
          <w:tcPr>
            <w:tcW w:w="3168" w:type="dxa"/>
          </w:tcPr>
          <w:p w:rsidR="00273606" w:rsidRDefault="00273606" w:rsidP="003F0632">
            <w:pPr>
              <w:autoSpaceDE w:val="0"/>
              <w:autoSpaceDN w:val="0"/>
              <w:adjustRightInd w:val="0"/>
              <w:spacing w:before="100" w:beforeAutospacing="1"/>
              <w:jc w:val="center"/>
              <w:rPr>
                <w:szCs w:val="24"/>
                <w:lang w:val="en-US"/>
              </w:rPr>
            </w:pPr>
            <w:r>
              <w:rPr>
                <w:szCs w:val="24"/>
                <w:lang w:val="en-US"/>
              </w:rPr>
              <w:t>Config</w:t>
            </w:r>
            <w:r w:rsidR="00586BB2">
              <w:rPr>
                <w:szCs w:val="24"/>
                <w:lang w:val="en-US"/>
              </w:rPr>
              <w:t>.</w:t>
            </w:r>
            <w:r>
              <w:rPr>
                <w:szCs w:val="24"/>
                <w:lang w:val="en-US"/>
              </w:rPr>
              <w:t xml:space="preserve"> 0</w:t>
            </w:r>
          </w:p>
        </w:tc>
        <w:tc>
          <w:tcPr>
            <w:tcW w:w="3150" w:type="dxa"/>
          </w:tcPr>
          <w:p w:rsidR="00273606" w:rsidRDefault="00273606" w:rsidP="003F0632">
            <w:pPr>
              <w:autoSpaceDE w:val="0"/>
              <w:autoSpaceDN w:val="0"/>
              <w:adjustRightInd w:val="0"/>
              <w:spacing w:before="100" w:beforeAutospacing="1"/>
              <w:jc w:val="center"/>
              <w:rPr>
                <w:szCs w:val="24"/>
                <w:lang w:val="en-US"/>
              </w:rPr>
            </w:pPr>
            <w:r>
              <w:rPr>
                <w:szCs w:val="24"/>
                <w:lang w:val="en-US"/>
              </w:rPr>
              <w:t>5</w:t>
            </w:r>
          </w:p>
        </w:tc>
        <w:tc>
          <w:tcPr>
            <w:tcW w:w="3240" w:type="dxa"/>
          </w:tcPr>
          <w:p w:rsidR="00273606" w:rsidRDefault="00273606" w:rsidP="003F0632">
            <w:pPr>
              <w:autoSpaceDE w:val="0"/>
              <w:autoSpaceDN w:val="0"/>
              <w:adjustRightInd w:val="0"/>
              <w:spacing w:before="100" w:beforeAutospacing="1"/>
              <w:jc w:val="center"/>
              <w:rPr>
                <w:szCs w:val="24"/>
                <w:lang w:val="en-US"/>
              </w:rPr>
            </w:pPr>
            <w:r>
              <w:rPr>
                <w:szCs w:val="24"/>
                <w:lang w:val="en-US"/>
              </w:rPr>
              <w:t>2</w:t>
            </w:r>
          </w:p>
        </w:tc>
      </w:tr>
      <w:tr w:rsidR="00273606" w:rsidTr="003F0632">
        <w:tc>
          <w:tcPr>
            <w:tcW w:w="3168" w:type="dxa"/>
          </w:tcPr>
          <w:p w:rsidR="00273606" w:rsidRDefault="00273606" w:rsidP="003F0632">
            <w:pPr>
              <w:autoSpaceDE w:val="0"/>
              <w:autoSpaceDN w:val="0"/>
              <w:adjustRightInd w:val="0"/>
              <w:spacing w:before="100" w:beforeAutospacing="1"/>
              <w:jc w:val="center"/>
              <w:rPr>
                <w:szCs w:val="24"/>
                <w:lang w:val="en-US"/>
              </w:rPr>
            </w:pPr>
            <w:r>
              <w:rPr>
                <w:szCs w:val="24"/>
                <w:lang w:val="en-US"/>
              </w:rPr>
              <w:t>Config</w:t>
            </w:r>
            <w:r w:rsidR="00586BB2">
              <w:rPr>
                <w:szCs w:val="24"/>
                <w:lang w:val="en-US"/>
              </w:rPr>
              <w:t>.</w:t>
            </w:r>
            <w:r>
              <w:rPr>
                <w:szCs w:val="24"/>
                <w:lang w:val="en-US"/>
              </w:rPr>
              <w:t xml:space="preserve"> 1</w:t>
            </w:r>
          </w:p>
        </w:tc>
        <w:tc>
          <w:tcPr>
            <w:tcW w:w="3150" w:type="dxa"/>
          </w:tcPr>
          <w:p w:rsidR="00273606" w:rsidRDefault="00273606" w:rsidP="003F0632">
            <w:pPr>
              <w:autoSpaceDE w:val="0"/>
              <w:autoSpaceDN w:val="0"/>
              <w:adjustRightInd w:val="0"/>
              <w:spacing w:before="100" w:beforeAutospacing="1"/>
              <w:jc w:val="center"/>
              <w:rPr>
                <w:szCs w:val="24"/>
                <w:lang w:val="en-US"/>
              </w:rPr>
            </w:pPr>
            <w:r>
              <w:rPr>
                <w:szCs w:val="24"/>
                <w:lang w:val="en-US"/>
              </w:rPr>
              <w:t>5.667</w:t>
            </w:r>
          </w:p>
        </w:tc>
        <w:tc>
          <w:tcPr>
            <w:tcW w:w="3240" w:type="dxa"/>
          </w:tcPr>
          <w:p w:rsidR="00273606" w:rsidRDefault="00273606" w:rsidP="003F0632">
            <w:pPr>
              <w:autoSpaceDE w:val="0"/>
              <w:autoSpaceDN w:val="0"/>
              <w:adjustRightInd w:val="0"/>
              <w:spacing w:before="100" w:beforeAutospacing="1"/>
              <w:jc w:val="center"/>
              <w:rPr>
                <w:szCs w:val="24"/>
                <w:lang w:val="en-US"/>
              </w:rPr>
            </w:pPr>
            <w:r>
              <w:rPr>
                <w:szCs w:val="24"/>
                <w:lang w:val="en-US"/>
              </w:rPr>
              <w:t>2.667</w:t>
            </w:r>
          </w:p>
        </w:tc>
      </w:tr>
      <w:tr w:rsidR="00273606" w:rsidTr="003F0632">
        <w:tc>
          <w:tcPr>
            <w:tcW w:w="3168" w:type="dxa"/>
          </w:tcPr>
          <w:p w:rsidR="00273606" w:rsidRDefault="00273606" w:rsidP="003F0632">
            <w:pPr>
              <w:autoSpaceDE w:val="0"/>
              <w:autoSpaceDN w:val="0"/>
              <w:adjustRightInd w:val="0"/>
              <w:spacing w:before="100" w:beforeAutospacing="1"/>
              <w:jc w:val="center"/>
              <w:rPr>
                <w:szCs w:val="24"/>
                <w:lang w:val="en-US"/>
              </w:rPr>
            </w:pPr>
            <w:r>
              <w:rPr>
                <w:szCs w:val="24"/>
                <w:lang w:val="en-US"/>
              </w:rPr>
              <w:t>Config</w:t>
            </w:r>
            <w:r w:rsidR="00586BB2">
              <w:rPr>
                <w:szCs w:val="24"/>
                <w:lang w:val="en-US"/>
              </w:rPr>
              <w:t>.</w:t>
            </w:r>
            <w:r>
              <w:rPr>
                <w:szCs w:val="24"/>
                <w:lang w:val="en-US"/>
              </w:rPr>
              <w:t xml:space="preserve"> 2</w:t>
            </w:r>
          </w:p>
        </w:tc>
        <w:tc>
          <w:tcPr>
            <w:tcW w:w="3150" w:type="dxa"/>
          </w:tcPr>
          <w:p w:rsidR="00273606" w:rsidRDefault="00273606" w:rsidP="003F0632">
            <w:pPr>
              <w:autoSpaceDE w:val="0"/>
              <w:autoSpaceDN w:val="0"/>
              <w:adjustRightInd w:val="0"/>
              <w:spacing w:before="100" w:beforeAutospacing="1"/>
              <w:jc w:val="center"/>
              <w:rPr>
                <w:szCs w:val="24"/>
                <w:lang w:val="en-US"/>
              </w:rPr>
            </w:pPr>
            <w:r>
              <w:rPr>
                <w:szCs w:val="24"/>
                <w:lang w:val="en-US"/>
              </w:rPr>
              <w:t>6.25</w:t>
            </w:r>
          </w:p>
        </w:tc>
        <w:tc>
          <w:tcPr>
            <w:tcW w:w="3240" w:type="dxa"/>
          </w:tcPr>
          <w:p w:rsidR="00273606" w:rsidRDefault="00273606" w:rsidP="003F0632">
            <w:pPr>
              <w:autoSpaceDE w:val="0"/>
              <w:autoSpaceDN w:val="0"/>
              <w:adjustRightInd w:val="0"/>
              <w:spacing w:before="100" w:beforeAutospacing="1"/>
              <w:jc w:val="center"/>
              <w:rPr>
                <w:szCs w:val="24"/>
                <w:lang w:val="en-US"/>
              </w:rPr>
            </w:pPr>
            <w:r>
              <w:rPr>
                <w:szCs w:val="24"/>
                <w:lang w:val="en-US"/>
              </w:rPr>
              <w:t>3.75</w:t>
            </w:r>
          </w:p>
        </w:tc>
      </w:tr>
    </w:tbl>
    <w:p w:rsidR="00FC6EC2" w:rsidRDefault="00FC6EC2" w:rsidP="00FC6EC2">
      <w:pPr>
        <w:pStyle w:val="10"/>
        <w:spacing w:after="180"/>
        <w:rPr>
          <w:lang w:val="en-US" w:eastAsia="zh-CN"/>
        </w:rPr>
      </w:pPr>
      <w:r>
        <w:rPr>
          <w:lang w:val="en-US" w:eastAsia="zh-CN"/>
        </w:rPr>
        <w:lastRenderedPageBreak/>
        <w:t>Impacts of additional subframe type on TDD operation</w:t>
      </w:r>
    </w:p>
    <w:p w:rsidR="00FC6EC2" w:rsidRPr="006B0041" w:rsidRDefault="00FC6EC2" w:rsidP="00FC6EC2">
      <w:pPr>
        <w:autoSpaceDE w:val="0"/>
        <w:autoSpaceDN w:val="0"/>
        <w:adjustRightInd w:val="0"/>
        <w:spacing w:before="100" w:beforeAutospacing="1"/>
        <w:rPr>
          <w:rFonts w:cs="Arial"/>
          <w:szCs w:val="24"/>
          <w:lang w:val="en-US" w:eastAsia="zh-CN"/>
        </w:rPr>
      </w:pPr>
      <w:r>
        <w:rPr>
          <w:rFonts w:cs="Arial"/>
          <w:szCs w:val="24"/>
          <w:lang w:val="en-US" w:eastAsia="zh-CN"/>
        </w:rPr>
        <w:t xml:space="preserve">The additional subframe type supports DL transmission, GP and uplink transmission, which can be considered as a new special subframe type. </w:t>
      </w:r>
      <w:r w:rsidRPr="006B0041">
        <w:rPr>
          <w:rFonts w:cs="Arial"/>
          <w:szCs w:val="24"/>
          <w:lang w:val="en-US" w:eastAsia="zh-CN"/>
        </w:rPr>
        <w:t>The TDD operation is based on several association timings.</w:t>
      </w:r>
      <w:r>
        <w:rPr>
          <w:rFonts w:cs="Arial"/>
          <w:szCs w:val="24"/>
          <w:lang w:val="en-US" w:eastAsia="zh-CN"/>
        </w:rPr>
        <w:t xml:space="preserve"> </w:t>
      </w:r>
      <w:r w:rsidRPr="006B0041">
        <w:rPr>
          <w:rFonts w:cs="Arial"/>
          <w:szCs w:val="24"/>
          <w:lang w:val="en-US" w:eastAsia="zh-CN"/>
        </w:rPr>
        <w:t>If the additional subframe type is introduced into a TDD subframe, it will cause many backward compatibility issues</w:t>
      </w:r>
      <w:r>
        <w:rPr>
          <w:rFonts w:cs="Arial"/>
          <w:szCs w:val="24"/>
          <w:lang w:val="en-US" w:eastAsia="zh-CN"/>
        </w:rPr>
        <w:t>, thus huge</w:t>
      </w:r>
      <w:r w:rsidRPr="006B0041">
        <w:rPr>
          <w:rFonts w:cs="Arial"/>
          <w:szCs w:val="24"/>
          <w:lang w:val="en-US" w:eastAsia="zh-CN"/>
        </w:rPr>
        <w:t xml:space="preserve"> impact</w:t>
      </w:r>
      <w:r>
        <w:rPr>
          <w:rFonts w:cs="Arial"/>
          <w:szCs w:val="24"/>
          <w:lang w:val="en-US" w:eastAsia="zh-CN"/>
        </w:rPr>
        <w:t>s</w:t>
      </w:r>
      <w:r w:rsidRPr="006B0041">
        <w:rPr>
          <w:rFonts w:cs="Arial"/>
          <w:szCs w:val="24"/>
          <w:lang w:val="en-US" w:eastAsia="zh-CN"/>
        </w:rPr>
        <w:t xml:space="preserve"> on legacy UE operations </w:t>
      </w:r>
      <w:r>
        <w:rPr>
          <w:rFonts w:cs="Arial"/>
          <w:szCs w:val="24"/>
          <w:lang w:val="en-US" w:eastAsia="zh-CN"/>
        </w:rPr>
        <w:t xml:space="preserve">on </w:t>
      </w:r>
      <w:r w:rsidRPr="006B0041">
        <w:rPr>
          <w:rFonts w:cs="Arial"/>
          <w:szCs w:val="24"/>
          <w:lang w:val="en-US" w:eastAsia="zh-CN"/>
        </w:rPr>
        <w:t xml:space="preserve">the same TDD carrier. </w:t>
      </w:r>
    </w:p>
    <w:p w:rsidR="00FC6EC2" w:rsidRDefault="00FC6EC2" w:rsidP="00224D98">
      <w:pPr>
        <w:pStyle w:val="aff5"/>
        <w:numPr>
          <w:ilvl w:val="0"/>
          <w:numId w:val="39"/>
        </w:numPr>
        <w:autoSpaceDE w:val="0"/>
        <w:autoSpaceDN w:val="0"/>
        <w:spacing w:after="0" w:afterAutospacing="0"/>
        <w:ind w:leftChars="0"/>
        <w:rPr>
          <w:rFonts w:cs="Arial"/>
          <w:szCs w:val="24"/>
          <w:lang w:val="en-US" w:eastAsia="zh-CN"/>
        </w:rPr>
      </w:pPr>
      <w:r>
        <w:rPr>
          <w:rFonts w:cs="Arial"/>
          <w:szCs w:val="24"/>
          <w:lang w:val="en-US" w:eastAsia="zh-CN"/>
        </w:rPr>
        <w:t>For a DL subframe used as additional subframe type</w:t>
      </w:r>
    </w:p>
    <w:p w:rsidR="00FC6EC2" w:rsidRDefault="00FC6EC2" w:rsidP="00224D98">
      <w:pPr>
        <w:pStyle w:val="aff5"/>
        <w:numPr>
          <w:ilvl w:val="1"/>
          <w:numId w:val="39"/>
        </w:numPr>
        <w:autoSpaceDE w:val="0"/>
        <w:autoSpaceDN w:val="0"/>
        <w:spacing w:after="0" w:afterAutospacing="0"/>
        <w:ind w:leftChars="0"/>
        <w:rPr>
          <w:rFonts w:cs="Arial"/>
          <w:szCs w:val="24"/>
          <w:lang w:val="en-US" w:eastAsia="zh-CN"/>
        </w:rPr>
      </w:pPr>
      <w:r>
        <w:rPr>
          <w:rFonts w:cs="Arial"/>
          <w:szCs w:val="24"/>
          <w:lang w:val="en-US" w:eastAsia="zh-CN"/>
        </w:rPr>
        <w:t>The subframe has to be configured as a MBSFN subframe for legacy UEs</w:t>
      </w:r>
    </w:p>
    <w:p w:rsidR="00FC6EC2" w:rsidRDefault="00FC6EC2" w:rsidP="00224D98">
      <w:pPr>
        <w:pStyle w:val="aff5"/>
        <w:numPr>
          <w:ilvl w:val="1"/>
          <w:numId w:val="39"/>
        </w:numPr>
        <w:autoSpaceDE w:val="0"/>
        <w:autoSpaceDN w:val="0"/>
        <w:spacing w:after="0" w:afterAutospacing="0"/>
        <w:ind w:leftChars="0"/>
        <w:rPr>
          <w:rFonts w:cs="Arial"/>
          <w:szCs w:val="24"/>
          <w:lang w:val="en-US" w:eastAsia="zh-CN"/>
        </w:rPr>
      </w:pPr>
      <w:r>
        <w:rPr>
          <w:rFonts w:cs="Arial"/>
          <w:szCs w:val="24"/>
          <w:lang w:val="en-US" w:eastAsia="zh-CN"/>
        </w:rPr>
        <w:t>No EPDCCH and/or PDSCH can be transmitted for legacy UEs</w:t>
      </w:r>
    </w:p>
    <w:p w:rsidR="00224D98" w:rsidRPr="00FB15D2" w:rsidRDefault="00224D98" w:rsidP="00224D98">
      <w:pPr>
        <w:pStyle w:val="aff5"/>
        <w:autoSpaceDE w:val="0"/>
        <w:autoSpaceDN w:val="0"/>
        <w:spacing w:after="0" w:afterAutospacing="0"/>
        <w:ind w:leftChars="0" w:left="1440"/>
        <w:rPr>
          <w:rFonts w:cs="Arial"/>
          <w:szCs w:val="24"/>
          <w:lang w:val="en-US" w:eastAsia="zh-CN"/>
        </w:rPr>
      </w:pPr>
    </w:p>
    <w:p w:rsidR="00FC6EC2" w:rsidRDefault="00FC6EC2" w:rsidP="00224D98">
      <w:pPr>
        <w:pStyle w:val="aff5"/>
        <w:numPr>
          <w:ilvl w:val="0"/>
          <w:numId w:val="39"/>
        </w:numPr>
        <w:autoSpaceDE w:val="0"/>
        <w:autoSpaceDN w:val="0"/>
        <w:spacing w:after="0" w:afterAutospacing="0"/>
        <w:ind w:leftChars="0"/>
        <w:rPr>
          <w:rFonts w:cs="Arial"/>
          <w:szCs w:val="24"/>
          <w:lang w:val="en-US" w:eastAsia="zh-CN"/>
        </w:rPr>
      </w:pPr>
      <w:r>
        <w:rPr>
          <w:rFonts w:cs="Arial"/>
          <w:szCs w:val="24"/>
          <w:lang w:val="en-US" w:eastAsia="zh-CN"/>
        </w:rPr>
        <w:t>For a UL subframe used as additional subframe type</w:t>
      </w:r>
    </w:p>
    <w:p w:rsidR="00FC6EC2" w:rsidRDefault="00FC6EC2" w:rsidP="00224D98">
      <w:pPr>
        <w:pStyle w:val="aff5"/>
        <w:numPr>
          <w:ilvl w:val="1"/>
          <w:numId w:val="39"/>
        </w:numPr>
        <w:autoSpaceDE w:val="0"/>
        <w:autoSpaceDN w:val="0"/>
        <w:spacing w:after="0" w:afterAutospacing="0"/>
        <w:ind w:leftChars="0"/>
        <w:rPr>
          <w:rFonts w:cs="Arial"/>
          <w:szCs w:val="24"/>
          <w:lang w:val="en-US" w:eastAsia="zh-CN"/>
        </w:rPr>
      </w:pPr>
      <w:r>
        <w:rPr>
          <w:rFonts w:cs="Arial"/>
          <w:szCs w:val="24"/>
          <w:lang w:val="en-US" w:eastAsia="zh-CN"/>
        </w:rPr>
        <w:t>No PUCCH feedback is possible for legacy UEs. Consequently, it limits the PDSCH transmission on a DL subframes.</w:t>
      </w:r>
    </w:p>
    <w:p w:rsidR="00FC6EC2" w:rsidRDefault="00FC6EC2" w:rsidP="00224D98">
      <w:pPr>
        <w:pStyle w:val="aff5"/>
        <w:numPr>
          <w:ilvl w:val="1"/>
          <w:numId w:val="39"/>
        </w:numPr>
        <w:spacing w:after="0" w:afterAutospacing="0"/>
        <w:ind w:leftChars="0"/>
        <w:rPr>
          <w:rFonts w:cs="Arial"/>
          <w:szCs w:val="24"/>
          <w:lang w:val="en-US" w:eastAsia="zh-CN"/>
        </w:rPr>
      </w:pPr>
      <w:r w:rsidRPr="006B0041">
        <w:rPr>
          <w:rFonts w:cs="Arial"/>
          <w:szCs w:val="24"/>
          <w:lang w:val="en-US" w:eastAsia="zh-CN"/>
        </w:rPr>
        <w:t xml:space="preserve">No PUSCH transmission is allowed for the legacy UEs. </w:t>
      </w:r>
      <w:r>
        <w:rPr>
          <w:rFonts w:cs="Arial"/>
          <w:szCs w:val="24"/>
          <w:lang w:val="en-US" w:eastAsia="zh-CN"/>
        </w:rPr>
        <w:t>Consequently, it limits the PU</w:t>
      </w:r>
      <w:r w:rsidRPr="006B0041">
        <w:rPr>
          <w:rFonts w:cs="Arial"/>
          <w:szCs w:val="24"/>
          <w:lang w:val="en-US" w:eastAsia="zh-CN"/>
        </w:rPr>
        <w:t xml:space="preserve">SCH </w:t>
      </w:r>
      <w:r>
        <w:rPr>
          <w:rFonts w:cs="Arial"/>
          <w:szCs w:val="24"/>
          <w:lang w:val="en-US" w:eastAsia="zh-CN"/>
        </w:rPr>
        <w:t>scheduling in a DL subframe</w:t>
      </w:r>
      <w:r w:rsidRPr="006B0041">
        <w:rPr>
          <w:rFonts w:cs="Arial"/>
          <w:szCs w:val="24"/>
          <w:lang w:val="en-US" w:eastAsia="zh-CN"/>
        </w:rPr>
        <w:t>.</w:t>
      </w:r>
    </w:p>
    <w:p w:rsidR="00224D98" w:rsidRPr="006B0041" w:rsidRDefault="00224D98" w:rsidP="00224D98">
      <w:pPr>
        <w:pStyle w:val="aff5"/>
        <w:spacing w:after="0" w:afterAutospacing="0"/>
        <w:ind w:leftChars="0" w:left="1440"/>
        <w:rPr>
          <w:rFonts w:cs="Arial"/>
          <w:szCs w:val="24"/>
          <w:lang w:val="en-US" w:eastAsia="zh-CN"/>
        </w:rPr>
      </w:pPr>
    </w:p>
    <w:p w:rsidR="00FC6EC2" w:rsidRDefault="00FC6EC2" w:rsidP="00224D98">
      <w:pPr>
        <w:pStyle w:val="aff5"/>
        <w:numPr>
          <w:ilvl w:val="0"/>
          <w:numId w:val="39"/>
        </w:numPr>
        <w:autoSpaceDE w:val="0"/>
        <w:autoSpaceDN w:val="0"/>
        <w:spacing w:after="0" w:afterAutospacing="0"/>
        <w:ind w:leftChars="0"/>
        <w:rPr>
          <w:rFonts w:cs="Arial"/>
          <w:szCs w:val="24"/>
          <w:lang w:val="en-US" w:eastAsia="zh-CN"/>
        </w:rPr>
      </w:pPr>
      <w:r w:rsidRPr="006B0041">
        <w:rPr>
          <w:rFonts w:cs="Arial"/>
          <w:szCs w:val="24"/>
          <w:lang w:val="en-US" w:eastAsia="zh-CN"/>
        </w:rPr>
        <w:t>If adjacent cells have different transmission directions in some symbols, it will cause many int</w:t>
      </w:r>
      <w:r>
        <w:rPr>
          <w:rFonts w:cs="Arial"/>
          <w:szCs w:val="24"/>
          <w:lang w:val="en-US" w:eastAsia="zh-CN"/>
        </w:rPr>
        <w:t>erference issues on both cells. This should be evaluated as in eIMTA study.</w:t>
      </w:r>
    </w:p>
    <w:p w:rsidR="00FC6EC2" w:rsidRPr="006B0041" w:rsidRDefault="00FC6EC2" w:rsidP="00FC6EC2">
      <w:pPr>
        <w:autoSpaceDE w:val="0"/>
        <w:autoSpaceDN w:val="0"/>
        <w:adjustRightInd w:val="0"/>
        <w:spacing w:before="100" w:beforeAutospacing="1"/>
        <w:rPr>
          <w:rFonts w:cs="Arial"/>
          <w:szCs w:val="24"/>
          <w:lang w:val="en-US" w:eastAsia="zh-CN"/>
        </w:rPr>
      </w:pPr>
      <w:r w:rsidRPr="006B0041">
        <w:rPr>
          <w:rFonts w:cs="Arial"/>
          <w:szCs w:val="24"/>
          <w:lang w:val="en-US" w:eastAsia="zh-CN"/>
        </w:rPr>
        <w:t xml:space="preserve">Furthermore, </w:t>
      </w:r>
      <w:r>
        <w:rPr>
          <w:rFonts w:cs="Arial"/>
          <w:szCs w:val="24"/>
          <w:lang w:val="en-US" w:eastAsia="zh-CN"/>
        </w:rPr>
        <w:t xml:space="preserve">there is </w:t>
      </w:r>
      <w:r w:rsidRPr="006B0041">
        <w:rPr>
          <w:rFonts w:cs="Arial"/>
          <w:szCs w:val="24"/>
          <w:lang w:val="en-US" w:eastAsia="zh-CN"/>
        </w:rPr>
        <w:t xml:space="preserve">another ongoing work item on uplink capacity enhancement </w:t>
      </w:r>
      <w:r>
        <w:rPr>
          <w:rFonts w:cs="Arial"/>
          <w:szCs w:val="24"/>
          <w:lang w:val="en-US" w:eastAsia="zh-CN"/>
        </w:rPr>
        <w:t xml:space="preserve">to </w:t>
      </w:r>
      <w:r w:rsidRPr="006B0041">
        <w:rPr>
          <w:rFonts w:cs="Arial"/>
          <w:szCs w:val="24"/>
          <w:lang w:val="en-US" w:eastAsia="zh-CN"/>
        </w:rPr>
        <w:t>support PUSCH transmission in special subframe op top of application of additional SRS transmission</w:t>
      </w:r>
      <w:r w:rsidR="00D75EA1">
        <w:rPr>
          <w:rFonts w:cs="Arial"/>
          <w:szCs w:val="24"/>
          <w:lang w:val="en-US" w:eastAsia="zh-CN"/>
        </w:rPr>
        <w:t xml:space="preserve"> </w:t>
      </w:r>
      <w:r w:rsidR="00D75EA1">
        <w:rPr>
          <w:rFonts w:cs="Arial"/>
          <w:szCs w:val="24"/>
          <w:lang w:val="en-US" w:eastAsia="zh-CN"/>
        </w:rPr>
        <w:fldChar w:fldCharType="begin"/>
      </w:r>
      <w:r w:rsidR="00D75EA1">
        <w:rPr>
          <w:rFonts w:cs="Arial"/>
          <w:szCs w:val="24"/>
          <w:lang w:val="en-US" w:eastAsia="zh-CN"/>
        </w:rPr>
        <w:instrText xml:space="preserve"> REF _Ref450725706 \r \h </w:instrText>
      </w:r>
      <w:r w:rsidR="00D75EA1">
        <w:rPr>
          <w:rFonts w:cs="Arial"/>
          <w:szCs w:val="24"/>
          <w:lang w:val="en-US" w:eastAsia="zh-CN"/>
        </w:rPr>
      </w:r>
      <w:r w:rsidR="00D75EA1">
        <w:rPr>
          <w:rFonts w:cs="Arial"/>
          <w:szCs w:val="24"/>
          <w:lang w:val="en-US" w:eastAsia="zh-CN"/>
        </w:rPr>
        <w:fldChar w:fldCharType="separate"/>
      </w:r>
      <w:r w:rsidR="00D75EA1">
        <w:rPr>
          <w:rFonts w:cs="Arial"/>
          <w:szCs w:val="24"/>
          <w:lang w:val="en-US" w:eastAsia="zh-CN"/>
        </w:rPr>
        <w:t>[4]</w:t>
      </w:r>
      <w:r w:rsidR="00D75EA1">
        <w:rPr>
          <w:rFonts w:cs="Arial"/>
          <w:szCs w:val="24"/>
          <w:lang w:val="en-US" w:eastAsia="zh-CN"/>
        </w:rPr>
        <w:fldChar w:fldCharType="end"/>
      </w:r>
      <w:r w:rsidRPr="006B0041">
        <w:rPr>
          <w:rFonts w:cs="Arial"/>
          <w:szCs w:val="24"/>
          <w:lang w:val="en-US" w:eastAsia="zh-CN"/>
        </w:rPr>
        <w:t xml:space="preserve">. The result </w:t>
      </w:r>
      <w:r>
        <w:rPr>
          <w:rFonts w:cs="Arial"/>
          <w:szCs w:val="24"/>
          <w:lang w:val="en-US" w:eastAsia="zh-CN"/>
        </w:rPr>
        <w:t xml:space="preserve">of this WI </w:t>
      </w:r>
      <w:r w:rsidRPr="006B0041">
        <w:rPr>
          <w:rFonts w:cs="Arial"/>
          <w:szCs w:val="24"/>
          <w:lang w:val="en-US" w:eastAsia="zh-CN"/>
        </w:rPr>
        <w:t xml:space="preserve">could be </w:t>
      </w:r>
      <w:r>
        <w:rPr>
          <w:rFonts w:cs="Arial"/>
          <w:szCs w:val="24"/>
          <w:lang w:val="en-US" w:eastAsia="zh-CN"/>
        </w:rPr>
        <w:t xml:space="preserve">a design of </w:t>
      </w:r>
      <w:r w:rsidRPr="006B0041">
        <w:rPr>
          <w:rFonts w:cs="Arial"/>
          <w:szCs w:val="24"/>
          <w:lang w:val="en-US" w:eastAsia="zh-CN"/>
        </w:rPr>
        <w:t xml:space="preserve">new </w:t>
      </w:r>
      <w:r>
        <w:rPr>
          <w:rFonts w:cs="Arial"/>
          <w:szCs w:val="24"/>
          <w:lang w:val="en-US" w:eastAsia="zh-CN"/>
        </w:rPr>
        <w:t xml:space="preserve">special </w:t>
      </w:r>
      <w:r w:rsidRPr="006B0041">
        <w:rPr>
          <w:rFonts w:cs="Arial"/>
          <w:szCs w:val="24"/>
          <w:lang w:val="en-US" w:eastAsia="zh-CN"/>
        </w:rPr>
        <w:t xml:space="preserve">subframe </w:t>
      </w:r>
      <w:r>
        <w:rPr>
          <w:rFonts w:cs="Arial"/>
          <w:szCs w:val="24"/>
          <w:lang w:val="en-US" w:eastAsia="zh-CN"/>
        </w:rPr>
        <w:t xml:space="preserve">formats like the additional subframe type proposed for </w:t>
      </w:r>
      <w:r w:rsidRPr="006B0041">
        <w:rPr>
          <w:rFonts w:cs="Arial"/>
          <w:szCs w:val="24"/>
          <w:lang w:val="en-US" w:eastAsia="zh-CN"/>
        </w:rPr>
        <w:t>TDD latency reduction. Therefore, it is better to wait until the completion of uplink capacity enhancement WI before introducing new flexible subframe type in TDD</w:t>
      </w:r>
      <w:r>
        <w:rPr>
          <w:rFonts w:cs="Arial"/>
          <w:szCs w:val="24"/>
          <w:lang w:val="en-US" w:eastAsia="zh-CN"/>
        </w:rPr>
        <w:t xml:space="preserve">. </w:t>
      </w:r>
    </w:p>
    <w:p w:rsidR="00224D98" w:rsidRDefault="00224D98" w:rsidP="00FC6EC2">
      <w:pPr>
        <w:autoSpaceDE w:val="0"/>
        <w:autoSpaceDN w:val="0"/>
        <w:adjustRightInd w:val="0"/>
        <w:spacing w:before="100" w:beforeAutospacing="1"/>
        <w:rPr>
          <w:rFonts w:cs="Arial"/>
          <w:szCs w:val="24"/>
          <w:lang w:val="en-US" w:eastAsia="zh-CN"/>
        </w:rPr>
      </w:pPr>
      <w:r>
        <w:rPr>
          <w:rFonts w:cs="Arial"/>
          <w:szCs w:val="24"/>
          <w:lang w:val="en-US" w:eastAsia="zh-CN"/>
        </w:rPr>
        <w:t>Considering the huge impact to legacy TDD operations and potential duplicate effort</w:t>
      </w:r>
      <w:r w:rsidR="00FC6EC2">
        <w:rPr>
          <w:rFonts w:cs="Arial"/>
          <w:szCs w:val="24"/>
          <w:lang w:val="en-US" w:eastAsia="zh-CN"/>
        </w:rPr>
        <w:t xml:space="preserve">, we recommend </w:t>
      </w:r>
      <w:r w:rsidR="00D75EA1">
        <w:rPr>
          <w:rFonts w:cs="Arial"/>
          <w:szCs w:val="24"/>
          <w:lang w:val="en-US" w:eastAsia="zh-CN"/>
        </w:rPr>
        <w:t>us</w:t>
      </w:r>
      <w:r w:rsidR="00E0724F">
        <w:rPr>
          <w:rFonts w:cs="Arial"/>
          <w:szCs w:val="24"/>
          <w:lang w:val="en-US" w:eastAsia="zh-CN"/>
        </w:rPr>
        <w:t>ing</w:t>
      </w:r>
      <w:r w:rsidR="00D75EA1">
        <w:rPr>
          <w:rFonts w:cs="Arial"/>
          <w:szCs w:val="24"/>
          <w:lang w:val="en-US" w:eastAsia="zh-CN"/>
        </w:rPr>
        <w:t xml:space="preserve"> </w:t>
      </w:r>
      <w:r w:rsidR="00FC6EC2">
        <w:rPr>
          <w:rFonts w:cs="Arial"/>
          <w:szCs w:val="24"/>
          <w:lang w:val="en-US" w:eastAsia="zh-CN"/>
        </w:rPr>
        <w:t>set 3 in the evaluation assumptions as the baseline in the study of latency reduction for TDD</w:t>
      </w:r>
      <w:r>
        <w:rPr>
          <w:rFonts w:cs="Arial"/>
          <w:szCs w:val="24"/>
          <w:lang w:val="en-US" w:eastAsia="zh-CN"/>
        </w:rPr>
        <w:t xml:space="preserve">, i.e. keep legacy TDD DL/UL configurations </w:t>
      </w:r>
      <w:r>
        <w:rPr>
          <w:rFonts w:cs="Arial"/>
          <w:szCs w:val="24"/>
          <w:lang w:val="en-US" w:eastAsia="zh-CN"/>
        </w:rPr>
        <w:fldChar w:fldCharType="begin"/>
      </w:r>
      <w:r>
        <w:rPr>
          <w:rFonts w:cs="Arial"/>
          <w:szCs w:val="24"/>
          <w:lang w:val="en-US" w:eastAsia="zh-CN"/>
        </w:rPr>
        <w:instrText xml:space="preserve"> REF _Ref450725503 \r \h </w:instrText>
      </w:r>
      <w:r>
        <w:rPr>
          <w:rFonts w:cs="Arial"/>
          <w:szCs w:val="24"/>
          <w:lang w:val="en-US" w:eastAsia="zh-CN"/>
        </w:rPr>
      </w:r>
      <w:r>
        <w:rPr>
          <w:rFonts w:cs="Arial"/>
          <w:szCs w:val="24"/>
          <w:lang w:val="en-US" w:eastAsia="zh-CN"/>
        </w:rPr>
        <w:fldChar w:fldCharType="separate"/>
      </w:r>
      <w:r>
        <w:rPr>
          <w:rFonts w:cs="Arial"/>
          <w:szCs w:val="24"/>
          <w:lang w:val="en-US" w:eastAsia="zh-CN"/>
        </w:rPr>
        <w:t>[1]</w:t>
      </w:r>
      <w:r>
        <w:rPr>
          <w:rFonts w:cs="Arial"/>
          <w:szCs w:val="24"/>
          <w:lang w:val="en-US" w:eastAsia="zh-CN"/>
        </w:rPr>
        <w:fldChar w:fldCharType="end"/>
      </w:r>
      <w:r>
        <w:rPr>
          <w:rFonts w:cs="Arial"/>
          <w:szCs w:val="24"/>
          <w:lang w:val="en-US" w:eastAsia="zh-CN"/>
        </w:rPr>
        <w:t>.</w:t>
      </w:r>
      <w:r w:rsidR="00FC6EC2">
        <w:rPr>
          <w:rFonts w:cs="Arial"/>
          <w:szCs w:val="24"/>
          <w:lang w:val="en-US" w:eastAsia="zh-CN"/>
        </w:rPr>
        <w:t xml:space="preserve"> </w:t>
      </w:r>
    </w:p>
    <w:p w:rsidR="00224D98" w:rsidRDefault="00224D98" w:rsidP="00224D98">
      <w:pPr>
        <w:numPr>
          <w:ilvl w:val="0"/>
          <w:numId w:val="44"/>
        </w:numPr>
        <w:snapToGrid/>
        <w:spacing w:after="0" w:afterAutospacing="0"/>
        <w:jc w:val="left"/>
        <w:rPr>
          <w:rFonts w:eastAsia="ＭＳ 明朝"/>
          <w:lang w:val="en-US"/>
        </w:rPr>
      </w:pPr>
      <w:r w:rsidRPr="00D72E94">
        <w:rPr>
          <w:rFonts w:eastAsia="ＭＳ 明朝"/>
          <w:lang w:val="en-US"/>
        </w:rPr>
        <w:t>For SLS/analysis of latency reduction for TDD</w:t>
      </w:r>
    </w:p>
    <w:p w:rsidR="00224D98" w:rsidRDefault="00224D98" w:rsidP="00224D98">
      <w:pPr>
        <w:numPr>
          <w:ilvl w:val="1"/>
          <w:numId w:val="44"/>
        </w:numPr>
        <w:snapToGrid/>
        <w:spacing w:after="0" w:afterAutospacing="0"/>
        <w:jc w:val="left"/>
        <w:rPr>
          <w:rFonts w:eastAsia="ＭＳ 明朝"/>
          <w:lang w:val="en-US"/>
        </w:rPr>
      </w:pPr>
      <w:r w:rsidRPr="00D72E94">
        <w:rPr>
          <w:rFonts w:eastAsia="ＭＳ 明朝"/>
          <w:lang w:val="en-US"/>
        </w:rPr>
        <w:t>Evaluation sets include at least the followings</w:t>
      </w:r>
    </w:p>
    <w:p w:rsidR="00224D98" w:rsidRPr="00D72E94" w:rsidRDefault="00224D98" w:rsidP="00224D98">
      <w:pPr>
        <w:numPr>
          <w:ilvl w:val="2"/>
          <w:numId w:val="44"/>
        </w:numPr>
        <w:snapToGrid/>
        <w:spacing w:after="0" w:afterAutospacing="0"/>
        <w:jc w:val="left"/>
        <w:rPr>
          <w:rFonts w:eastAsia="ＭＳ 明朝"/>
          <w:lang w:val="en-US"/>
        </w:rPr>
      </w:pPr>
      <w:r w:rsidRPr="00D72E94">
        <w:rPr>
          <w:rFonts w:eastAsia="ＭＳ 明朝"/>
          <w:lang w:val="en-US"/>
        </w:rPr>
        <w:t>Reference set: Legacy TDD DL/UL configuration with legacy TTI</w:t>
      </w:r>
    </w:p>
    <w:p w:rsidR="00224D98" w:rsidRPr="00224D98" w:rsidRDefault="00224D98" w:rsidP="00224D98">
      <w:pPr>
        <w:pStyle w:val="aff5"/>
        <w:numPr>
          <w:ilvl w:val="2"/>
          <w:numId w:val="44"/>
        </w:numPr>
        <w:snapToGrid/>
        <w:spacing w:after="0" w:afterAutospacing="0"/>
        <w:ind w:leftChars="0"/>
        <w:jc w:val="left"/>
        <w:rPr>
          <w:rFonts w:eastAsia="ＭＳ 明朝"/>
          <w:highlight w:val="yellow"/>
          <w:lang w:val="en-US"/>
        </w:rPr>
      </w:pPr>
      <w:r w:rsidRPr="00224D98">
        <w:rPr>
          <w:rFonts w:eastAsia="ＭＳ 明朝"/>
          <w:highlight w:val="yellow"/>
          <w:lang w:val="en-US"/>
        </w:rPr>
        <w:t>Set 3: keep legacy TDD DL/UL configuration</w:t>
      </w:r>
    </w:p>
    <w:p w:rsidR="00224D98" w:rsidRPr="00224D98" w:rsidRDefault="00224D98" w:rsidP="00224D98">
      <w:pPr>
        <w:pStyle w:val="aff5"/>
        <w:numPr>
          <w:ilvl w:val="3"/>
          <w:numId w:val="44"/>
        </w:numPr>
        <w:snapToGrid/>
        <w:spacing w:after="0" w:afterAutospacing="0"/>
        <w:ind w:leftChars="0"/>
        <w:jc w:val="left"/>
        <w:rPr>
          <w:rFonts w:eastAsia="ＭＳ 明朝"/>
          <w:highlight w:val="yellow"/>
          <w:lang w:val="en-US"/>
        </w:rPr>
      </w:pPr>
      <w:r w:rsidRPr="00224D98">
        <w:rPr>
          <w:rFonts w:eastAsia="ＭＳ 明朝"/>
          <w:highlight w:val="yellow"/>
          <w:lang w:val="en-US"/>
        </w:rPr>
        <w:t>All downlink subframes are fixed as downlink subframes</w:t>
      </w:r>
    </w:p>
    <w:p w:rsidR="00224D98" w:rsidRPr="00224D98" w:rsidRDefault="00224D98" w:rsidP="00224D98">
      <w:pPr>
        <w:pStyle w:val="aff5"/>
        <w:numPr>
          <w:ilvl w:val="3"/>
          <w:numId w:val="44"/>
        </w:numPr>
        <w:snapToGrid/>
        <w:spacing w:after="0" w:afterAutospacing="0"/>
        <w:ind w:leftChars="0"/>
        <w:jc w:val="left"/>
        <w:rPr>
          <w:rFonts w:eastAsia="ＭＳ 明朝"/>
          <w:highlight w:val="yellow"/>
          <w:lang w:val="en-US"/>
        </w:rPr>
      </w:pPr>
      <w:r w:rsidRPr="00224D98">
        <w:rPr>
          <w:rFonts w:eastAsia="ＭＳ 明朝"/>
          <w:highlight w:val="yellow"/>
          <w:lang w:val="en-US"/>
        </w:rPr>
        <w:t>All uplink subframes are fixed as uplink subframes</w:t>
      </w:r>
    </w:p>
    <w:p w:rsidR="00224D98" w:rsidRPr="00224D98" w:rsidRDefault="00224D98" w:rsidP="00224D98">
      <w:pPr>
        <w:pStyle w:val="aff5"/>
        <w:numPr>
          <w:ilvl w:val="3"/>
          <w:numId w:val="44"/>
        </w:numPr>
        <w:snapToGrid/>
        <w:spacing w:after="0" w:afterAutospacing="0"/>
        <w:ind w:leftChars="0"/>
        <w:jc w:val="left"/>
        <w:rPr>
          <w:rFonts w:eastAsia="ＭＳ 明朝"/>
          <w:highlight w:val="yellow"/>
          <w:lang w:val="en-US"/>
        </w:rPr>
      </w:pPr>
      <w:r w:rsidRPr="00224D98">
        <w:rPr>
          <w:rFonts w:eastAsia="ＭＳ 明朝"/>
          <w:highlight w:val="yellow"/>
          <w:lang w:val="en-US"/>
        </w:rPr>
        <w:t>Special subframes are fixed as special subframes</w:t>
      </w:r>
    </w:p>
    <w:p w:rsidR="00FC6EC2" w:rsidRDefault="00B05280" w:rsidP="00FC6EC2">
      <w:pPr>
        <w:autoSpaceDE w:val="0"/>
        <w:autoSpaceDN w:val="0"/>
        <w:adjustRightInd w:val="0"/>
        <w:spacing w:before="100" w:beforeAutospacing="1"/>
        <w:rPr>
          <w:rFonts w:eastAsia="ＭＳ 明朝"/>
          <w:lang w:val="en-US"/>
        </w:rPr>
      </w:pPr>
      <w:r>
        <w:rPr>
          <w:rFonts w:eastAsia="ＭＳ 明朝" w:hint="eastAsia"/>
          <w:lang w:val="en-US"/>
        </w:rPr>
        <w:t xml:space="preserve">Furthermore, based on Observation 1 from Section 2, it is recommended </w:t>
      </w:r>
      <w:r w:rsidR="00D75EA1">
        <w:rPr>
          <w:rFonts w:eastAsia="ＭＳ 明朝"/>
          <w:lang w:val="en-US"/>
        </w:rPr>
        <w:t xml:space="preserve">to </w:t>
      </w:r>
      <w:r>
        <w:rPr>
          <w:rFonts w:eastAsia="ＭＳ 明朝" w:hint="eastAsia"/>
          <w:lang w:val="en-US"/>
        </w:rPr>
        <w:t>focus on TDD UL/DL configuration 0, 1, and 2</w:t>
      </w:r>
      <w:r w:rsidR="00D75EA1">
        <w:rPr>
          <w:rFonts w:eastAsia="ＭＳ 明朝"/>
          <w:lang w:val="en-US"/>
        </w:rPr>
        <w:t xml:space="preserve"> in TDD latency reduction</w:t>
      </w:r>
      <w:r>
        <w:rPr>
          <w:rFonts w:eastAsia="ＭＳ 明朝" w:hint="eastAsia"/>
          <w:lang w:val="en-US"/>
        </w:rPr>
        <w:t xml:space="preserve">. </w:t>
      </w:r>
    </w:p>
    <w:p w:rsidR="00FC6EC2" w:rsidRDefault="00FC6EC2" w:rsidP="00FC6EC2">
      <w:pPr>
        <w:autoSpaceDE w:val="0"/>
        <w:autoSpaceDN w:val="0"/>
        <w:adjustRightInd w:val="0"/>
        <w:spacing w:before="100" w:beforeAutospacing="1"/>
        <w:rPr>
          <w:rFonts w:eastAsia="ＭＳ 明朝"/>
          <w:b/>
          <w:lang w:val="en-US"/>
        </w:rPr>
      </w:pPr>
      <w:r w:rsidRPr="00D75EA1">
        <w:rPr>
          <w:rFonts w:cs="Arial"/>
          <w:b/>
          <w:szCs w:val="24"/>
          <w:lang w:val="en-US" w:eastAsia="zh-CN"/>
        </w:rPr>
        <w:t>Proposal 1: Keep legacy TDD UL/DL configuration in sTTI design to avoid impact of legacy TDD operation</w:t>
      </w:r>
      <w:r w:rsidR="00D75EA1" w:rsidRPr="00D75EA1">
        <w:rPr>
          <w:rFonts w:cs="Arial"/>
          <w:b/>
          <w:szCs w:val="24"/>
          <w:lang w:val="en-US" w:eastAsia="zh-CN"/>
        </w:rPr>
        <w:t xml:space="preserve">, and focus on </w:t>
      </w:r>
      <w:r w:rsidR="00B05280" w:rsidRPr="00D75EA1">
        <w:rPr>
          <w:rFonts w:eastAsia="ＭＳ 明朝" w:hint="eastAsia"/>
          <w:b/>
          <w:lang w:val="en-US"/>
        </w:rPr>
        <w:t>TDD UL/DL configuration 0, 1, and 2.</w:t>
      </w:r>
    </w:p>
    <w:p w:rsidR="00224D98" w:rsidRPr="00D75EA1" w:rsidRDefault="00224D98" w:rsidP="00FC6EC2">
      <w:pPr>
        <w:autoSpaceDE w:val="0"/>
        <w:autoSpaceDN w:val="0"/>
        <w:adjustRightInd w:val="0"/>
        <w:spacing w:before="100" w:beforeAutospacing="1"/>
        <w:rPr>
          <w:rFonts w:eastAsia="ＭＳ 明朝"/>
          <w:b/>
          <w:lang w:val="en-US"/>
        </w:rPr>
      </w:pPr>
    </w:p>
    <w:p w:rsidR="00FC6EC2" w:rsidRDefault="00FC6EC2" w:rsidP="00FC6EC2">
      <w:pPr>
        <w:autoSpaceDE w:val="0"/>
        <w:autoSpaceDN w:val="0"/>
        <w:adjustRightInd w:val="0"/>
        <w:spacing w:before="100" w:beforeAutospacing="1"/>
        <w:rPr>
          <w:rFonts w:cs="Arial"/>
          <w:szCs w:val="24"/>
          <w:lang w:val="en-US" w:eastAsia="zh-CN"/>
        </w:rPr>
      </w:pPr>
      <w:r>
        <w:rPr>
          <w:rFonts w:cs="Arial"/>
          <w:szCs w:val="24"/>
          <w:lang w:val="en-US" w:eastAsia="zh-CN"/>
        </w:rPr>
        <w:lastRenderedPageBreak/>
        <w:t>The additional subframe type provides more switching points in a TDD serving cell, which can reduce the feedback delay compared with fixed UL and DL allocations. However, it incurs huge impacts on legacy TDD operations, and big challenges on the association timing design. However, the additional subframe type should be considered in later stage or future TDD systems, e.g. in new RAT design on new frequency bands operating in TDD modes.</w:t>
      </w:r>
    </w:p>
    <w:p w:rsidR="00FC6EC2" w:rsidRPr="00135DBB" w:rsidRDefault="00FC6EC2" w:rsidP="00FC6EC2">
      <w:pPr>
        <w:autoSpaceDE w:val="0"/>
        <w:autoSpaceDN w:val="0"/>
        <w:adjustRightInd w:val="0"/>
        <w:spacing w:before="100" w:beforeAutospacing="1"/>
        <w:rPr>
          <w:rFonts w:cs="Arial"/>
          <w:b/>
          <w:szCs w:val="24"/>
          <w:lang w:val="en-US" w:eastAsia="zh-CN"/>
        </w:rPr>
      </w:pPr>
      <w:r w:rsidRPr="00135DBB">
        <w:rPr>
          <w:rFonts w:cs="Arial"/>
          <w:b/>
          <w:szCs w:val="24"/>
          <w:lang w:val="en-US" w:eastAsia="zh-CN"/>
        </w:rPr>
        <w:t>Proposal 2: The additional subframe type should be considered in new RAT design on new frequency bands operating in TDD modes.</w:t>
      </w:r>
    </w:p>
    <w:p w:rsidR="00A23C2E" w:rsidRDefault="00A23C2E" w:rsidP="00570916">
      <w:pPr>
        <w:autoSpaceDE w:val="0"/>
        <w:autoSpaceDN w:val="0"/>
        <w:adjustRightInd w:val="0"/>
        <w:spacing w:before="100" w:beforeAutospacing="1"/>
      </w:pPr>
    </w:p>
    <w:p w:rsidR="00A23C2E" w:rsidRDefault="00A23C2E" w:rsidP="00A23C2E">
      <w:pPr>
        <w:pStyle w:val="10"/>
        <w:spacing w:after="180"/>
        <w:rPr>
          <w:lang w:val="en-US" w:eastAsia="zh-CN"/>
        </w:rPr>
      </w:pPr>
      <w:r>
        <w:rPr>
          <w:lang w:val="en-US" w:eastAsia="zh-CN"/>
        </w:rPr>
        <w:t>Conclusion</w:t>
      </w:r>
    </w:p>
    <w:p w:rsidR="00135DBB" w:rsidRDefault="00135DBB" w:rsidP="00135DBB">
      <w:pPr>
        <w:adjustRightInd w:val="0"/>
        <w:spacing w:before="100" w:beforeAutospacing="1"/>
        <w:rPr>
          <w:lang w:val="en-US"/>
        </w:rPr>
      </w:pPr>
      <w:r w:rsidRPr="00333DA7">
        <w:rPr>
          <w:rFonts w:hint="eastAsia"/>
          <w:lang w:val="en-US"/>
        </w:rPr>
        <w:t xml:space="preserve">In this contribution, we </w:t>
      </w:r>
      <w:r w:rsidR="00D75EA1">
        <w:rPr>
          <w:lang w:val="en-US"/>
        </w:rPr>
        <w:t xml:space="preserve">analyze the potential gain of latency reduction for TDD, and </w:t>
      </w:r>
      <w:r>
        <w:rPr>
          <w:lang w:val="en-US"/>
        </w:rPr>
        <w:t>impacts of additional subframe type for TDD latency reduction on legacy TDD operation. Based on the analysis, we propose that:</w:t>
      </w:r>
    </w:p>
    <w:p w:rsidR="00D75EA1" w:rsidRDefault="00D75EA1" w:rsidP="00224D98">
      <w:pPr>
        <w:pStyle w:val="aff5"/>
        <w:numPr>
          <w:ilvl w:val="0"/>
          <w:numId w:val="40"/>
        </w:numPr>
        <w:autoSpaceDE w:val="0"/>
        <w:autoSpaceDN w:val="0"/>
        <w:adjustRightInd w:val="0"/>
        <w:spacing w:after="0" w:afterAutospacing="0"/>
        <w:ind w:leftChars="0"/>
        <w:rPr>
          <w:rFonts w:eastAsia="ＭＳ 明朝"/>
          <w:b/>
          <w:lang w:val="en-US"/>
        </w:rPr>
      </w:pPr>
      <w:r w:rsidRPr="00D75EA1">
        <w:rPr>
          <w:rFonts w:cs="Arial"/>
          <w:b/>
          <w:szCs w:val="24"/>
          <w:lang w:val="en-US" w:eastAsia="zh-CN"/>
        </w:rPr>
        <w:t xml:space="preserve">Proposal 1: Keep legacy TDD UL/DL configuration in sTTI design to avoid impact of legacy TDD operation, and focus on </w:t>
      </w:r>
      <w:r w:rsidRPr="00D75EA1">
        <w:rPr>
          <w:rFonts w:eastAsia="ＭＳ 明朝" w:hint="eastAsia"/>
          <w:b/>
          <w:lang w:val="en-US"/>
        </w:rPr>
        <w:t>TDD UL/DL configuration 0, 1, and 2.</w:t>
      </w:r>
    </w:p>
    <w:p w:rsidR="00224D98" w:rsidRPr="00D75EA1" w:rsidRDefault="00224D98" w:rsidP="00224D98">
      <w:pPr>
        <w:pStyle w:val="aff5"/>
        <w:autoSpaceDE w:val="0"/>
        <w:autoSpaceDN w:val="0"/>
        <w:adjustRightInd w:val="0"/>
        <w:spacing w:after="0" w:afterAutospacing="0"/>
        <w:ind w:leftChars="0" w:left="720"/>
        <w:rPr>
          <w:rFonts w:eastAsia="ＭＳ 明朝"/>
          <w:b/>
          <w:lang w:val="en-US"/>
        </w:rPr>
      </w:pPr>
    </w:p>
    <w:p w:rsidR="00135DBB" w:rsidRPr="00135DBB" w:rsidRDefault="00135DBB" w:rsidP="00224D98">
      <w:pPr>
        <w:pStyle w:val="aff5"/>
        <w:numPr>
          <w:ilvl w:val="0"/>
          <w:numId w:val="40"/>
        </w:numPr>
        <w:autoSpaceDE w:val="0"/>
        <w:autoSpaceDN w:val="0"/>
        <w:adjustRightInd w:val="0"/>
        <w:spacing w:after="0" w:afterAutospacing="0"/>
        <w:ind w:leftChars="0"/>
        <w:rPr>
          <w:rFonts w:cs="Arial"/>
          <w:b/>
          <w:szCs w:val="24"/>
          <w:lang w:val="en-US" w:eastAsia="zh-CN"/>
        </w:rPr>
      </w:pPr>
      <w:r w:rsidRPr="00135DBB">
        <w:rPr>
          <w:rFonts w:cs="Arial"/>
          <w:b/>
          <w:szCs w:val="24"/>
          <w:lang w:val="en-US" w:eastAsia="zh-CN"/>
        </w:rPr>
        <w:t>Proposal 2: The additional subframe type should be considered in new RAT design on new frequency bands operating in TDD modes.</w:t>
      </w:r>
    </w:p>
    <w:p w:rsidR="00A23C2E" w:rsidRDefault="00A23C2E" w:rsidP="00A23C2E">
      <w:pPr>
        <w:autoSpaceDE w:val="0"/>
        <w:autoSpaceDN w:val="0"/>
        <w:adjustRightInd w:val="0"/>
        <w:spacing w:before="100" w:beforeAutospacing="1"/>
        <w:rPr>
          <w:rFonts w:cs="Arial"/>
          <w:szCs w:val="24"/>
          <w:lang w:val="en-US" w:eastAsia="zh-CN"/>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407F39" w:rsidRPr="00407F39" w:rsidRDefault="00F93390" w:rsidP="00D75EA1">
      <w:pPr>
        <w:pStyle w:val="textintend2"/>
        <w:widowControl w:val="0"/>
        <w:numPr>
          <w:ilvl w:val="0"/>
          <w:numId w:val="19"/>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t>4bis,</w:t>
      </w:r>
      <w:r w:rsidRPr="008B21EF">
        <w:t xml:space="preserve"> </w:t>
      </w:r>
      <w:r w:rsidR="009D78BF">
        <w:rPr>
          <w:rFonts w:hint="eastAsia"/>
          <w:lang w:eastAsia="ja-JP"/>
        </w:rPr>
        <w:t>April</w:t>
      </w:r>
      <w:r w:rsidRPr="008B21EF">
        <w:t xml:space="preserve"> 201</w:t>
      </w:r>
      <w:r>
        <w:t>6</w:t>
      </w:r>
      <w:bookmarkEnd w:id="5"/>
    </w:p>
    <w:p w:rsidR="001E6912" w:rsidRPr="00D75EA1" w:rsidRDefault="00D75EA1" w:rsidP="00D75EA1">
      <w:pPr>
        <w:pStyle w:val="aff5"/>
        <w:numPr>
          <w:ilvl w:val="0"/>
          <w:numId w:val="19"/>
        </w:numPr>
        <w:adjustRightInd w:val="0"/>
        <w:spacing w:after="120" w:afterAutospacing="0"/>
        <w:ind w:leftChars="0" w:left="720" w:hanging="720"/>
        <w:rPr>
          <w:rFonts w:eastAsia="ＭＳ 明朝"/>
          <w:lang w:val="en-US"/>
        </w:rPr>
      </w:pPr>
      <w:bookmarkStart w:id="13" w:name="_Ref450725506"/>
      <w:r w:rsidRPr="00D75EA1">
        <w:rPr>
          <w:rFonts w:eastAsia="ＭＳ 明朝"/>
          <w:lang w:val="en-US"/>
        </w:rPr>
        <w:t>R1-163523</w:t>
      </w:r>
      <w:r w:rsidR="00135DBB" w:rsidRPr="00D75EA1">
        <w:rPr>
          <w:rFonts w:eastAsia="ＭＳ 明朝"/>
          <w:lang w:val="en-US"/>
        </w:rPr>
        <w:t>,</w:t>
      </w:r>
      <w:r w:rsidR="00135DBB" w:rsidRPr="00D75EA1">
        <w:rPr>
          <w:rFonts w:eastAsia="ＭＳ 明朝"/>
          <w:b/>
          <w:lang w:val="en-US"/>
        </w:rPr>
        <w:t xml:space="preserve"> </w:t>
      </w:r>
      <w:r w:rsidR="001E6912" w:rsidRPr="00D75EA1">
        <w:rPr>
          <w:rFonts w:eastAsia="ＭＳ 明朝"/>
        </w:rPr>
        <w:t>Way Forward on enhanced frame structure type 2 for latency reduction</w:t>
      </w:r>
      <w:bookmarkEnd w:id="13"/>
      <w:r w:rsidR="001E6912" w:rsidRPr="00D75EA1">
        <w:rPr>
          <w:rFonts w:eastAsia="ＭＳ 明朝"/>
        </w:rPr>
        <w:tab/>
      </w:r>
    </w:p>
    <w:p w:rsidR="001E6912" w:rsidRPr="00D75EA1" w:rsidRDefault="001E6912" w:rsidP="00D75EA1">
      <w:pPr>
        <w:pStyle w:val="aff5"/>
        <w:numPr>
          <w:ilvl w:val="0"/>
          <w:numId w:val="19"/>
        </w:numPr>
        <w:adjustRightInd w:val="0"/>
        <w:spacing w:after="120" w:afterAutospacing="0"/>
        <w:ind w:leftChars="0" w:left="720" w:hanging="720"/>
        <w:rPr>
          <w:rFonts w:eastAsia="ＭＳ 明朝"/>
        </w:rPr>
      </w:pPr>
      <w:bookmarkStart w:id="14" w:name="_Ref450725513"/>
      <w:r w:rsidRPr="00D75EA1">
        <w:rPr>
          <w:rFonts w:eastAsia="ＭＳ 明朝"/>
        </w:rPr>
        <w:t>R1-163919</w:t>
      </w:r>
      <w:r w:rsidR="00135DBB" w:rsidRPr="00D75EA1">
        <w:rPr>
          <w:rFonts w:eastAsia="ＭＳ 明朝"/>
        </w:rPr>
        <w:t>,</w:t>
      </w:r>
      <w:r w:rsidR="00135DBB" w:rsidRPr="00D75EA1">
        <w:rPr>
          <w:rFonts w:eastAsia="ＭＳ 明朝"/>
          <w:b/>
        </w:rPr>
        <w:t xml:space="preserve"> </w:t>
      </w:r>
      <w:r w:rsidRPr="00D75EA1">
        <w:rPr>
          <w:rFonts w:eastAsia="ＭＳ 明朝"/>
        </w:rPr>
        <w:t>Draft WF on TDD</w:t>
      </w:r>
      <w:bookmarkEnd w:id="14"/>
    </w:p>
    <w:p w:rsidR="00D75EA1" w:rsidRPr="00407F39" w:rsidRDefault="00D75EA1" w:rsidP="00D75EA1">
      <w:pPr>
        <w:pStyle w:val="textintend2"/>
        <w:widowControl w:val="0"/>
        <w:numPr>
          <w:ilvl w:val="0"/>
          <w:numId w:val="19"/>
        </w:numPr>
        <w:snapToGrid w:val="0"/>
        <w:ind w:left="720" w:hanging="720"/>
        <w:rPr>
          <w:szCs w:val="24"/>
        </w:rPr>
      </w:pPr>
      <w:bookmarkStart w:id="15" w:name="_Ref450725706"/>
      <w:bookmarkEnd w:id="6"/>
      <w:bookmarkEnd w:id="7"/>
      <w:bookmarkEnd w:id="8"/>
      <w:bookmarkEnd w:id="9"/>
      <w:bookmarkEnd w:id="10"/>
      <w:bookmarkEnd w:id="11"/>
      <w:bookmarkEnd w:id="12"/>
      <w:r w:rsidRPr="00D75EA1">
        <w:rPr>
          <w:iCs/>
        </w:rPr>
        <w:t>RP-1</w:t>
      </w:r>
      <w:r w:rsidRPr="00D75EA1">
        <w:rPr>
          <w:rFonts w:hint="eastAsia"/>
          <w:iCs/>
          <w:lang w:eastAsia="ja-JP"/>
        </w:rPr>
        <w:t>60664</w:t>
      </w:r>
      <w:r w:rsidRPr="00407F39">
        <w:rPr>
          <w:iCs/>
        </w:rPr>
        <w:t>, New Work Item on Uplink Capacity Enhancements for LTE</w:t>
      </w:r>
      <w:bookmarkEnd w:id="15"/>
    </w:p>
    <w:p w:rsidR="00BC3BB9" w:rsidRDefault="00BC3BB9" w:rsidP="00F93390">
      <w:pPr>
        <w:pStyle w:val="textintend2"/>
        <w:widowControl w:val="0"/>
        <w:numPr>
          <w:ilvl w:val="0"/>
          <w:numId w:val="0"/>
        </w:numPr>
        <w:snapToGrid w:val="0"/>
        <w:spacing w:before="100" w:beforeAutospacing="1" w:after="100" w:afterAutospacing="1" w:line="360" w:lineRule="auto"/>
        <w:ind w:left="720"/>
      </w:pPr>
    </w:p>
    <w:sectPr w:rsidR="00BC3BB9"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0C3" w:rsidRDefault="001750C3">
      <w:r>
        <w:separator/>
      </w:r>
    </w:p>
  </w:endnote>
  <w:endnote w:type="continuationSeparator" w:id="0">
    <w:p w:rsidR="001750C3" w:rsidRDefault="001750C3">
      <w:r>
        <w:continuationSeparator/>
      </w:r>
    </w:p>
  </w:endnote>
  <w:endnote w:type="continuationNotice" w:id="1">
    <w:p w:rsidR="001750C3" w:rsidRDefault="00175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A60161">
    <w:pPr>
      <w:pStyle w:val="ad"/>
      <w:jc w:val="center"/>
    </w:pPr>
    <w:r>
      <w:rPr>
        <w:b/>
        <w:szCs w:val="24"/>
      </w:rPr>
      <w:fldChar w:fldCharType="begin"/>
    </w:r>
    <w:r w:rsidR="000F1B52">
      <w:rPr>
        <w:b/>
      </w:rPr>
      <w:instrText>PAGE</w:instrText>
    </w:r>
    <w:r>
      <w:rPr>
        <w:b/>
        <w:szCs w:val="24"/>
      </w:rPr>
      <w:fldChar w:fldCharType="separate"/>
    </w:r>
    <w:r w:rsidR="00073F53">
      <w:rPr>
        <w:b/>
        <w:noProof/>
      </w:rPr>
      <w:t>1</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0C3" w:rsidRDefault="001750C3">
      <w:r>
        <w:separator/>
      </w:r>
    </w:p>
  </w:footnote>
  <w:footnote w:type="continuationSeparator" w:id="0">
    <w:p w:rsidR="001750C3" w:rsidRDefault="001750C3">
      <w:r>
        <w:continuationSeparator/>
      </w:r>
    </w:p>
  </w:footnote>
  <w:footnote w:type="continuationNotice" w:id="1">
    <w:p w:rsidR="001750C3" w:rsidRDefault="001750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B37439C"/>
    <w:multiLevelType w:val="hybridMultilevel"/>
    <w:tmpl w:val="D4E4D998"/>
    <w:lvl w:ilvl="0" w:tplc="5598F84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293919D5"/>
    <w:multiLevelType w:val="hybridMultilevel"/>
    <w:tmpl w:val="640EF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94EB1"/>
    <w:multiLevelType w:val="hybridMultilevel"/>
    <w:tmpl w:val="49E2E7DC"/>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675F"/>
    <w:multiLevelType w:val="hybridMultilevel"/>
    <w:tmpl w:val="2E329EEA"/>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F7110"/>
    <w:multiLevelType w:val="hybridMultilevel"/>
    <w:tmpl w:val="A076379E"/>
    <w:lvl w:ilvl="0" w:tplc="F8626A1C">
      <w:numFmt w:val="bullet"/>
      <w:lvlText w:val=""/>
      <w:lvlJc w:val="left"/>
      <w:pPr>
        <w:ind w:left="720" w:hanging="360"/>
      </w:pPr>
      <w:rPr>
        <w:rFonts w:ascii="Symbol" w:eastAsia="ＭＳ ゴシック"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C7214"/>
    <w:multiLevelType w:val="hybridMultilevel"/>
    <w:tmpl w:val="9F8AD70E"/>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1AF1AB8"/>
    <w:multiLevelType w:val="hybridMultilevel"/>
    <w:tmpl w:val="625E1EF6"/>
    <w:lvl w:ilvl="0" w:tplc="F8626A1C">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56AB8"/>
    <w:multiLevelType w:val="hybridMultilevel"/>
    <w:tmpl w:val="DBA85666"/>
    <w:lvl w:ilvl="0" w:tplc="F8626A1C">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B7A1F"/>
    <w:multiLevelType w:val="hybridMultilevel"/>
    <w:tmpl w:val="3274DB6E"/>
    <w:lvl w:ilvl="0" w:tplc="F8626A1C">
      <w:numFmt w:val="bullet"/>
      <w:lvlText w:val=""/>
      <w:lvlJc w:val="left"/>
      <w:pPr>
        <w:ind w:left="720" w:hanging="360"/>
      </w:pPr>
      <w:rPr>
        <w:rFonts w:ascii="Symbol" w:eastAsia="ＭＳ ゴシック"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A9E66BA"/>
    <w:multiLevelType w:val="hybridMultilevel"/>
    <w:tmpl w:val="6766177E"/>
    <w:lvl w:ilvl="0" w:tplc="CBAE5A54">
      <w:numFmt w:val="bullet"/>
      <w:lvlText w:val=""/>
      <w:lvlJc w:val="left"/>
      <w:pPr>
        <w:ind w:left="1440" w:hanging="360"/>
      </w:pPr>
      <w:rPr>
        <w:rFonts w:ascii="Symbol" w:eastAsia="ＭＳ ゴシック"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6814C2"/>
    <w:multiLevelType w:val="hybridMultilevel"/>
    <w:tmpl w:val="FB14DF92"/>
    <w:lvl w:ilvl="0" w:tplc="F8626A1C">
      <w:numFmt w:val="bullet"/>
      <w:lvlText w:val=""/>
      <w:lvlJc w:val="left"/>
      <w:pPr>
        <w:ind w:left="360" w:hanging="360"/>
      </w:pPr>
      <w:rPr>
        <w:rFonts w:ascii="Symbol" w:eastAsia="ＭＳ ゴシック"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662028"/>
    <w:multiLevelType w:val="hybridMultilevel"/>
    <w:tmpl w:val="AAC005D4"/>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800DC5"/>
    <w:multiLevelType w:val="hybridMultilevel"/>
    <w:tmpl w:val="D0FCC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273667"/>
    <w:multiLevelType w:val="hybridMultilevel"/>
    <w:tmpl w:val="8E96A8C0"/>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F4D42"/>
    <w:multiLevelType w:val="hybridMultilevel"/>
    <w:tmpl w:val="B24EE87A"/>
    <w:lvl w:ilvl="0" w:tplc="9902719A">
      <w:start w:val="7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457037"/>
    <w:multiLevelType w:val="hybridMultilevel"/>
    <w:tmpl w:val="9384BA7E"/>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64F08"/>
    <w:multiLevelType w:val="hybridMultilevel"/>
    <w:tmpl w:val="7A603786"/>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D36B7D"/>
    <w:multiLevelType w:val="hybridMultilevel"/>
    <w:tmpl w:val="26946B58"/>
    <w:lvl w:ilvl="0" w:tplc="3F4E22AA">
      <w:start w:val="7"/>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D52CF7"/>
    <w:multiLevelType w:val="hybridMultilevel"/>
    <w:tmpl w:val="5CCC6CE0"/>
    <w:lvl w:ilvl="0" w:tplc="CBAE5A54">
      <w:numFmt w:val="bullet"/>
      <w:lvlText w:val=""/>
      <w:lvlJc w:val="left"/>
      <w:pPr>
        <w:ind w:left="1440" w:hanging="360"/>
      </w:pPr>
      <w:rPr>
        <w:rFonts w:ascii="Symbol" w:eastAsia="ＭＳ ゴシック"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0567026"/>
    <w:multiLevelType w:val="hybridMultilevel"/>
    <w:tmpl w:val="7E9CCB7A"/>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56786"/>
    <w:multiLevelType w:val="hybridMultilevel"/>
    <w:tmpl w:val="9800D6E2"/>
    <w:lvl w:ilvl="0" w:tplc="BCFC9D28">
      <w:numFmt w:val="bullet"/>
      <w:lvlText w:val=""/>
      <w:lvlJc w:val="left"/>
      <w:pPr>
        <w:ind w:left="360" w:hanging="360"/>
      </w:pPr>
      <w:rPr>
        <w:rFonts w:ascii="Symbol" w:eastAsia="ＭＳ 明朝"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3B78B6"/>
    <w:multiLevelType w:val="hybridMultilevel"/>
    <w:tmpl w:val="8250A01C"/>
    <w:lvl w:ilvl="0" w:tplc="CBAE5A54">
      <w:numFmt w:val="bullet"/>
      <w:lvlText w:val=""/>
      <w:lvlJc w:val="left"/>
      <w:pPr>
        <w:ind w:left="720" w:hanging="360"/>
      </w:pPr>
      <w:rPr>
        <w:rFonts w:ascii="Symbol" w:eastAsia="ＭＳ 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7"/>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19"/>
  </w:num>
  <w:num w:numId="6">
    <w:abstractNumId w:val="21"/>
  </w:num>
  <w:num w:numId="7">
    <w:abstractNumId w:val="16"/>
  </w:num>
  <w:num w:numId="8">
    <w:abstractNumId w:val="1"/>
  </w:num>
  <w:num w:numId="9">
    <w:abstractNumId w:val="42"/>
  </w:num>
  <w:num w:numId="10">
    <w:abstractNumId w:val="14"/>
  </w:num>
  <w:num w:numId="11">
    <w:abstractNumId w:val="35"/>
  </w:num>
  <w:num w:numId="12">
    <w:abstractNumId w:val="13"/>
  </w:num>
  <w:num w:numId="13">
    <w:abstractNumId w:val="33"/>
  </w:num>
  <w:num w:numId="14">
    <w:abstractNumId w:val="12"/>
  </w:num>
  <w:num w:numId="15">
    <w:abstractNumId w:val="31"/>
  </w:num>
  <w:num w:numId="16">
    <w:abstractNumId w:val="29"/>
  </w:num>
  <w:num w:numId="17">
    <w:abstractNumId w:val="4"/>
  </w:num>
  <w:num w:numId="18">
    <w:abstractNumId w:val="34"/>
  </w:num>
  <w:num w:numId="19">
    <w:abstractNumId w:val="22"/>
  </w:num>
  <w:num w:numId="20">
    <w:abstractNumId w:val="7"/>
  </w:num>
  <w:num w:numId="21">
    <w:abstractNumId w:val="0"/>
  </w:num>
  <w:num w:numId="22">
    <w:abstractNumId w:val="11"/>
  </w:num>
  <w:num w:numId="23">
    <w:abstractNumId w:val="3"/>
  </w:num>
  <w:num w:numId="24">
    <w:abstractNumId w:val="32"/>
  </w:num>
  <w:num w:numId="25">
    <w:abstractNumId w:val="39"/>
  </w:num>
  <w:num w:numId="26">
    <w:abstractNumId w:val="38"/>
  </w:num>
  <w:num w:numId="27">
    <w:abstractNumId w:val="8"/>
  </w:num>
  <w:num w:numId="28">
    <w:abstractNumId w:val="25"/>
  </w:num>
  <w:num w:numId="29">
    <w:abstractNumId w:val="10"/>
  </w:num>
  <w:num w:numId="30">
    <w:abstractNumId w:val="28"/>
  </w:num>
  <w:num w:numId="31">
    <w:abstractNumId w:val="40"/>
  </w:num>
  <w:num w:numId="32">
    <w:abstractNumId w:val="36"/>
  </w:num>
  <w:num w:numId="33">
    <w:abstractNumId w:val="20"/>
  </w:num>
  <w:num w:numId="34">
    <w:abstractNumId w:val="24"/>
  </w:num>
  <w:num w:numId="35">
    <w:abstractNumId w:val="5"/>
  </w:num>
  <w:num w:numId="36">
    <w:abstractNumId w:val="27"/>
  </w:num>
  <w:num w:numId="37">
    <w:abstractNumId w:val="6"/>
  </w:num>
  <w:num w:numId="38">
    <w:abstractNumId w:val="30"/>
  </w:num>
  <w:num w:numId="39">
    <w:abstractNumId w:val="18"/>
  </w:num>
  <w:num w:numId="40">
    <w:abstractNumId w:val="15"/>
  </w:num>
  <w:num w:numId="41">
    <w:abstractNumId w:val="9"/>
  </w:num>
  <w:num w:numId="42">
    <w:abstractNumId w:val="23"/>
  </w:num>
  <w:num w:numId="43">
    <w:abstractNumId w:val="17"/>
  </w:num>
  <w:num w:numId="4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3F53"/>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0C3"/>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2F1B"/>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BF"/>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00"/>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2E1"/>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691"/>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1F090753-0672-4FF3-B84F-B4CC54716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55CA2-A2C3-4341-9A03-FA758B8D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5756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2014-04-22T06:35:00Z</cp:lastPrinted>
  <dcterms:created xsi:type="dcterms:W3CDTF">2016-05-14T02:05:00Z</dcterms:created>
  <dcterms:modified xsi:type="dcterms:W3CDTF">2016-05-14T02:05:00Z</dcterms:modified>
</cp:coreProperties>
</file>