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33925" w14:textId="5D2537F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E76E2">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BE76E2">
        <w:rPr>
          <w:rFonts w:ascii="Arial" w:hAnsi="Arial" w:cs="Arial"/>
          <w:b/>
          <w:sz w:val="24"/>
          <w:szCs w:val="24"/>
        </w:rPr>
        <w:t>6</w:t>
      </w:r>
      <w:r w:rsidR="00851695">
        <w:rPr>
          <w:rFonts w:ascii="Arial" w:hAnsi="Arial" w:cs="Arial"/>
          <w:b/>
          <w:sz w:val="24"/>
          <w:szCs w:val="24"/>
        </w:rPr>
        <w:t>4</w:t>
      </w:r>
      <w:bookmarkStart w:id="0" w:name="_GoBack"/>
      <w:bookmarkEnd w:id="0"/>
      <w:r w:rsidR="00851695">
        <w:rPr>
          <w:rFonts w:ascii="Arial" w:hAnsi="Arial" w:cs="Arial"/>
          <w:b/>
          <w:sz w:val="24"/>
          <w:szCs w:val="24"/>
        </w:rPr>
        <w:t>708</w:t>
      </w:r>
    </w:p>
    <w:p w14:paraId="1C633926" w14:textId="77777777"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BE76E2">
        <w:rPr>
          <w:rFonts w:ascii="Arial" w:hAnsi="Arial" w:cs="Arial"/>
          <w:b/>
          <w:sz w:val="24"/>
          <w:szCs w:val="24"/>
        </w:rPr>
        <w:t>3</w:t>
      </w:r>
      <w:r w:rsidR="00BE76E2">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2</w:t>
      </w:r>
      <w:r w:rsidR="00BE76E2">
        <w:rPr>
          <w:rFonts w:ascii="Arial" w:hAnsi="Arial" w:cs="Arial"/>
          <w:b/>
          <w:sz w:val="24"/>
          <w:szCs w:val="24"/>
        </w:rPr>
        <w:t>7</w:t>
      </w:r>
      <w:r w:rsidRPr="003732BA">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May 201</w:t>
      </w:r>
      <w:r w:rsidR="00BE76E2">
        <w:rPr>
          <w:rFonts w:ascii="Arial" w:hAnsi="Arial" w:cs="Arial"/>
          <w:b/>
          <w:sz w:val="24"/>
          <w:szCs w:val="24"/>
        </w:rPr>
        <w:t>6</w:t>
      </w:r>
    </w:p>
    <w:p w14:paraId="1C633927" w14:textId="77777777" w:rsidR="00D42D5D" w:rsidRPr="000A64D8" w:rsidRDefault="00BE76E2" w:rsidP="00D42D5D">
      <w:pPr>
        <w:spacing w:after="0"/>
        <w:rPr>
          <w:rFonts w:ascii="Arial" w:hAnsi="Arial" w:cs="Arial"/>
          <w:b/>
          <w:sz w:val="24"/>
          <w:szCs w:val="24"/>
        </w:rPr>
      </w:pPr>
      <w:r>
        <w:rPr>
          <w:rFonts w:ascii="Arial" w:hAnsi="Arial" w:cs="Arial"/>
          <w:b/>
          <w:sz w:val="24"/>
          <w:szCs w:val="24"/>
        </w:rPr>
        <w:t>Nanjing</w:t>
      </w:r>
      <w:r w:rsidR="00D42D5D">
        <w:rPr>
          <w:rFonts w:ascii="Arial" w:hAnsi="Arial" w:cs="Arial"/>
          <w:b/>
          <w:sz w:val="24"/>
          <w:szCs w:val="24"/>
        </w:rPr>
        <w:t xml:space="preserve">, </w:t>
      </w:r>
      <w:r>
        <w:rPr>
          <w:rFonts w:ascii="Arial" w:hAnsi="Arial" w:cs="Arial"/>
          <w:b/>
          <w:sz w:val="24"/>
          <w:szCs w:val="24"/>
        </w:rPr>
        <w:t>China</w:t>
      </w:r>
    </w:p>
    <w:p w14:paraId="1C633928" w14:textId="77777777" w:rsidR="0068226B" w:rsidRPr="000A64D8" w:rsidRDefault="0068226B" w:rsidP="00480B03">
      <w:pPr>
        <w:pStyle w:val="Footer"/>
        <w:jc w:val="both"/>
        <w:rPr>
          <w:noProof w:val="0"/>
        </w:rPr>
      </w:pPr>
    </w:p>
    <w:p w14:paraId="1C633929"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E76E2">
        <w:rPr>
          <w:rFonts w:ascii="Arial" w:hAnsi="Arial"/>
          <w:sz w:val="24"/>
        </w:rPr>
        <w:t>7.1.6</w:t>
      </w:r>
    </w:p>
    <w:p w14:paraId="1C63392A"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C63392B" w14:textId="77777777" w:rsidR="00C10599" w:rsidRPr="0004457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E76E2" w:rsidRPr="00044579">
        <w:rPr>
          <w:rFonts w:ascii="Arial" w:hAnsi="Arial"/>
          <w:sz w:val="24"/>
        </w:rPr>
        <w:t>NR Massive MIMO Design Considerations</w:t>
      </w:r>
    </w:p>
    <w:p w14:paraId="1C63392C"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1C63392E" w14:textId="77777777" w:rsidR="00C34C05" w:rsidRPr="00183CB7" w:rsidRDefault="00FD6A3D" w:rsidP="00183CB7">
      <w:pPr>
        <w:pStyle w:val="Heading1"/>
      </w:pPr>
      <w:r w:rsidRPr="00183CB7">
        <w:t>Introduction</w:t>
      </w:r>
    </w:p>
    <w:p w14:paraId="1C63392F" w14:textId="77777777" w:rsidR="00B240FE" w:rsidRDefault="008A4DAC" w:rsidP="00B240FE">
      <w:pPr>
        <w:jc w:val="both"/>
        <w:rPr>
          <w:szCs w:val="22"/>
        </w:rPr>
      </w:pPr>
      <w:r w:rsidRPr="0034718C">
        <w:rPr>
          <w:szCs w:val="22"/>
        </w:rPr>
        <w:t>In RAN#</w:t>
      </w:r>
      <w:r w:rsidR="00BE76E2">
        <w:rPr>
          <w:szCs w:val="22"/>
        </w:rPr>
        <w:t>71</w:t>
      </w:r>
      <w:r w:rsidRPr="0034718C">
        <w:rPr>
          <w:szCs w:val="22"/>
        </w:rPr>
        <w:t xml:space="preserve">, </w:t>
      </w:r>
      <w:r w:rsidR="00BE76E2">
        <w:rPr>
          <w:szCs w:val="22"/>
        </w:rPr>
        <w:t xml:space="preserve">the study item on new radio access technology </w:t>
      </w:r>
      <w:r w:rsidR="00BE76E2">
        <w:rPr>
          <w:szCs w:val="22"/>
        </w:rPr>
        <w:fldChar w:fldCharType="begin"/>
      </w:r>
      <w:r w:rsidR="00BE76E2">
        <w:rPr>
          <w:szCs w:val="22"/>
        </w:rPr>
        <w:instrText xml:space="preserve"> REF _Ref450564604 \r \h </w:instrText>
      </w:r>
      <w:r w:rsidR="00BE76E2">
        <w:rPr>
          <w:szCs w:val="22"/>
        </w:rPr>
      </w:r>
      <w:r w:rsidR="00BE76E2">
        <w:rPr>
          <w:szCs w:val="22"/>
        </w:rPr>
        <w:fldChar w:fldCharType="separate"/>
      </w:r>
      <w:r w:rsidR="00BE76E2">
        <w:rPr>
          <w:szCs w:val="22"/>
        </w:rPr>
        <w:t>[1]</w:t>
      </w:r>
      <w:r w:rsidR="00BE76E2">
        <w:rPr>
          <w:szCs w:val="22"/>
        </w:rPr>
        <w:fldChar w:fldCharType="end"/>
      </w:r>
      <w:r w:rsidR="00BE76E2">
        <w:rPr>
          <w:szCs w:val="22"/>
        </w:rPr>
        <w:t xml:space="preserve"> has been approved.  An objective of the study item is to identify and develop technology components needed for the new radio (NR) system satisfying both the urgent market needs and the long-term requirements set forth by the ITU-R IMT-2020 process.  </w:t>
      </w:r>
      <w:r w:rsidR="00F729F2">
        <w:rPr>
          <w:szCs w:val="22"/>
        </w:rPr>
        <w:t xml:space="preserve">The NR system is expected to be able to use frequency bands up to 100GHz.  The study aims to develop a single technical framework addressing all usage scenarios, requirements and deployment scenarios.  Massive MIMO is seen </w:t>
      </w:r>
      <w:r w:rsidR="00B240FE">
        <w:rPr>
          <w:szCs w:val="22"/>
        </w:rPr>
        <w:t xml:space="preserve">as a key technology enabler for satisfying </w:t>
      </w:r>
      <w:r w:rsidR="00F729F2">
        <w:rPr>
          <w:szCs w:val="22"/>
        </w:rPr>
        <w:t>the 5G coverage and capacity requirements.  In this contribution, we discuss some high level design considerations of NR massive MIMO.</w:t>
      </w:r>
    </w:p>
    <w:p w14:paraId="1C633930" w14:textId="77777777" w:rsidR="00B240FE" w:rsidRDefault="00B240FE" w:rsidP="00B240FE">
      <w:pPr>
        <w:pStyle w:val="Heading1"/>
      </w:pPr>
      <w:r>
        <w:t>Discussion</w:t>
      </w:r>
    </w:p>
    <w:p w14:paraId="1C633931" w14:textId="77777777" w:rsidR="006E1135" w:rsidRDefault="007E1A7D" w:rsidP="00196700">
      <w:pPr>
        <w:pStyle w:val="Heading2"/>
      </w:pPr>
      <w:r>
        <w:t>Antenna array subsystem</w:t>
      </w:r>
    </w:p>
    <w:p w14:paraId="1C633932" w14:textId="77777777" w:rsidR="007E1A7D" w:rsidRDefault="00196700" w:rsidP="00B240FE">
      <w:pPr>
        <w:jc w:val="both"/>
      </w:pPr>
      <w:r>
        <w:t xml:space="preserve">The NR system is expected to be able to use a wide range of frequency bands, from sub-6GHz to 100GHz.  </w:t>
      </w:r>
      <w:r w:rsidR="00A530C2">
        <w:t>Given an antenna array form factor, the numbe</w:t>
      </w:r>
      <w:r w:rsidR="005E0E2A">
        <w:t>r of antenna can be physically fitted into varies depending on</w:t>
      </w:r>
      <w:r w:rsidR="00A530C2">
        <w:t xml:space="preserve"> the carrier frequency.  </w:t>
      </w:r>
      <w:r w:rsidR="005E0E2A">
        <w:t xml:space="preserve">From the standardization perspective, the number of physical antennas is less of interest.  Instead, </w:t>
      </w:r>
      <w:r w:rsidR="007E1A7D">
        <w:t>the architecture of the antenna array subsystem is important for beamforming/MIMO processing.  In Figure 1, we show the general architecture of an antenna array subsystem.</w:t>
      </w:r>
    </w:p>
    <w:p w14:paraId="1C633933" w14:textId="77777777" w:rsidR="00404BDD" w:rsidRDefault="00404BDD" w:rsidP="00404BDD">
      <w:pPr>
        <w:keepNext/>
        <w:jc w:val="center"/>
      </w:pPr>
      <w:r>
        <w:rPr>
          <w:noProof/>
        </w:rPr>
        <w:drawing>
          <wp:inline distT="0" distB="0" distL="0" distR="0" wp14:anchorId="1C63395D" wp14:editId="1C63395E">
            <wp:extent cx="3666744" cy="1463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nna_array_subsystem.png"/>
                    <pic:cNvPicPr/>
                  </pic:nvPicPr>
                  <pic:blipFill>
                    <a:blip r:embed="rId12">
                      <a:extLst>
                        <a:ext uri="{28A0092B-C50C-407E-A947-70E740481C1C}">
                          <a14:useLocalDpi xmlns:a14="http://schemas.microsoft.com/office/drawing/2010/main" val="0"/>
                        </a:ext>
                      </a:extLst>
                    </a:blip>
                    <a:stretch>
                      <a:fillRect/>
                    </a:stretch>
                  </pic:blipFill>
                  <pic:spPr>
                    <a:xfrm>
                      <a:off x="0" y="0"/>
                      <a:ext cx="3666744" cy="1463040"/>
                    </a:xfrm>
                    <a:prstGeom prst="rect">
                      <a:avLst/>
                    </a:prstGeom>
                  </pic:spPr>
                </pic:pic>
              </a:graphicData>
            </a:graphic>
          </wp:inline>
        </w:drawing>
      </w:r>
    </w:p>
    <w:p w14:paraId="1C633934" w14:textId="77777777" w:rsidR="007E1A7D" w:rsidRDefault="00404BDD" w:rsidP="00404BDD">
      <w:pPr>
        <w:pStyle w:val="Caption"/>
        <w:jc w:val="center"/>
      </w:pPr>
      <w:r>
        <w:t xml:space="preserve">Figure </w:t>
      </w:r>
      <w:fldSimple w:instr=" SEQ Figure \* ARABIC ">
        <w:r>
          <w:rPr>
            <w:noProof/>
          </w:rPr>
          <w:t>1</w:t>
        </w:r>
      </w:fldSimple>
      <w:r>
        <w:t xml:space="preserve">  The general architecture of a NR massive MIMO antenna array subsystem.</w:t>
      </w:r>
    </w:p>
    <w:p w14:paraId="1C633935" w14:textId="77777777" w:rsidR="007E1A7D" w:rsidRDefault="00404BDD" w:rsidP="00B240FE">
      <w:pPr>
        <w:jc w:val="both"/>
      </w:pPr>
      <w:r>
        <w:t xml:space="preserve">The TXRUs interface with the baseband processing within the </w:t>
      </w:r>
      <w:proofErr w:type="spellStart"/>
      <w:r>
        <w:t>eNB</w:t>
      </w:r>
      <w:proofErr w:type="spellEnd"/>
      <w:r>
        <w:t>.  The radio dist</w:t>
      </w:r>
      <w:r w:rsidR="00710450">
        <w:t xml:space="preserve">ribution network (RDN) maps </w:t>
      </w:r>
      <w:r w:rsidR="00710450" w:rsidRPr="00710450">
        <w:rPr>
          <w:i/>
        </w:rPr>
        <w:t>Q</w:t>
      </w:r>
      <w:r w:rsidR="00710450">
        <w:t xml:space="preserve"> </w:t>
      </w:r>
      <w:r>
        <w:t>TXRU</w:t>
      </w:r>
      <w:r w:rsidR="00710450">
        <w:t>s</w:t>
      </w:r>
      <w:r>
        <w:t xml:space="preserve"> to </w:t>
      </w:r>
      <w:r w:rsidR="00710450">
        <w:t xml:space="preserve">an array of </w:t>
      </w:r>
      <w:r w:rsidR="00710450" w:rsidRPr="00710450">
        <w:rPr>
          <w:i/>
        </w:rPr>
        <w:t>L</w:t>
      </w:r>
      <w:r>
        <w:t xml:space="preserve"> physical antenna</w:t>
      </w:r>
      <w:r w:rsidR="00710450">
        <w:t>s</w:t>
      </w:r>
      <w:r>
        <w:t xml:space="preserve">.  </w:t>
      </w:r>
      <w:r w:rsidR="00084D3C">
        <w:t xml:space="preserve">The MIMO processing can be performed either at the BBU (if </w:t>
      </w:r>
      <w:r w:rsidR="00084D3C" w:rsidRPr="00084D3C">
        <w:rPr>
          <w:i/>
        </w:rPr>
        <w:t>Q</w:t>
      </w:r>
      <w:r w:rsidR="00084D3C">
        <w:t xml:space="preserve"> &gt; 1), or at the RDN, or both.  Essentially, it ends up with three architectures as follows.</w:t>
      </w:r>
    </w:p>
    <w:p w14:paraId="1C633936" w14:textId="77777777" w:rsidR="007E1A7D" w:rsidRDefault="007E1A7D" w:rsidP="007E1A7D">
      <w:pPr>
        <w:pStyle w:val="ListParagraph"/>
        <w:numPr>
          <w:ilvl w:val="0"/>
          <w:numId w:val="45"/>
        </w:numPr>
        <w:jc w:val="both"/>
        <w:rPr>
          <w:rFonts w:ascii="Times New Roman" w:hAnsi="Times New Roman"/>
          <w:sz w:val="20"/>
        </w:rPr>
      </w:pPr>
      <w:r w:rsidRPr="007E1A7D">
        <w:rPr>
          <w:rFonts w:ascii="Times New Roman" w:hAnsi="Times New Roman"/>
          <w:sz w:val="20"/>
        </w:rPr>
        <w:t>Fully</w:t>
      </w:r>
      <w:r>
        <w:rPr>
          <w:rFonts w:ascii="Times New Roman" w:hAnsi="Times New Roman"/>
          <w:sz w:val="20"/>
        </w:rPr>
        <w:t xml:space="preserve"> digital</w:t>
      </w:r>
      <w:r w:rsidR="00404BDD">
        <w:rPr>
          <w:rFonts w:ascii="Times New Roman" w:hAnsi="Times New Roman"/>
          <w:sz w:val="20"/>
        </w:rPr>
        <w:t xml:space="preserve"> architecture</w:t>
      </w:r>
    </w:p>
    <w:p w14:paraId="1C633937" w14:textId="77777777" w:rsidR="007E1A7D" w:rsidRDefault="00404BDD" w:rsidP="007E1A7D">
      <w:pPr>
        <w:pStyle w:val="ListParagraph"/>
        <w:jc w:val="both"/>
        <w:rPr>
          <w:rFonts w:ascii="Times New Roman" w:hAnsi="Times New Roman"/>
          <w:sz w:val="20"/>
        </w:rPr>
      </w:pPr>
      <w:r>
        <w:rPr>
          <w:rFonts w:ascii="Times New Roman" w:hAnsi="Times New Roman"/>
          <w:sz w:val="20"/>
        </w:rPr>
        <w:t xml:space="preserve">In the fully digital architecture, there are two or more TXRUs connected to the physical antenna array via a fixed RDN.  </w:t>
      </w:r>
      <w:r w:rsidR="00710450">
        <w:rPr>
          <w:rFonts w:ascii="Times New Roman" w:hAnsi="Times New Roman"/>
          <w:sz w:val="20"/>
        </w:rPr>
        <w:t>Since a fixed RDN is implemented, there is no dynamic RF beamforming capability.</w:t>
      </w:r>
      <w:r w:rsidR="00084D3C">
        <w:rPr>
          <w:rFonts w:ascii="Times New Roman" w:hAnsi="Times New Roman"/>
          <w:sz w:val="20"/>
        </w:rPr>
        <w:t xml:space="preserve">  The beamforming/MIMO processing is performed at BBU, which can be either wideband-wise or </w:t>
      </w:r>
      <w:proofErr w:type="spellStart"/>
      <w:r w:rsidR="00084D3C">
        <w:rPr>
          <w:rFonts w:ascii="Times New Roman" w:hAnsi="Times New Roman"/>
          <w:sz w:val="20"/>
        </w:rPr>
        <w:t>subband</w:t>
      </w:r>
      <w:proofErr w:type="spellEnd"/>
      <w:r w:rsidR="00084D3C">
        <w:rPr>
          <w:rFonts w:ascii="Times New Roman" w:hAnsi="Times New Roman"/>
          <w:sz w:val="20"/>
        </w:rPr>
        <w:t xml:space="preserve">-wise.  </w:t>
      </w:r>
      <w:r w:rsidR="00710450">
        <w:rPr>
          <w:rFonts w:ascii="Times New Roman" w:hAnsi="Times New Roman"/>
          <w:sz w:val="20"/>
        </w:rPr>
        <w:t xml:space="preserve">This architecture is suitable for the case where </w:t>
      </w:r>
      <w:r w:rsidR="00710450" w:rsidRPr="00710450">
        <w:rPr>
          <w:rFonts w:ascii="Times New Roman" w:hAnsi="Times New Roman"/>
          <w:i/>
          <w:sz w:val="20"/>
        </w:rPr>
        <w:t>Q</w:t>
      </w:r>
      <w:r w:rsidR="00710450">
        <w:rPr>
          <w:rFonts w:ascii="Times New Roman" w:hAnsi="Times New Roman"/>
          <w:sz w:val="20"/>
        </w:rPr>
        <w:t xml:space="preserve"> and </w:t>
      </w:r>
      <w:r w:rsidR="00710450" w:rsidRPr="00710450">
        <w:rPr>
          <w:rFonts w:ascii="Times New Roman" w:hAnsi="Times New Roman"/>
          <w:i/>
          <w:sz w:val="20"/>
        </w:rPr>
        <w:t>L</w:t>
      </w:r>
      <w:r w:rsidR="00710450">
        <w:rPr>
          <w:rFonts w:ascii="Times New Roman" w:hAnsi="Times New Roman"/>
          <w:sz w:val="20"/>
        </w:rPr>
        <w:t xml:space="preserve"> are comparable.  In fact, it is the architecture assumed in Rel-13 FD-MIMO.</w:t>
      </w:r>
    </w:p>
    <w:p w14:paraId="1C633938" w14:textId="77777777" w:rsidR="007E1A7D" w:rsidRDefault="007E1A7D" w:rsidP="007E1A7D">
      <w:pPr>
        <w:pStyle w:val="ListParagraph"/>
        <w:numPr>
          <w:ilvl w:val="0"/>
          <w:numId w:val="45"/>
        </w:numPr>
        <w:jc w:val="both"/>
        <w:rPr>
          <w:rFonts w:ascii="Times New Roman" w:hAnsi="Times New Roman"/>
          <w:sz w:val="20"/>
        </w:rPr>
      </w:pPr>
      <w:r>
        <w:rPr>
          <w:rFonts w:ascii="Times New Roman" w:hAnsi="Times New Roman"/>
          <w:sz w:val="20"/>
        </w:rPr>
        <w:t>Fully analog/RF</w:t>
      </w:r>
      <w:r w:rsidR="00404BDD">
        <w:rPr>
          <w:rFonts w:ascii="Times New Roman" w:hAnsi="Times New Roman"/>
          <w:sz w:val="20"/>
        </w:rPr>
        <w:t xml:space="preserve"> architecture</w:t>
      </w:r>
    </w:p>
    <w:p w14:paraId="1C633939" w14:textId="77777777" w:rsidR="00710450" w:rsidRDefault="00710450" w:rsidP="00710450">
      <w:pPr>
        <w:pStyle w:val="ListParagraph"/>
        <w:jc w:val="both"/>
        <w:rPr>
          <w:rFonts w:ascii="Times New Roman" w:hAnsi="Times New Roman"/>
          <w:sz w:val="20"/>
        </w:rPr>
      </w:pPr>
      <w:r>
        <w:rPr>
          <w:rFonts w:ascii="Times New Roman" w:hAnsi="Times New Roman"/>
          <w:sz w:val="20"/>
        </w:rPr>
        <w:lastRenderedPageBreak/>
        <w:t xml:space="preserve">In this case, it is assumed that </w:t>
      </w:r>
      <w:r w:rsidR="00084D3C">
        <w:rPr>
          <w:rFonts w:ascii="Times New Roman" w:hAnsi="Times New Roman"/>
          <w:sz w:val="20"/>
        </w:rPr>
        <w:t xml:space="preserve">the </w:t>
      </w:r>
      <w:r>
        <w:rPr>
          <w:rFonts w:ascii="Times New Roman" w:hAnsi="Times New Roman"/>
          <w:sz w:val="20"/>
        </w:rPr>
        <w:t xml:space="preserve">RDN </w:t>
      </w:r>
      <w:r w:rsidR="00084D3C">
        <w:rPr>
          <w:rFonts w:ascii="Times New Roman" w:hAnsi="Times New Roman"/>
          <w:sz w:val="20"/>
        </w:rPr>
        <w:t xml:space="preserve">is capable of </w:t>
      </w:r>
      <w:r>
        <w:rPr>
          <w:rFonts w:ascii="Times New Roman" w:hAnsi="Times New Roman"/>
          <w:sz w:val="20"/>
        </w:rPr>
        <w:t>dynamic beamforming</w:t>
      </w:r>
      <w:r w:rsidR="00084D3C">
        <w:rPr>
          <w:rFonts w:ascii="Times New Roman" w:hAnsi="Times New Roman"/>
          <w:sz w:val="20"/>
        </w:rPr>
        <w:t xml:space="preserve"> and there is no beamforming/MIMO processing at the BBU</w:t>
      </w:r>
      <w:r>
        <w:rPr>
          <w:rFonts w:ascii="Times New Roman" w:hAnsi="Times New Roman"/>
          <w:sz w:val="20"/>
        </w:rPr>
        <w:t xml:space="preserve">.  </w:t>
      </w:r>
      <w:r w:rsidR="00084D3C">
        <w:rPr>
          <w:rFonts w:ascii="Times New Roman" w:hAnsi="Times New Roman"/>
          <w:sz w:val="20"/>
        </w:rPr>
        <w:t xml:space="preserve">Since it is performed at RF, the MIMO precoding/beamforming is wideband-wise.  When </w:t>
      </w:r>
      <w:r w:rsidR="00084D3C" w:rsidRPr="00084D3C">
        <w:rPr>
          <w:rFonts w:ascii="Times New Roman" w:hAnsi="Times New Roman"/>
          <w:i/>
          <w:sz w:val="20"/>
        </w:rPr>
        <w:t>L</w:t>
      </w:r>
      <w:r w:rsidR="00084D3C">
        <w:rPr>
          <w:rFonts w:ascii="Times New Roman" w:hAnsi="Times New Roman"/>
          <w:sz w:val="20"/>
        </w:rPr>
        <w:t xml:space="preserve"> &gt;&gt; </w:t>
      </w:r>
      <w:r w:rsidR="00084D3C" w:rsidRPr="00084D3C">
        <w:rPr>
          <w:rFonts w:ascii="Times New Roman" w:hAnsi="Times New Roman"/>
          <w:i/>
          <w:sz w:val="20"/>
        </w:rPr>
        <w:t>Q</w:t>
      </w:r>
      <w:r w:rsidR="00084D3C">
        <w:rPr>
          <w:rFonts w:ascii="Times New Roman" w:hAnsi="Times New Roman"/>
          <w:sz w:val="20"/>
        </w:rPr>
        <w:t>, this architecture is preferre</w:t>
      </w:r>
      <w:r w:rsidR="00C5002F">
        <w:rPr>
          <w:rFonts w:ascii="Times New Roman" w:hAnsi="Times New Roman"/>
          <w:sz w:val="20"/>
        </w:rPr>
        <w:t xml:space="preserve">d.  Such architecture is adopted in some existing </w:t>
      </w:r>
      <w:proofErr w:type="spellStart"/>
      <w:r w:rsidR="00C5002F">
        <w:rPr>
          <w:rFonts w:ascii="Times New Roman" w:hAnsi="Times New Roman"/>
          <w:sz w:val="20"/>
        </w:rPr>
        <w:t>mmWave</w:t>
      </w:r>
      <w:proofErr w:type="spellEnd"/>
      <w:r w:rsidR="00C5002F">
        <w:rPr>
          <w:rFonts w:ascii="Times New Roman" w:hAnsi="Times New Roman"/>
          <w:sz w:val="20"/>
        </w:rPr>
        <w:t xml:space="preserve"> systems.</w:t>
      </w:r>
    </w:p>
    <w:p w14:paraId="1C63393A" w14:textId="77777777" w:rsidR="007E1A7D" w:rsidRDefault="00404BDD" w:rsidP="007E1A7D">
      <w:pPr>
        <w:pStyle w:val="ListParagraph"/>
        <w:numPr>
          <w:ilvl w:val="0"/>
          <w:numId w:val="45"/>
        </w:numPr>
        <w:jc w:val="both"/>
        <w:rPr>
          <w:rFonts w:ascii="Times New Roman" w:hAnsi="Times New Roman"/>
          <w:sz w:val="20"/>
        </w:rPr>
      </w:pPr>
      <w:r>
        <w:rPr>
          <w:rFonts w:ascii="Times New Roman" w:hAnsi="Times New Roman"/>
          <w:sz w:val="20"/>
        </w:rPr>
        <w:t>Hybrid architecture</w:t>
      </w:r>
    </w:p>
    <w:p w14:paraId="1C63393B" w14:textId="77777777" w:rsidR="00575813" w:rsidRDefault="00C5002F" w:rsidP="00267D1B">
      <w:pPr>
        <w:pStyle w:val="ListParagraph"/>
        <w:spacing w:after="240"/>
        <w:jc w:val="both"/>
        <w:rPr>
          <w:rFonts w:ascii="Times New Roman" w:hAnsi="Times New Roman"/>
          <w:sz w:val="20"/>
        </w:rPr>
      </w:pPr>
      <w:r>
        <w:rPr>
          <w:rFonts w:ascii="Times New Roman" w:hAnsi="Times New Roman"/>
          <w:sz w:val="20"/>
        </w:rPr>
        <w:t xml:space="preserve">When </w:t>
      </w:r>
      <w:r w:rsidRPr="00267D1B">
        <w:rPr>
          <w:rFonts w:ascii="Times New Roman" w:hAnsi="Times New Roman"/>
          <w:i/>
          <w:sz w:val="20"/>
        </w:rPr>
        <w:t>Q</w:t>
      </w:r>
      <w:r>
        <w:rPr>
          <w:rFonts w:ascii="Times New Roman" w:hAnsi="Times New Roman"/>
          <w:sz w:val="20"/>
        </w:rPr>
        <w:t xml:space="preserve"> &gt; 1 and dynamic TXRU to antenna mapping is allowed, </w:t>
      </w:r>
      <w:r w:rsidR="00084D3C">
        <w:rPr>
          <w:rFonts w:ascii="Times New Roman" w:hAnsi="Times New Roman"/>
          <w:sz w:val="20"/>
        </w:rPr>
        <w:t>one may split the MIMO processing</w:t>
      </w:r>
      <w:r>
        <w:rPr>
          <w:rFonts w:ascii="Times New Roman" w:hAnsi="Times New Roman"/>
          <w:sz w:val="20"/>
        </w:rPr>
        <w:t xml:space="preserve"> into two parts, one in BBU, and the other in RDN.  In such case, tradeoff between beamforming granularity and the cost of RF can be achieved</w:t>
      </w:r>
      <w:r w:rsidR="00575813">
        <w:rPr>
          <w:rFonts w:ascii="Times New Roman" w:hAnsi="Times New Roman"/>
          <w:sz w:val="20"/>
        </w:rPr>
        <w:t>.</w:t>
      </w:r>
    </w:p>
    <w:p w14:paraId="1C63393C" w14:textId="77777777" w:rsidR="00B33BE6" w:rsidRDefault="00575813" w:rsidP="00C5002F">
      <w:pPr>
        <w:jc w:val="both"/>
      </w:pPr>
      <w:r>
        <w:t>As the NR system may employ antenna arrays with a wide range of numbers of antennas, assuming a single architecture may not be sufficient.  On the other hand, t</w:t>
      </w:r>
      <w:r w:rsidR="00C5002F">
        <w:t xml:space="preserve">he target of the study </w:t>
      </w:r>
      <w:r>
        <w:t>i</w:t>
      </w:r>
      <w:r w:rsidR="00C5002F">
        <w:t>s to develop a single technical framework addressing all usage scenarios, requirements and deployment scenarios</w:t>
      </w:r>
      <w:r>
        <w:t xml:space="preserve">.  In order to introduce a unified framework, all these architectures shall be carefully studied.  </w:t>
      </w:r>
      <w:r w:rsidR="00B33BE6">
        <w:t>In our companion contribution</w:t>
      </w:r>
      <w:r w:rsidR="00615178">
        <w:t xml:space="preserve"> </w:t>
      </w:r>
      <w:r w:rsidR="00615178">
        <w:fldChar w:fldCharType="begin"/>
      </w:r>
      <w:r w:rsidR="00615178">
        <w:instrText xml:space="preserve"> REF _Ref450649288 \r \h </w:instrText>
      </w:r>
      <w:r w:rsidR="00615178">
        <w:fldChar w:fldCharType="separate"/>
      </w:r>
      <w:r w:rsidR="00615178">
        <w:t>[2]</w:t>
      </w:r>
      <w:r w:rsidR="00615178">
        <w:fldChar w:fldCharType="end"/>
      </w:r>
      <w:r w:rsidR="00B33BE6">
        <w:t xml:space="preserve">, we discuss more details of the antenna array architecture and their impact on MIMO processing. </w:t>
      </w:r>
    </w:p>
    <w:p w14:paraId="1C63393D" w14:textId="77777777" w:rsidR="00C5002F" w:rsidRPr="00B33BE6" w:rsidRDefault="00B33BE6" w:rsidP="00C5002F">
      <w:pPr>
        <w:jc w:val="both"/>
        <w:rPr>
          <w:b/>
          <w:i/>
        </w:rPr>
      </w:pPr>
      <w:r w:rsidRPr="00B33BE6">
        <w:rPr>
          <w:b/>
          <w:i/>
        </w:rPr>
        <w:t xml:space="preserve">Proposal 1: The NR system design shall provide </w:t>
      </w:r>
      <w:r w:rsidR="00091C98" w:rsidRPr="00B33BE6">
        <w:rPr>
          <w:b/>
          <w:i/>
        </w:rPr>
        <w:t>flexible</w:t>
      </w:r>
      <w:r w:rsidRPr="00B33BE6">
        <w:rPr>
          <w:b/>
          <w:i/>
        </w:rPr>
        <w:t xml:space="preserve"> support of fully digital, fully analog/RF, and hybrid of digital and </w:t>
      </w:r>
      <w:r w:rsidR="00091C98" w:rsidRPr="00B33BE6">
        <w:rPr>
          <w:b/>
          <w:i/>
        </w:rPr>
        <w:t>analog</w:t>
      </w:r>
      <w:r w:rsidRPr="00B33BE6">
        <w:rPr>
          <w:b/>
          <w:i/>
        </w:rPr>
        <w:t>/RF architectures within a unified technical framework.</w:t>
      </w:r>
      <w:r w:rsidR="00575813" w:rsidRPr="00B33BE6">
        <w:rPr>
          <w:b/>
          <w:i/>
        </w:rPr>
        <w:t xml:space="preserve">  </w:t>
      </w:r>
    </w:p>
    <w:p w14:paraId="1C63393E" w14:textId="77777777" w:rsidR="00B33BE6" w:rsidRDefault="00B33BE6" w:rsidP="00B33BE6">
      <w:pPr>
        <w:pStyle w:val="Heading2"/>
      </w:pPr>
      <w:r>
        <w:t>Reciprocal vs non-reciprocal</w:t>
      </w:r>
      <w:r w:rsidR="00091C98">
        <w:t xml:space="preserve"> transmission</w:t>
      </w:r>
    </w:p>
    <w:p w14:paraId="1C63393F" w14:textId="77777777" w:rsidR="00B33BE6" w:rsidRDefault="00A61919" w:rsidP="00B33BE6">
      <w:pPr>
        <w:rPr>
          <w:lang w:val="en-GB"/>
        </w:rPr>
      </w:pPr>
      <w:r>
        <w:rPr>
          <w:lang w:val="en-GB"/>
        </w:rPr>
        <w:t>Several MIMO transmission modes are specified for LTE systems operating on both TDD and FDD spectrums.  For FD</w:t>
      </w:r>
      <w:r w:rsidR="00267D1B">
        <w:rPr>
          <w:lang w:val="en-GB"/>
        </w:rPr>
        <w:t>D, the CSI</w:t>
      </w:r>
      <w:r>
        <w:rPr>
          <w:lang w:val="en-GB"/>
        </w:rPr>
        <w:t xml:space="preserve"> at the </w:t>
      </w:r>
      <w:proofErr w:type="spellStart"/>
      <w:r>
        <w:rPr>
          <w:lang w:val="en-GB"/>
        </w:rPr>
        <w:t>eNB</w:t>
      </w:r>
      <w:proofErr w:type="spellEnd"/>
      <w:r>
        <w:rPr>
          <w:lang w:val="en-GB"/>
        </w:rPr>
        <w:t xml:space="preserve"> relies on UE feedback</w:t>
      </w:r>
      <w:r w:rsidR="00267D1B">
        <w:rPr>
          <w:lang w:val="en-GB"/>
        </w:rPr>
        <w:t xml:space="preserve"> in terms of PMI/RI/CQI.  For TDD, a UE may be configured to report CQI without PMI/RI and the </w:t>
      </w:r>
      <w:proofErr w:type="spellStart"/>
      <w:r w:rsidR="00267D1B">
        <w:rPr>
          <w:lang w:val="en-GB"/>
        </w:rPr>
        <w:t>eNB</w:t>
      </w:r>
      <w:proofErr w:type="spellEnd"/>
      <w:r w:rsidR="00267D1B">
        <w:rPr>
          <w:lang w:val="en-GB"/>
        </w:rPr>
        <w:t xml:space="preserve"> may derive the CSI by exploiting reciprocity.  Although </w:t>
      </w:r>
      <w:r w:rsidR="00020DDB">
        <w:rPr>
          <w:lang w:val="en-GB"/>
        </w:rPr>
        <w:t xml:space="preserve">newly allocated spectrum for </w:t>
      </w:r>
      <w:r w:rsidR="00267D1B">
        <w:rPr>
          <w:lang w:val="en-GB"/>
        </w:rPr>
        <w:t>NR is more likely</w:t>
      </w:r>
      <w:r w:rsidR="00020DDB">
        <w:rPr>
          <w:lang w:val="en-GB"/>
        </w:rPr>
        <w:t xml:space="preserve"> in TDD bands</w:t>
      </w:r>
      <w:r w:rsidR="00267D1B">
        <w:rPr>
          <w:lang w:val="en-GB"/>
        </w:rPr>
        <w:t>, non-/semi-reciprocal transmission shall still be carefully designed.  We see at least two reasons for th</w:t>
      </w:r>
      <w:r w:rsidR="00020DDB">
        <w:rPr>
          <w:lang w:val="en-GB"/>
        </w:rPr>
        <w:t xml:space="preserve">is.  First, the NR shall consider a broad range of frequency bands include some FDD bands.  The spectrum of some existing RATs may be </w:t>
      </w:r>
      <w:proofErr w:type="spellStart"/>
      <w:r w:rsidR="00020DDB">
        <w:rPr>
          <w:lang w:val="en-GB"/>
        </w:rPr>
        <w:t>refarmed</w:t>
      </w:r>
      <w:proofErr w:type="spellEnd"/>
      <w:r w:rsidR="00020DDB">
        <w:rPr>
          <w:lang w:val="en-GB"/>
        </w:rPr>
        <w:t xml:space="preserve"> for NR deployment in the future.  Some of those are paired spectrum in low frequency suitable for coverage layer.  Second, even for TDD spectrum, reciprocity based approach may not be always available/reliable.  The impairment factors include </w:t>
      </w:r>
      <w:r w:rsidR="00091C98">
        <w:rPr>
          <w:lang w:val="en-GB"/>
        </w:rPr>
        <w:t xml:space="preserve">residue error of UL-DL calibration, quality of sounding, asymmetry TX/RX antenna at the UE, etc.  Some of these issues may be tractable.  For example, the </w:t>
      </w:r>
      <w:r w:rsidR="00411C9D">
        <w:rPr>
          <w:lang w:val="en-GB"/>
        </w:rPr>
        <w:t>sounding</w:t>
      </w:r>
      <w:r w:rsidR="00091C98">
        <w:rPr>
          <w:lang w:val="en-GB"/>
        </w:rPr>
        <w:t xml:space="preserve"> quality due to channel aging may be addressed by introducing a self-contained </w:t>
      </w:r>
      <w:proofErr w:type="spellStart"/>
      <w:r w:rsidR="00091C98">
        <w:rPr>
          <w:lang w:val="en-GB"/>
        </w:rPr>
        <w:t>subframe</w:t>
      </w:r>
      <w:proofErr w:type="spellEnd"/>
      <w:r w:rsidR="00091C98">
        <w:rPr>
          <w:lang w:val="en-GB"/>
        </w:rPr>
        <w:t xml:space="preserve"> structure with fast sounding.  But some issues are due to hardware restriction</w:t>
      </w:r>
      <w:r w:rsidR="00411C9D">
        <w:rPr>
          <w:lang w:val="en-GB"/>
        </w:rPr>
        <w:t>s</w:t>
      </w:r>
      <w:r w:rsidR="00091C98">
        <w:rPr>
          <w:lang w:val="en-GB"/>
        </w:rPr>
        <w:t>.</w:t>
      </w:r>
    </w:p>
    <w:p w14:paraId="1C633940" w14:textId="77777777" w:rsidR="00091C98" w:rsidRDefault="00091C98" w:rsidP="00B33BE6">
      <w:pPr>
        <w:rPr>
          <w:b/>
          <w:i/>
        </w:rPr>
      </w:pPr>
      <w:r w:rsidRPr="00091C98">
        <w:rPr>
          <w:b/>
          <w:i/>
          <w:lang w:val="en-GB"/>
        </w:rPr>
        <w:t>Proposal 2:</w:t>
      </w:r>
      <w:r>
        <w:rPr>
          <w:lang w:val="en-GB"/>
        </w:rPr>
        <w:t xml:space="preserve"> </w:t>
      </w:r>
      <w:r w:rsidRPr="00B33BE6">
        <w:rPr>
          <w:b/>
          <w:i/>
        </w:rPr>
        <w:t xml:space="preserve">The NR system design shall provide flexible support of </w:t>
      </w:r>
      <w:r>
        <w:rPr>
          <w:b/>
          <w:i/>
        </w:rPr>
        <w:t>both reciprocal based transmission and non-reciprocal based transmission</w:t>
      </w:r>
      <w:r w:rsidRPr="00B33BE6">
        <w:rPr>
          <w:b/>
          <w:i/>
        </w:rPr>
        <w:t xml:space="preserve">.  </w:t>
      </w:r>
    </w:p>
    <w:p w14:paraId="1C633941" w14:textId="77777777" w:rsidR="00FD2BDC" w:rsidRDefault="00FD2BDC" w:rsidP="00FD2BDC">
      <w:pPr>
        <w:pStyle w:val="Heading2"/>
      </w:pPr>
      <w:r>
        <w:t>MIMO transmission schemes</w:t>
      </w:r>
    </w:p>
    <w:p w14:paraId="1C633942" w14:textId="77777777" w:rsidR="00FD2BDC" w:rsidRDefault="00FD2BDC" w:rsidP="00FD2BDC">
      <w:pPr>
        <w:jc w:val="both"/>
      </w:pPr>
      <w:r>
        <w:t xml:space="preserve">The beams formed by a large antenna array is much narrower than that generated by a small array.  With ideal tracking of CSI at the </w:t>
      </w:r>
      <w:proofErr w:type="spellStart"/>
      <w:r>
        <w:t>eNB</w:t>
      </w:r>
      <w:proofErr w:type="spellEnd"/>
      <w:r>
        <w:t xml:space="preserve">, close-loop MIMO operation can improve the received signal power and spray less interference to neighboring cells.  Unfortunately, the close-loop operation may fall apart in real world scenarios.  For example, in higher Doppler case, CSI feedback delay or sudden change of the local </w:t>
      </w:r>
      <w:proofErr w:type="spellStart"/>
      <w:r>
        <w:t>scatterers</w:t>
      </w:r>
      <w:proofErr w:type="spellEnd"/>
      <w:r>
        <w:t xml:space="preserve"> may cause the reported PMI unusable.  For another example, in TDD, cell edge users may suffer from poor sounding quality.  The </w:t>
      </w:r>
      <w:proofErr w:type="spellStart"/>
      <w:r>
        <w:t>eNB</w:t>
      </w:r>
      <w:proofErr w:type="spellEnd"/>
      <w:r>
        <w:t xml:space="preserve"> may not be able to adapt the link correctly, but it may, by doing time averaging, to extract a coarse beamforming direction.  In such cases, an open- or semi-open-loop scheme could be more robust than close-loop scheme.  </w:t>
      </w:r>
    </w:p>
    <w:p w14:paraId="1C633943" w14:textId="77777777" w:rsidR="00FD2BDC" w:rsidRPr="00FD2BDC" w:rsidRDefault="00FD2BDC" w:rsidP="00FD2BDC">
      <w:pPr>
        <w:jc w:val="both"/>
        <w:rPr>
          <w:b/>
          <w:i/>
        </w:rPr>
      </w:pPr>
      <w:r w:rsidRPr="0018087F">
        <w:rPr>
          <w:b/>
          <w:i/>
        </w:rPr>
        <w:t xml:space="preserve">Proposal </w:t>
      </w:r>
      <w:r>
        <w:rPr>
          <w:b/>
          <w:i/>
        </w:rPr>
        <w:t>3</w:t>
      </w:r>
      <w:r w:rsidRPr="0018087F">
        <w:rPr>
          <w:b/>
          <w:i/>
        </w:rPr>
        <w:t>: The NR massive MIMO shall support both close-loop operation and (semi-)open-loop operation.</w:t>
      </w:r>
    </w:p>
    <w:p w14:paraId="1C633944" w14:textId="77777777" w:rsidR="00B33BE6" w:rsidRDefault="00795DC8" w:rsidP="00795DC8">
      <w:pPr>
        <w:pStyle w:val="Heading2"/>
      </w:pPr>
      <w:r>
        <w:t>CSI-RS</w:t>
      </w:r>
    </w:p>
    <w:p w14:paraId="1C633945" w14:textId="77777777" w:rsidR="00F05F00" w:rsidRDefault="00F05F00" w:rsidP="00C5002F">
      <w:pPr>
        <w:jc w:val="both"/>
      </w:pPr>
      <w:r>
        <w:t>Since</w:t>
      </w:r>
      <w:r w:rsidR="00795DC8">
        <w:t xml:space="preserve"> Rel-13 FD-MIMO, both non-</w:t>
      </w:r>
      <w:proofErr w:type="spellStart"/>
      <w:r w:rsidR="00795DC8">
        <w:t>precoded</w:t>
      </w:r>
      <w:proofErr w:type="spellEnd"/>
      <w:r w:rsidR="00795DC8">
        <w:t xml:space="preserve"> CSI-RS and </w:t>
      </w:r>
      <w:proofErr w:type="spellStart"/>
      <w:r w:rsidR="00795DC8">
        <w:t>beamformed</w:t>
      </w:r>
      <w:proofErr w:type="spellEnd"/>
      <w:r w:rsidR="00795DC8">
        <w:t xml:space="preserve"> CSI-RS are supported.  </w:t>
      </w:r>
      <w:r>
        <w:t xml:space="preserve">Thanks to the beamforming gain, the received signal power of a </w:t>
      </w:r>
      <w:proofErr w:type="spellStart"/>
      <w:r w:rsidR="00795DC8">
        <w:t>beamformed</w:t>
      </w:r>
      <w:proofErr w:type="spellEnd"/>
      <w:r w:rsidR="00795DC8">
        <w:t xml:space="preserve"> CSI-RS </w:t>
      </w:r>
      <w:r>
        <w:t>is usually higher than that of a non-</w:t>
      </w:r>
      <w:proofErr w:type="spellStart"/>
      <w:r>
        <w:t>precoded</w:t>
      </w:r>
      <w:proofErr w:type="spellEnd"/>
      <w:r>
        <w:t xml:space="preserve"> CSI-RS.  With dynamic CSI-RS management, the </w:t>
      </w:r>
      <w:proofErr w:type="spellStart"/>
      <w:r>
        <w:t>beamformed</w:t>
      </w:r>
      <w:proofErr w:type="spellEnd"/>
      <w:r>
        <w:t xml:space="preserve"> CSI-RS may </w:t>
      </w:r>
      <w:r w:rsidR="00795DC8">
        <w:t xml:space="preserve">lead to manageable CSI overhead when the number of TXRUs is increased.  For NR massive MIMO, the number of TXRUs would be larger than that in FD-MIMO and </w:t>
      </w:r>
      <w:proofErr w:type="spellStart"/>
      <w:r w:rsidR="00795DC8">
        <w:t>eFD</w:t>
      </w:r>
      <w:proofErr w:type="spellEnd"/>
      <w:r w:rsidR="00795DC8">
        <w:t xml:space="preserve">-MIMO.  The </w:t>
      </w:r>
      <w:proofErr w:type="spellStart"/>
      <w:r w:rsidR="00795DC8">
        <w:t>beamformed</w:t>
      </w:r>
      <w:proofErr w:type="spellEnd"/>
      <w:r w:rsidR="00795DC8">
        <w:t xml:space="preserve"> CSI-RS at least should be considered as a starting point.  </w:t>
      </w:r>
    </w:p>
    <w:p w14:paraId="1C633946" w14:textId="77777777" w:rsidR="00795DC8" w:rsidRDefault="00795DC8" w:rsidP="00C5002F">
      <w:pPr>
        <w:jc w:val="both"/>
      </w:pPr>
      <w:r>
        <w:t>In Rel-14</w:t>
      </w:r>
      <w:r w:rsidR="00F05F00">
        <w:t xml:space="preserve"> </w:t>
      </w:r>
      <w:proofErr w:type="spellStart"/>
      <w:r w:rsidR="00F05F00">
        <w:t>eFD</w:t>
      </w:r>
      <w:proofErr w:type="spellEnd"/>
      <w:r w:rsidR="00F05F00">
        <w:t xml:space="preserve">-MIMO, hybrid CSI-RS schemes are under investigation.  One possible design is to use a hybrid of two set of </w:t>
      </w:r>
      <w:proofErr w:type="spellStart"/>
      <w:r w:rsidR="00F05F00">
        <w:t>beamformed</w:t>
      </w:r>
      <w:proofErr w:type="spellEnd"/>
      <w:r w:rsidR="00F05F00">
        <w:t xml:space="preserve"> CSI-RSs instead of the hybrid of a non-</w:t>
      </w:r>
      <w:proofErr w:type="spellStart"/>
      <w:r w:rsidR="00F05F00">
        <w:t>precoded</w:t>
      </w:r>
      <w:proofErr w:type="spellEnd"/>
      <w:r w:rsidR="00F05F00">
        <w:t xml:space="preserve"> CSI-RS and a </w:t>
      </w:r>
      <w:proofErr w:type="spellStart"/>
      <w:r w:rsidR="00F05F00">
        <w:t>beamformed</w:t>
      </w:r>
      <w:proofErr w:type="spellEnd"/>
      <w:r w:rsidR="00F05F00">
        <w:t xml:space="preserve"> CSI-RS.  </w:t>
      </w:r>
      <w:r w:rsidR="00E0125C">
        <w:t xml:space="preserve">The two </w:t>
      </w:r>
      <w:proofErr w:type="spellStart"/>
      <w:r w:rsidR="00E0125C">
        <w:t>beamformed</w:t>
      </w:r>
      <w:proofErr w:type="spellEnd"/>
      <w:r w:rsidR="00E0125C">
        <w:t xml:space="preserve"> CSI-RS sets may be configured</w:t>
      </w:r>
      <w:r w:rsidR="00D5166F">
        <w:t xml:space="preserve">, one set of cell-specific </w:t>
      </w:r>
      <w:proofErr w:type="spellStart"/>
      <w:r w:rsidR="00D5166F">
        <w:t>beamformed</w:t>
      </w:r>
      <w:proofErr w:type="spellEnd"/>
      <w:r w:rsidR="00D5166F">
        <w:t xml:space="preserve"> CSI-RS and one </w:t>
      </w:r>
      <w:proofErr w:type="spellStart"/>
      <w:r w:rsidR="00D5166F">
        <w:t>oset</w:t>
      </w:r>
      <w:proofErr w:type="spellEnd"/>
      <w:r w:rsidR="00D5166F">
        <w:t xml:space="preserve"> of UE-specific </w:t>
      </w:r>
      <w:proofErr w:type="spellStart"/>
      <w:r w:rsidR="00D5166F">
        <w:t>beamformed</w:t>
      </w:r>
      <w:proofErr w:type="spellEnd"/>
      <w:r w:rsidR="00D5166F">
        <w:t xml:space="preserve"> CSI-RS.  Each set may have its</w:t>
      </w:r>
      <w:r w:rsidR="00E0125C">
        <w:t xml:space="preserve"> own beamforming weight and duty cycle.  This allows flexible configuration of CSI-RS and CSI </w:t>
      </w:r>
      <w:r w:rsidR="00E0125C">
        <w:lastRenderedPageBreak/>
        <w:t>measurements.  It may also en</w:t>
      </w:r>
      <w:r w:rsidR="006D2AE4">
        <w:t>able a two tier CSI reporting where the first tier provides a coarse direction for coverage while the second tier refines the beamforming for capacity.</w:t>
      </w:r>
    </w:p>
    <w:p w14:paraId="1C633947" w14:textId="77777777" w:rsidR="006D2AE4" w:rsidRDefault="006D2AE4" w:rsidP="00C5002F">
      <w:pPr>
        <w:jc w:val="both"/>
        <w:rPr>
          <w:b/>
          <w:i/>
        </w:rPr>
      </w:pPr>
      <w:r w:rsidRPr="006D2AE4">
        <w:rPr>
          <w:b/>
          <w:i/>
        </w:rPr>
        <w:t xml:space="preserve">Proposal </w:t>
      </w:r>
      <w:r w:rsidR="00D5166F">
        <w:rPr>
          <w:b/>
          <w:i/>
        </w:rPr>
        <w:t>4</w:t>
      </w:r>
      <w:r w:rsidRPr="006D2AE4">
        <w:rPr>
          <w:b/>
          <w:i/>
        </w:rPr>
        <w:t>:</w:t>
      </w:r>
      <w:r>
        <w:t xml:space="preserve"> </w:t>
      </w:r>
      <w:r w:rsidRPr="00B33BE6">
        <w:rPr>
          <w:b/>
          <w:i/>
        </w:rPr>
        <w:t xml:space="preserve">The NR system design shall provide flexible support of </w:t>
      </w:r>
      <w:r>
        <w:rPr>
          <w:b/>
          <w:i/>
        </w:rPr>
        <w:t xml:space="preserve">CSI measurement.  Both </w:t>
      </w:r>
      <w:proofErr w:type="spellStart"/>
      <w:r>
        <w:rPr>
          <w:b/>
          <w:i/>
        </w:rPr>
        <w:t>beamformed</w:t>
      </w:r>
      <w:proofErr w:type="spellEnd"/>
      <w:r>
        <w:rPr>
          <w:b/>
          <w:i/>
        </w:rPr>
        <w:t xml:space="preserve"> CSI-RS and hybrid CSI-RS in (e</w:t>
      </w:r>
      <w:proofErr w:type="gramStart"/>
      <w:r>
        <w:rPr>
          <w:b/>
          <w:i/>
        </w:rPr>
        <w:t>)FD</w:t>
      </w:r>
      <w:proofErr w:type="gramEnd"/>
      <w:r>
        <w:rPr>
          <w:b/>
          <w:i/>
        </w:rPr>
        <w:t>-MIMO can be considered as a starting point.</w:t>
      </w:r>
    </w:p>
    <w:p w14:paraId="1C633948" w14:textId="77777777" w:rsidR="006D2AE4" w:rsidRDefault="006D2AE4" w:rsidP="006D2AE4">
      <w:pPr>
        <w:pStyle w:val="Heading2"/>
      </w:pPr>
      <w:r>
        <w:t>CSI feedback</w:t>
      </w:r>
    </w:p>
    <w:p w14:paraId="1C633949" w14:textId="77777777" w:rsidR="00575813" w:rsidRDefault="001D125F" w:rsidP="00C5002F">
      <w:pPr>
        <w:jc w:val="both"/>
      </w:pPr>
      <w:r>
        <w:t xml:space="preserve">For non-reciprocal transmission, PMI/RI need to be reported to the </w:t>
      </w:r>
      <w:proofErr w:type="spellStart"/>
      <w:r>
        <w:t>eNB</w:t>
      </w:r>
      <w:proofErr w:type="spellEnd"/>
      <w:r>
        <w:t xml:space="preserve"> via UE feedback.  </w:t>
      </w:r>
      <w:r w:rsidR="00D5166F">
        <w:t xml:space="preserve">The PMI/RI can be measured based on UE-specific </w:t>
      </w:r>
      <w:proofErr w:type="spellStart"/>
      <w:r w:rsidR="00D5166F">
        <w:t>beamformed</w:t>
      </w:r>
      <w:proofErr w:type="spellEnd"/>
      <w:r w:rsidR="00D5166F">
        <w:t xml:space="preserve"> CSI-RS.  </w:t>
      </w:r>
      <w:r w:rsidR="006D2AE4">
        <w:t xml:space="preserve">In order to unleash the benefit of multiple antennas, the codebook size need to be enlarged as the number of antenna ports increases.  However, a larger codebook may lead to an increased CSI feedback overhead and </w:t>
      </w:r>
      <w:r>
        <w:t xml:space="preserve">a burden of PMI selection at the UE.  </w:t>
      </w:r>
      <w:r w:rsidR="00254FAC">
        <w:t xml:space="preserve">One way to reduce the CSI feedback overhead/complexity is to introducing aperiodic CSI feedback.  The periodic CSI may be configured in a low duty cycle just for tracking the long-term channel status when there’s no traffic for the UE.  The periodic CSI can be configured with fewer antenna ports using a low resolution codebook.  When there is data available for transmission, the UE can be triggered to send CSI with more antenna ports using a high resolution codebook.  </w:t>
      </w:r>
    </w:p>
    <w:p w14:paraId="1C63394A" w14:textId="77777777" w:rsidR="00254FAC" w:rsidRPr="00254FAC" w:rsidRDefault="00254FAC" w:rsidP="00C5002F">
      <w:pPr>
        <w:jc w:val="both"/>
        <w:rPr>
          <w:b/>
          <w:i/>
        </w:rPr>
      </w:pPr>
      <w:r w:rsidRPr="00254FAC">
        <w:rPr>
          <w:b/>
          <w:i/>
        </w:rPr>
        <w:t xml:space="preserve">Proposal </w:t>
      </w:r>
      <w:r w:rsidR="00D5166F">
        <w:rPr>
          <w:b/>
          <w:i/>
        </w:rPr>
        <w:t>5</w:t>
      </w:r>
      <w:r w:rsidRPr="00254FAC">
        <w:rPr>
          <w:b/>
          <w:i/>
        </w:rPr>
        <w:t>: The NR massive MIMO shall consider both periodic low resolution CSI feedback and on-demand high resolution CSI feedback.</w:t>
      </w:r>
    </w:p>
    <w:p w14:paraId="1C63394B" w14:textId="77777777" w:rsidR="00254FAC" w:rsidRDefault="00254FAC" w:rsidP="00254FAC">
      <w:pPr>
        <w:jc w:val="both"/>
      </w:pPr>
      <w:r>
        <w:t>Differential feedback is another possible solution for overhead/complexity reduction.  Generally speaking, differential feedback exploits the intrinsic channel correlation and the PMI feedback history.  When the channel is correlated in two reporting instance</w:t>
      </w:r>
      <w:r w:rsidR="00D5166F">
        <w:t>s</w:t>
      </w:r>
      <w:r>
        <w:t xml:space="preserve">, differential feedback may reduce the feedback overhead compared to one-shot feedback.  In the NR, </w:t>
      </w:r>
      <w:r w:rsidR="00D5166F">
        <w:t xml:space="preserve">the maximum number of </w:t>
      </w:r>
      <w:proofErr w:type="spellStart"/>
      <w:r w:rsidR="00D5166F">
        <w:t>beamformed</w:t>
      </w:r>
      <w:proofErr w:type="spellEnd"/>
      <w:r w:rsidR="00D5166F">
        <w:t xml:space="preserve"> CSI-RS and the associated PMI codebooks need to be carefully studied.  </w:t>
      </w:r>
      <w:r>
        <w:t xml:space="preserve">The introducing of any new codebook should demonstrate substantial performance benefit while keeping the overhead/complexity manageable. </w:t>
      </w:r>
    </w:p>
    <w:p w14:paraId="1C63394C" w14:textId="77777777" w:rsidR="007E1A7D" w:rsidRDefault="00254FAC" w:rsidP="00254FAC">
      <w:pPr>
        <w:jc w:val="both"/>
        <w:rPr>
          <w:b/>
          <w:i/>
        </w:rPr>
      </w:pPr>
      <w:r w:rsidRPr="00254FAC">
        <w:rPr>
          <w:b/>
          <w:i/>
        </w:rPr>
        <w:t xml:space="preserve">Proposal </w:t>
      </w:r>
      <w:r w:rsidR="00D5166F">
        <w:rPr>
          <w:b/>
          <w:i/>
        </w:rPr>
        <w:t>6</w:t>
      </w:r>
      <w:r w:rsidRPr="00254FAC">
        <w:rPr>
          <w:b/>
          <w:i/>
        </w:rPr>
        <w:t>: The codebook for NR massive MIMO shall demonstrate substantial performance benefit with manageable overhead/complexity.  Advanced feedback schemes, e.g., differential feedback, can be considered.</w:t>
      </w:r>
    </w:p>
    <w:p w14:paraId="1C63394D" w14:textId="77777777" w:rsidR="002C64DE" w:rsidRDefault="002C64DE" w:rsidP="002C64DE">
      <w:pPr>
        <w:pStyle w:val="Heading2"/>
      </w:pPr>
      <w:r>
        <w:t>Common channel</w:t>
      </w:r>
    </w:p>
    <w:p w14:paraId="1C63394E" w14:textId="7CECB241" w:rsidR="002C64DE" w:rsidRDefault="002C64DE" w:rsidP="00254FAC">
      <w:pPr>
        <w:jc w:val="both"/>
      </w:pPr>
      <w:r>
        <w:t>It is well known that the radio propagation attenuation increases about 20 dB per decade in carrier frequency.  For NR systems operating</w:t>
      </w:r>
      <w:r w:rsidR="00AC2799">
        <w:t xml:space="preserve"> at higher frequency bands, sufficient </w:t>
      </w:r>
      <w:r>
        <w:t xml:space="preserve">coverage of common channel needs to be </w:t>
      </w:r>
      <w:r w:rsidR="00AC2799">
        <w:t xml:space="preserve">provided.  There are several approaches to enhance the common channel coverage.  Common channel beamforming could be one possible solution, where a cell can be covered by multiple beams. </w:t>
      </w:r>
      <w:r w:rsidR="00FA2B5A">
        <w:t xml:space="preserve">However, this may also require a fine timing granularity which may not be amenable OFDM symbol lengths for larger cells </w:t>
      </w:r>
      <w:r w:rsidR="00E661F8">
        <w:t>at below</w:t>
      </w:r>
      <w:r w:rsidR="00F13D9C">
        <w:t xml:space="preserve"> </w:t>
      </w:r>
      <w:r w:rsidR="00FA2B5A">
        <w:t>6 GHz</w:t>
      </w:r>
      <w:r w:rsidR="00500125">
        <w:t>.</w:t>
      </w:r>
      <w:r w:rsidR="00AC2799">
        <w:t xml:space="preserve"> </w:t>
      </w:r>
      <w:proofErr w:type="gramStart"/>
      <w:r w:rsidR="00AC2799">
        <w:t>Alternatively</w:t>
      </w:r>
      <w:proofErr w:type="gramEnd"/>
      <w:r w:rsidR="00AC2799">
        <w:t>, transmit diversity may also be employed to obtain sufficient cell coverage.  With a proper antenna port mapping, the large antenna array can be fully utilized to provide both array gain and diversity gain.</w:t>
      </w:r>
    </w:p>
    <w:p w14:paraId="1C63394F" w14:textId="77777777" w:rsidR="00AC2799" w:rsidRPr="00AC2799" w:rsidRDefault="00AC2799" w:rsidP="00254FAC">
      <w:pPr>
        <w:jc w:val="both"/>
        <w:rPr>
          <w:b/>
          <w:i/>
        </w:rPr>
      </w:pPr>
      <w:r w:rsidRPr="00AC2799">
        <w:rPr>
          <w:b/>
          <w:i/>
        </w:rPr>
        <w:t>Proposal 7: The NR system design shall provide sufficient common channel coverage.  Both beamforming and transmit diversity can be considered.</w:t>
      </w:r>
    </w:p>
    <w:p w14:paraId="1C633950" w14:textId="77777777" w:rsidR="00FC6D8C" w:rsidRPr="00183CB7" w:rsidRDefault="001021DD" w:rsidP="00183CB7">
      <w:pPr>
        <w:pStyle w:val="Heading1"/>
      </w:pPr>
      <w:bookmarkStart w:id="3" w:name="_Ref378529477"/>
      <w:r w:rsidRPr="00183CB7">
        <w:t>Conclusions</w:t>
      </w:r>
    </w:p>
    <w:bookmarkEnd w:id="3"/>
    <w:p w14:paraId="1C633951" w14:textId="77777777" w:rsidR="00C5589B" w:rsidRPr="00DE58DA" w:rsidRDefault="00E523F3" w:rsidP="00DE58DA">
      <w:pPr>
        <w:spacing w:before="240"/>
      </w:pPr>
      <w:r w:rsidRPr="00DE58DA">
        <w:t xml:space="preserve">In summary, </w:t>
      </w:r>
      <w:r w:rsidR="00175EF2" w:rsidRPr="00DE58DA">
        <w:t xml:space="preserve">we </w:t>
      </w:r>
      <w:r w:rsidR="00AB6458" w:rsidRPr="00DE58DA">
        <w:t>discuss</w:t>
      </w:r>
      <w:r w:rsidR="00601097" w:rsidRPr="00DE58DA">
        <w:t xml:space="preserve"> </w:t>
      </w:r>
      <w:r w:rsidR="006C3309" w:rsidRPr="00DE58DA">
        <w:t xml:space="preserve">general aspects of </w:t>
      </w:r>
      <w:r w:rsidR="00C5589B" w:rsidRPr="00DE58DA">
        <w:t>CSI</w:t>
      </w:r>
      <w:r w:rsidR="00B076C4" w:rsidRPr="00DE58DA">
        <w:t xml:space="preserve">-RS and </w:t>
      </w:r>
      <w:r w:rsidR="00B076C4">
        <w:rPr>
          <w:szCs w:val="22"/>
        </w:rPr>
        <w:t xml:space="preserve">CSI </w:t>
      </w:r>
      <w:r w:rsidR="00B076C4" w:rsidRPr="00DE58DA">
        <w:t>feedback enhancements</w:t>
      </w:r>
      <w:r w:rsidR="00B076C4">
        <w:rPr>
          <w:szCs w:val="22"/>
        </w:rPr>
        <w:t xml:space="preserve"> for </w:t>
      </w:r>
      <w:proofErr w:type="spellStart"/>
      <w:r w:rsidR="00B076C4">
        <w:rPr>
          <w:szCs w:val="22"/>
        </w:rPr>
        <w:t>beamformed</w:t>
      </w:r>
      <w:proofErr w:type="spellEnd"/>
      <w:r w:rsidR="00B076C4">
        <w:rPr>
          <w:szCs w:val="22"/>
        </w:rPr>
        <w:t xml:space="preserve"> and non-</w:t>
      </w:r>
      <w:proofErr w:type="spellStart"/>
      <w:r w:rsidR="00B076C4">
        <w:rPr>
          <w:szCs w:val="22"/>
        </w:rPr>
        <w:t>precoded</w:t>
      </w:r>
      <w:proofErr w:type="spellEnd"/>
      <w:r w:rsidR="00B076C4">
        <w:rPr>
          <w:szCs w:val="22"/>
        </w:rPr>
        <w:t xml:space="preserve"> CSI-RS based schemes. W</w:t>
      </w:r>
      <w:r w:rsidR="00C5589B" w:rsidRPr="00B076C4">
        <w:rPr>
          <w:szCs w:val="22"/>
        </w:rPr>
        <w:t>e</w:t>
      </w:r>
      <w:r w:rsidR="00C5589B" w:rsidRPr="00DE58DA">
        <w:t xml:space="preserve"> observe that</w:t>
      </w:r>
    </w:p>
    <w:p w14:paraId="1C633952" w14:textId="77777777" w:rsidR="00DE58DA" w:rsidRPr="00B33BE6" w:rsidRDefault="00DE58DA" w:rsidP="00DE58DA">
      <w:pPr>
        <w:jc w:val="both"/>
        <w:rPr>
          <w:b/>
          <w:i/>
        </w:rPr>
      </w:pPr>
      <w:r w:rsidRPr="00B33BE6">
        <w:rPr>
          <w:b/>
          <w:i/>
        </w:rPr>
        <w:t xml:space="preserve">Proposal 1: The NR system design shall provide flexible support of fully digital, fully analog/RF, and hybrid of digital and analog/RF architectures within a unified technical framework.  </w:t>
      </w:r>
    </w:p>
    <w:p w14:paraId="1C633953" w14:textId="77777777" w:rsidR="00DE58DA" w:rsidRPr="00B33BE6" w:rsidRDefault="00DE58DA" w:rsidP="00DE58DA">
      <w:pPr>
        <w:rPr>
          <w:lang w:val="en-GB"/>
        </w:rPr>
      </w:pPr>
      <w:r w:rsidRPr="00091C98">
        <w:rPr>
          <w:b/>
          <w:i/>
          <w:lang w:val="en-GB"/>
        </w:rPr>
        <w:t>Proposal 2:</w:t>
      </w:r>
      <w:r>
        <w:rPr>
          <w:lang w:val="en-GB"/>
        </w:rPr>
        <w:t xml:space="preserve"> </w:t>
      </w:r>
      <w:r w:rsidRPr="00B33BE6">
        <w:rPr>
          <w:b/>
          <w:i/>
        </w:rPr>
        <w:t xml:space="preserve">The NR system design shall provide flexible support of </w:t>
      </w:r>
      <w:r>
        <w:rPr>
          <w:b/>
          <w:i/>
        </w:rPr>
        <w:t>both reciprocal based transmission and non-reciprocal based transmission</w:t>
      </w:r>
      <w:r w:rsidRPr="00B33BE6">
        <w:rPr>
          <w:b/>
          <w:i/>
        </w:rPr>
        <w:t xml:space="preserve">.  </w:t>
      </w:r>
    </w:p>
    <w:p w14:paraId="1C633954" w14:textId="77777777" w:rsidR="00D5166F" w:rsidRPr="00FD2BDC" w:rsidRDefault="00D5166F" w:rsidP="00D5166F">
      <w:pPr>
        <w:jc w:val="both"/>
        <w:rPr>
          <w:b/>
          <w:i/>
        </w:rPr>
      </w:pPr>
      <w:r w:rsidRPr="0018087F">
        <w:rPr>
          <w:b/>
          <w:i/>
        </w:rPr>
        <w:t xml:space="preserve">Proposal </w:t>
      </w:r>
      <w:r>
        <w:rPr>
          <w:b/>
          <w:i/>
        </w:rPr>
        <w:t>3</w:t>
      </w:r>
      <w:r w:rsidRPr="0018087F">
        <w:rPr>
          <w:b/>
          <w:i/>
        </w:rPr>
        <w:t>: The NR massive MIMO shall support both close-loop operation and (semi-)open-loop operation.</w:t>
      </w:r>
    </w:p>
    <w:p w14:paraId="1C633955" w14:textId="77777777" w:rsidR="00D5166F" w:rsidRDefault="00D5166F" w:rsidP="00D5166F">
      <w:pPr>
        <w:jc w:val="both"/>
        <w:rPr>
          <w:b/>
          <w:i/>
        </w:rPr>
      </w:pPr>
      <w:r w:rsidRPr="006D2AE4">
        <w:rPr>
          <w:b/>
          <w:i/>
        </w:rPr>
        <w:t xml:space="preserve">Proposal </w:t>
      </w:r>
      <w:r>
        <w:rPr>
          <w:b/>
          <w:i/>
        </w:rPr>
        <w:t>4</w:t>
      </w:r>
      <w:r w:rsidRPr="006D2AE4">
        <w:rPr>
          <w:b/>
          <w:i/>
        </w:rPr>
        <w:t>:</w:t>
      </w:r>
      <w:r>
        <w:t xml:space="preserve"> </w:t>
      </w:r>
      <w:r w:rsidRPr="00B33BE6">
        <w:rPr>
          <w:b/>
          <w:i/>
        </w:rPr>
        <w:t xml:space="preserve">The NR system design shall provide flexible support of </w:t>
      </w:r>
      <w:r>
        <w:rPr>
          <w:b/>
          <w:i/>
        </w:rPr>
        <w:t xml:space="preserve">CSI measurement.  Both </w:t>
      </w:r>
      <w:proofErr w:type="spellStart"/>
      <w:r>
        <w:rPr>
          <w:b/>
          <w:i/>
        </w:rPr>
        <w:t>beamformed</w:t>
      </w:r>
      <w:proofErr w:type="spellEnd"/>
      <w:r>
        <w:rPr>
          <w:b/>
          <w:i/>
        </w:rPr>
        <w:t xml:space="preserve"> CSI-RS and hybrid CSI-RS in (e</w:t>
      </w:r>
      <w:proofErr w:type="gramStart"/>
      <w:r>
        <w:rPr>
          <w:b/>
          <w:i/>
        </w:rPr>
        <w:t>)FD</w:t>
      </w:r>
      <w:proofErr w:type="gramEnd"/>
      <w:r>
        <w:rPr>
          <w:b/>
          <w:i/>
        </w:rPr>
        <w:t>-MIMO can be considered as a starting point.</w:t>
      </w:r>
    </w:p>
    <w:p w14:paraId="1C633956" w14:textId="77777777" w:rsidR="00D5166F" w:rsidRPr="00254FAC" w:rsidRDefault="00D5166F" w:rsidP="00D5166F">
      <w:pPr>
        <w:jc w:val="both"/>
        <w:rPr>
          <w:b/>
          <w:i/>
        </w:rPr>
      </w:pPr>
      <w:r w:rsidRPr="00254FAC">
        <w:rPr>
          <w:b/>
          <w:i/>
        </w:rPr>
        <w:lastRenderedPageBreak/>
        <w:t xml:space="preserve">Proposal </w:t>
      </w:r>
      <w:r>
        <w:rPr>
          <w:b/>
          <w:i/>
        </w:rPr>
        <w:t>5</w:t>
      </w:r>
      <w:r w:rsidRPr="00254FAC">
        <w:rPr>
          <w:b/>
          <w:i/>
        </w:rPr>
        <w:t>: The NR massive MIMO shall consider both periodic low resolution CSI feedback and on-demand high resolution CSI feedback.</w:t>
      </w:r>
    </w:p>
    <w:p w14:paraId="1C633957" w14:textId="77777777" w:rsidR="00D5166F" w:rsidRDefault="00D5166F" w:rsidP="00D5166F">
      <w:pPr>
        <w:jc w:val="both"/>
        <w:rPr>
          <w:b/>
          <w:i/>
        </w:rPr>
      </w:pPr>
      <w:r w:rsidRPr="00254FAC">
        <w:rPr>
          <w:b/>
          <w:i/>
        </w:rPr>
        <w:t xml:space="preserve">Proposal </w:t>
      </w:r>
      <w:r>
        <w:rPr>
          <w:b/>
          <w:i/>
        </w:rPr>
        <w:t>6</w:t>
      </w:r>
      <w:r w:rsidRPr="00254FAC">
        <w:rPr>
          <w:b/>
          <w:i/>
        </w:rPr>
        <w:t>: The codebook for NR massive MIMO shall demonstrate substantial performance benefit with manageable overhead/complexity.  Advanced feedback schemes, e.g., differential feedback, can be considered.</w:t>
      </w:r>
    </w:p>
    <w:p w14:paraId="1C633958" w14:textId="77777777" w:rsidR="00AC2799" w:rsidRPr="00254FAC" w:rsidRDefault="00AC2799" w:rsidP="00D5166F">
      <w:pPr>
        <w:jc w:val="both"/>
        <w:rPr>
          <w:b/>
          <w:i/>
        </w:rPr>
      </w:pPr>
      <w:r w:rsidRPr="00AC2799">
        <w:rPr>
          <w:b/>
          <w:i/>
        </w:rPr>
        <w:t>Proposal 7: The NR system design shall provide sufficient common channel coverage.  Both beamforming and transmit diversity can be considered.</w:t>
      </w:r>
    </w:p>
    <w:p w14:paraId="1C633959" w14:textId="77777777" w:rsidR="00E523F3" w:rsidRPr="000A64D8" w:rsidRDefault="00E523F3" w:rsidP="00E523F3">
      <w:pPr>
        <w:pStyle w:val="Heading1"/>
        <w:rPr>
          <w:lang w:val="en-US"/>
        </w:rPr>
      </w:pPr>
      <w:r w:rsidRPr="000A64D8">
        <w:rPr>
          <w:lang w:val="en-US"/>
        </w:rPr>
        <w:t>References</w:t>
      </w:r>
    </w:p>
    <w:p w14:paraId="1C63395A" w14:textId="77777777" w:rsidR="00BE76E2" w:rsidRDefault="00BE76E2" w:rsidP="00BE76E2">
      <w:pPr>
        <w:numPr>
          <w:ilvl w:val="0"/>
          <w:numId w:val="2"/>
        </w:numPr>
        <w:spacing w:before="100" w:beforeAutospacing="1" w:after="100" w:afterAutospacing="1"/>
        <w:ind w:left="562" w:hanging="562"/>
        <w:rPr>
          <w:sz w:val="22"/>
          <w:szCs w:val="22"/>
        </w:rPr>
      </w:pPr>
      <w:bookmarkStart w:id="4" w:name="_Ref450564604"/>
      <w:bookmarkStart w:id="5" w:name="_Ref398626394"/>
      <w:bookmarkStart w:id="6" w:name="_Ref378529497"/>
      <w:bookmarkStart w:id="7" w:name="_Ref370818393"/>
      <w:bookmarkStart w:id="8" w:name="_Ref352001785"/>
      <w:bookmarkStart w:id="9" w:name="_Ref351989238"/>
      <w:r>
        <w:rPr>
          <w:sz w:val="22"/>
          <w:szCs w:val="22"/>
        </w:rPr>
        <w:t xml:space="preserve">RP-160671, New SID </w:t>
      </w:r>
      <w:r w:rsidR="00615178">
        <w:rPr>
          <w:sz w:val="22"/>
          <w:szCs w:val="22"/>
        </w:rPr>
        <w:t>p</w:t>
      </w:r>
      <w:r>
        <w:rPr>
          <w:sz w:val="22"/>
          <w:szCs w:val="22"/>
        </w:rPr>
        <w:t xml:space="preserve">roposal: </w:t>
      </w:r>
      <w:r w:rsidR="00615178">
        <w:rPr>
          <w:sz w:val="22"/>
          <w:szCs w:val="22"/>
        </w:rPr>
        <w:t>s</w:t>
      </w:r>
      <w:r>
        <w:rPr>
          <w:sz w:val="22"/>
          <w:szCs w:val="22"/>
        </w:rPr>
        <w:t xml:space="preserve">tudy on </w:t>
      </w:r>
      <w:r w:rsidR="00615178">
        <w:rPr>
          <w:sz w:val="22"/>
          <w:szCs w:val="22"/>
        </w:rPr>
        <w:t>new r</w:t>
      </w:r>
      <w:r>
        <w:rPr>
          <w:sz w:val="22"/>
          <w:szCs w:val="22"/>
        </w:rPr>
        <w:t xml:space="preserve">adio </w:t>
      </w:r>
      <w:r w:rsidR="00615178">
        <w:rPr>
          <w:sz w:val="22"/>
          <w:szCs w:val="22"/>
        </w:rPr>
        <w:t>a</w:t>
      </w:r>
      <w:r>
        <w:rPr>
          <w:sz w:val="22"/>
          <w:szCs w:val="22"/>
        </w:rPr>
        <w:t>c</w:t>
      </w:r>
      <w:r w:rsidR="00A86A13">
        <w:rPr>
          <w:sz w:val="22"/>
          <w:szCs w:val="22"/>
        </w:rPr>
        <w:t>c</w:t>
      </w:r>
      <w:r>
        <w:rPr>
          <w:sz w:val="22"/>
          <w:szCs w:val="22"/>
        </w:rPr>
        <w:t xml:space="preserve">ess </w:t>
      </w:r>
      <w:r w:rsidR="00615178">
        <w:rPr>
          <w:sz w:val="22"/>
          <w:szCs w:val="22"/>
        </w:rPr>
        <w:t>t</w:t>
      </w:r>
      <w:r>
        <w:rPr>
          <w:sz w:val="22"/>
          <w:szCs w:val="22"/>
        </w:rPr>
        <w:t>echnology.</w:t>
      </w:r>
      <w:bookmarkEnd w:id="4"/>
    </w:p>
    <w:p w14:paraId="1C63395B" w14:textId="37ED0FAA" w:rsidR="00615178" w:rsidRDefault="00122734" w:rsidP="00BE76E2">
      <w:pPr>
        <w:numPr>
          <w:ilvl w:val="0"/>
          <w:numId w:val="2"/>
        </w:numPr>
        <w:spacing w:before="100" w:beforeAutospacing="1" w:after="100" w:afterAutospacing="1"/>
        <w:ind w:left="562" w:hanging="562"/>
        <w:rPr>
          <w:sz w:val="22"/>
          <w:szCs w:val="22"/>
        </w:rPr>
      </w:pPr>
      <w:bookmarkStart w:id="10" w:name="_Ref450649288"/>
      <w:r>
        <w:rPr>
          <w:sz w:val="22"/>
          <w:szCs w:val="22"/>
        </w:rPr>
        <w:t>R1-164707</w:t>
      </w:r>
      <w:r w:rsidR="00615178">
        <w:rPr>
          <w:sz w:val="22"/>
          <w:szCs w:val="22"/>
        </w:rPr>
        <w:t>, Massive MIMO architecture</w:t>
      </w:r>
      <w:bookmarkEnd w:id="10"/>
      <w:r w:rsidR="009276D9">
        <w:rPr>
          <w:sz w:val="22"/>
          <w:szCs w:val="22"/>
        </w:rPr>
        <w:t>, Qualcomm Incorporated</w:t>
      </w:r>
      <w:r w:rsidR="00B449E5">
        <w:rPr>
          <w:sz w:val="22"/>
          <w:szCs w:val="22"/>
        </w:rPr>
        <w:t xml:space="preserve">, </w:t>
      </w:r>
      <w:r w:rsidR="00B449E5" w:rsidRPr="00B449E5">
        <w:rPr>
          <w:sz w:val="22"/>
          <w:szCs w:val="22"/>
        </w:rPr>
        <w:t>RAN1 #85, Nanjing China.</w:t>
      </w:r>
    </w:p>
    <w:p w14:paraId="1C63395C" w14:textId="77777777" w:rsidR="0011034F" w:rsidRPr="0018087F" w:rsidRDefault="0011034F" w:rsidP="007977E1">
      <w:pPr>
        <w:spacing w:before="100" w:beforeAutospacing="1" w:after="100" w:afterAutospacing="1"/>
        <w:ind w:left="567"/>
        <w:rPr>
          <w:sz w:val="22"/>
          <w:szCs w:val="22"/>
        </w:rPr>
      </w:pPr>
      <w:bookmarkStart w:id="11" w:name="_Ref450583331"/>
      <w:bookmarkEnd w:id="5"/>
      <w:bookmarkEnd w:id="6"/>
      <w:bookmarkEnd w:id="7"/>
      <w:bookmarkEnd w:id="8"/>
      <w:bookmarkEnd w:id="9"/>
      <w:bookmarkEnd w:id="11"/>
    </w:p>
    <w:sectPr w:rsidR="0011034F" w:rsidRPr="0018087F" w:rsidSect="00671B4F">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BC9B5" w14:textId="77777777" w:rsidR="001E239B" w:rsidRDefault="001E239B">
      <w:r>
        <w:separator/>
      </w:r>
    </w:p>
  </w:endnote>
  <w:endnote w:type="continuationSeparator" w:id="0">
    <w:p w14:paraId="636CB881" w14:textId="77777777" w:rsidR="001E239B" w:rsidRDefault="001E239B">
      <w:r>
        <w:continuationSeparator/>
      </w:r>
    </w:p>
  </w:endnote>
  <w:endnote w:type="continuationNotice" w:id="1">
    <w:p w14:paraId="5A55385A" w14:textId="77777777" w:rsidR="001E239B" w:rsidRDefault="001E2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3396A"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63396B"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3396C" w14:textId="77777777"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445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457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9CA87" w14:textId="77777777" w:rsidR="001E239B" w:rsidRDefault="001E239B">
      <w:r>
        <w:separator/>
      </w:r>
    </w:p>
  </w:footnote>
  <w:footnote w:type="continuationSeparator" w:id="0">
    <w:p w14:paraId="212BF671" w14:textId="77777777" w:rsidR="001E239B" w:rsidRDefault="001E239B">
      <w:r>
        <w:continuationSeparator/>
      </w:r>
    </w:p>
  </w:footnote>
  <w:footnote w:type="continuationNotice" w:id="1">
    <w:p w14:paraId="6627004C" w14:textId="77777777" w:rsidR="001E239B" w:rsidRDefault="001E23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33968"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33969"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163EFE"/>
    <w:multiLevelType w:val="hybridMultilevel"/>
    <w:tmpl w:val="9856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1"/>
  </w:num>
  <w:num w:numId="4">
    <w:abstractNumId w:val="21"/>
  </w:num>
  <w:num w:numId="5">
    <w:abstractNumId w:val="30"/>
  </w:num>
  <w:num w:numId="6">
    <w:abstractNumId w:val="35"/>
  </w:num>
  <w:num w:numId="7">
    <w:abstractNumId w:val="9"/>
  </w:num>
  <w:num w:numId="8">
    <w:abstractNumId w:val="12"/>
  </w:num>
  <w:num w:numId="9">
    <w:abstractNumId w:val="34"/>
  </w:num>
  <w:num w:numId="10">
    <w:abstractNumId w:val="27"/>
  </w:num>
  <w:num w:numId="11">
    <w:abstractNumId w:val="8"/>
  </w:num>
  <w:num w:numId="12">
    <w:abstractNumId w:val="15"/>
  </w:num>
  <w:num w:numId="13">
    <w:abstractNumId w:val="28"/>
  </w:num>
  <w:num w:numId="14">
    <w:abstractNumId w:val="26"/>
  </w:num>
  <w:num w:numId="15">
    <w:abstractNumId w:val="25"/>
  </w:num>
  <w:num w:numId="16">
    <w:abstractNumId w:val="11"/>
  </w:num>
  <w:num w:numId="17">
    <w:abstractNumId w:val="22"/>
  </w:num>
  <w:num w:numId="18">
    <w:abstractNumId w:val="40"/>
  </w:num>
  <w:num w:numId="19">
    <w:abstractNumId w:val="38"/>
  </w:num>
  <w:num w:numId="20">
    <w:abstractNumId w:val="2"/>
  </w:num>
  <w:num w:numId="21">
    <w:abstractNumId w:val="10"/>
  </w:num>
  <w:num w:numId="22">
    <w:abstractNumId w:val="42"/>
  </w:num>
  <w:num w:numId="23">
    <w:abstractNumId w:val="1"/>
  </w:num>
  <w:num w:numId="24">
    <w:abstractNumId w:val="23"/>
  </w:num>
  <w:num w:numId="25">
    <w:abstractNumId w:val="31"/>
  </w:num>
  <w:num w:numId="26">
    <w:abstractNumId w:val="36"/>
  </w:num>
  <w:num w:numId="27">
    <w:abstractNumId w:val="19"/>
  </w:num>
  <w:num w:numId="28">
    <w:abstractNumId w:val="5"/>
  </w:num>
  <w:num w:numId="29">
    <w:abstractNumId w:val="18"/>
  </w:num>
  <w:num w:numId="30">
    <w:abstractNumId w:val="37"/>
  </w:num>
  <w:num w:numId="31">
    <w:abstractNumId w:val="32"/>
  </w:num>
  <w:num w:numId="32">
    <w:abstractNumId w:val="3"/>
  </w:num>
  <w:num w:numId="33">
    <w:abstractNumId w:val="4"/>
  </w:num>
  <w:num w:numId="34">
    <w:abstractNumId w:val="7"/>
  </w:num>
  <w:num w:numId="35">
    <w:abstractNumId w:val="13"/>
  </w:num>
  <w:num w:numId="36">
    <w:abstractNumId w:val="24"/>
  </w:num>
  <w:num w:numId="37">
    <w:abstractNumId w:val="6"/>
  </w:num>
  <w:num w:numId="38">
    <w:abstractNumId w:val="6"/>
  </w:num>
  <w:num w:numId="39">
    <w:abstractNumId w:val="6"/>
  </w:num>
  <w:num w:numId="40">
    <w:abstractNumId w:val="14"/>
  </w:num>
  <w:num w:numId="41">
    <w:abstractNumId w:val="33"/>
  </w:num>
  <w:num w:numId="42">
    <w:abstractNumId w:val="29"/>
  </w:num>
  <w:num w:numId="43">
    <w:abstractNumId w:val="16"/>
  </w:num>
  <w:num w:numId="44">
    <w:abstractNumId w:val="39"/>
  </w:num>
  <w:num w:numId="45">
    <w:abstractNumId w:val="20"/>
  </w:num>
  <w:num w:numId="4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579"/>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734"/>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9B"/>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5E3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125"/>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DFA"/>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25C"/>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695"/>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D9"/>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9E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FC"/>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1F8"/>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3D"/>
    <w:rsid w:val="00F13242"/>
    <w:rsid w:val="00F13D9C"/>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2B5A"/>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24A9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33925"/>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HR33RHYHUWRF-13-110412</_dlc_DocId>
    <_dlc_DocIdUrl xmlns="c06861ca-3f08-4d07-bff7-bb15bac121f4">
      <Url>https://projects.qualcomm.com/sites/pentari/_layouts/15/DocIdRedir.aspx?ID=HR33RHYHUWRF-13-110412</Url>
      <Description>HR33RHYHUWRF-13-110412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DE613-7CBB-40AC-88AC-A7FA1ED52D6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E569A49-611A-43DB-82E7-4AD10F4C1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9DF2DD-B895-40EA-9071-86998D35C7A0}">
  <ds:schemaRefs>
    <ds:schemaRef ds:uri="http://schemas.microsoft.com/sharepoint/events"/>
  </ds:schemaRefs>
</ds:datastoreItem>
</file>

<file path=customXml/itemProps4.xml><?xml version="1.0" encoding="utf-8"?>
<ds:datastoreItem xmlns:ds="http://schemas.openxmlformats.org/officeDocument/2006/customXml" ds:itemID="{16E4F234-0967-4826-8164-B3D9435A63BE}">
  <ds:schemaRefs>
    <ds:schemaRef ds:uri="http://schemas.microsoft.com/sharepoint/v3/contenttype/forms"/>
  </ds:schemaRefs>
</ds:datastoreItem>
</file>

<file path=customXml/itemProps5.xml><?xml version="1.0" encoding="utf-8"?>
<ds:datastoreItem xmlns:ds="http://schemas.openxmlformats.org/officeDocument/2006/customXml" ds:itemID="{DE8BDB25-1963-4839-BFD2-384A4B87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Gaal, Peter</cp:lastModifiedBy>
  <cp:revision>12</cp:revision>
  <cp:lastPrinted>2014-11-07T05:38:00Z</cp:lastPrinted>
  <dcterms:created xsi:type="dcterms:W3CDTF">2016-05-14T03:08:00Z</dcterms:created>
  <dcterms:modified xsi:type="dcterms:W3CDTF">2016-05-14T04:09:00Z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138572182</vt:i4>
  </property>
  <property fmtid="{D5CDD505-2E9C-101B-9397-08002B2CF9AE}" pid="3" name="_NewReviewCycle">
    <vt:lpwstr/>
  </property>
  <property fmtid="{D5CDD505-2E9C-101B-9397-08002B2CF9AE}" pid="4" name="_EmailSubject">
    <vt:lpwstr>m-MIMO contribution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ContentTypeId">
    <vt:lpwstr>0x010100E148108D9109C944B70D5C8707C65226</vt:lpwstr>
  </property>
  <property fmtid="{D5CDD505-2E9C-101B-9397-08002B2CF9AE}" pid="9" name="_dlc_DocIdItemGuid">
    <vt:lpwstr>2f40bce5-40e5-4378-bd88-4b642fe3e68b</vt:lpwstr>
  </property>
  <property fmtid="{D5CDD505-2E9C-101B-9397-08002B2CF9AE}" pid="10" name="_ReviewingToolsShownOnce">
    <vt:lpwstr/>
  </property>
</Properties>
</file>