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1287" w14:textId="2CD86AEF" w:rsidR="00D00AE7" w:rsidRPr="007C1B33" w:rsidRDefault="00D00AE7" w:rsidP="00D00AE7">
      <w:pPr>
        <w:pStyle w:val="TdocHeader2"/>
        <w:rPr>
          <w:rFonts w:eastAsia="Times New Roman" w:cs="Arial"/>
          <w:bCs/>
          <w:noProof/>
          <w:sz w:val="20"/>
          <w:szCs w:val="18"/>
          <w:lang w:val="en-US" w:eastAsia="zh-CN"/>
        </w:rPr>
      </w:pPr>
      <w:bookmarkStart w:id="0" w:name="OLE_LINK1"/>
      <w:bookmarkStart w:id="1" w:name="OLE_LINK2"/>
      <w:r w:rsidRPr="00785E29">
        <w:rPr>
          <w:rFonts w:eastAsia="Times New Roman" w:cs="Arial"/>
          <w:bCs/>
          <w:noProof/>
          <w:sz w:val="20"/>
          <w:szCs w:val="18"/>
          <w:lang w:val="en-US" w:eastAsia="zh-CN"/>
        </w:rPr>
        <w:t>3GPP TSG RAN WG</w:t>
      </w:r>
      <w:r w:rsidR="005F599F" w:rsidRPr="00785E29">
        <w:rPr>
          <w:rFonts w:eastAsia="Times New Roman" w:cs="Arial"/>
          <w:bCs/>
          <w:noProof/>
          <w:sz w:val="20"/>
          <w:szCs w:val="18"/>
          <w:lang w:val="en-US" w:eastAsia="zh-CN"/>
        </w:rPr>
        <w:t>1</w:t>
      </w:r>
      <w:r w:rsidRPr="00785E29">
        <w:rPr>
          <w:rFonts w:eastAsia="Times New Roman" w:cs="Arial"/>
          <w:bCs/>
          <w:noProof/>
          <w:sz w:val="20"/>
          <w:szCs w:val="18"/>
          <w:lang w:val="en-US" w:eastAsia="zh-CN"/>
        </w:rPr>
        <w:t xml:space="preserve"> Meeting #</w:t>
      </w:r>
      <w:r w:rsidR="005F599F" w:rsidRPr="00785E29">
        <w:rPr>
          <w:rFonts w:eastAsia="Times New Roman" w:cs="Arial"/>
          <w:bCs/>
          <w:noProof/>
          <w:sz w:val="20"/>
          <w:szCs w:val="18"/>
          <w:lang w:val="en-US" w:eastAsia="zh-CN"/>
        </w:rPr>
        <w:t>8</w:t>
      </w:r>
      <w:r w:rsidR="00EF1F07" w:rsidRPr="00785E29">
        <w:rPr>
          <w:rFonts w:eastAsia="Times New Roman" w:cs="Arial"/>
          <w:bCs/>
          <w:noProof/>
          <w:sz w:val="20"/>
          <w:szCs w:val="18"/>
          <w:lang w:val="en-US" w:eastAsia="zh-CN"/>
        </w:rPr>
        <w:t>5</w:t>
      </w:r>
      <w:r w:rsidRPr="00785E29">
        <w:rPr>
          <w:rFonts w:eastAsia="Times New Roman" w:cs="Arial"/>
          <w:bCs/>
          <w:noProof/>
          <w:sz w:val="20"/>
          <w:szCs w:val="18"/>
          <w:lang w:val="en-US" w:eastAsia="zh-CN"/>
        </w:rPr>
        <w:t xml:space="preserve">                                                                                 </w:t>
      </w:r>
      <w:r w:rsidR="005F599F" w:rsidRPr="00785E29">
        <w:rPr>
          <w:rFonts w:eastAsia="Times New Roman" w:cs="Arial"/>
          <w:bCs/>
          <w:noProof/>
          <w:sz w:val="20"/>
          <w:szCs w:val="18"/>
          <w:lang w:val="en-US" w:eastAsia="zh-CN"/>
        </w:rPr>
        <w:t>R1-16</w:t>
      </w:r>
      <w:r w:rsidR="003F232B" w:rsidRPr="00785E29">
        <w:rPr>
          <w:rFonts w:eastAsia="Times New Roman" w:cs="Arial"/>
          <w:bCs/>
          <w:noProof/>
          <w:sz w:val="20"/>
          <w:szCs w:val="18"/>
          <w:lang w:val="en-US" w:eastAsia="zh-CN"/>
        </w:rPr>
        <w:t>4630</w:t>
      </w:r>
    </w:p>
    <w:p w14:paraId="7C2DB728" w14:textId="32CC615A" w:rsidR="00CD127A" w:rsidRDefault="00EF1F07" w:rsidP="00CD127A">
      <w:pPr>
        <w:pStyle w:val="TdocHeader2"/>
        <w:rPr>
          <w:rFonts w:eastAsia="Times New Roman" w:cs="Arial"/>
          <w:bCs/>
          <w:noProof/>
          <w:sz w:val="20"/>
          <w:szCs w:val="18"/>
          <w:lang w:val="en-US" w:eastAsia="zh-CN"/>
        </w:rPr>
      </w:pPr>
      <w:r>
        <w:rPr>
          <w:rFonts w:eastAsia="Times New Roman" w:cs="Arial"/>
          <w:bCs/>
          <w:noProof/>
          <w:sz w:val="20"/>
          <w:szCs w:val="18"/>
          <w:lang w:val="en-US" w:eastAsia="zh-CN"/>
        </w:rPr>
        <w:t>Nanjing</w:t>
      </w:r>
      <w:r w:rsidR="00CD127A">
        <w:rPr>
          <w:rFonts w:eastAsia="Times New Roman" w:cs="Arial"/>
          <w:bCs/>
          <w:noProof/>
          <w:sz w:val="20"/>
          <w:szCs w:val="18"/>
          <w:lang w:val="en-US" w:eastAsia="zh-CN"/>
        </w:rPr>
        <w:t xml:space="preserve">, </w:t>
      </w:r>
      <w:r>
        <w:rPr>
          <w:rFonts w:eastAsia="Times New Roman" w:cs="Arial"/>
          <w:bCs/>
          <w:noProof/>
          <w:sz w:val="20"/>
          <w:szCs w:val="18"/>
          <w:lang w:val="en-US" w:eastAsia="zh-CN"/>
        </w:rPr>
        <w:t>23</w:t>
      </w:r>
      <w:r>
        <w:rPr>
          <w:rFonts w:eastAsia="Times New Roman" w:cs="Arial"/>
          <w:bCs/>
          <w:noProof/>
          <w:sz w:val="20"/>
          <w:szCs w:val="18"/>
          <w:vertAlign w:val="superscript"/>
          <w:lang w:val="en-US" w:eastAsia="zh-CN"/>
        </w:rPr>
        <w:t>rd</w:t>
      </w:r>
      <w:r w:rsidR="00CD127A">
        <w:rPr>
          <w:rFonts w:eastAsia="Times New Roman" w:cs="Arial"/>
          <w:bCs/>
          <w:noProof/>
          <w:sz w:val="20"/>
          <w:szCs w:val="18"/>
          <w:lang w:val="en-US" w:eastAsia="zh-CN"/>
        </w:rPr>
        <w:t xml:space="preserve"> – </w:t>
      </w:r>
      <w:r>
        <w:rPr>
          <w:rFonts w:eastAsia="Times New Roman" w:cs="Arial"/>
          <w:bCs/>
          <w:noProof/>
          <w:sz w:val="20"/>
          <w:szCs w:val="18"/>
          <w:lang w:val="en-US" w:eastAsia="zh-CN"/>
        </w:rPr>
        <w:t>27</w:t>
      </w:r>
      <w:r w:rsidR="00CD127A" w:rsidRPr="00617591">
        <w:rPr>
          <w:rFonts w:eastAsia="Times New Roman" w:cs="Arial"/>
          <w:bCs/>
          <w:noProof/>
          <w:sz w:val="20"/>
          <w:szCs w:val="18"/>
          <w:vertAlign w:val="superscript"/>
          <w:lang w:val="en-US" w:eastAsia="zh-CN"/>
        </w:rPr>
        <w:t>th</w:t>
      </w:r>
      <w:r w:rsidR="00CD127A">
        <w:rPr>
          <w:rFonts w:eastAsia="Times New Roman" w:cs="Arial"/>
          <w:bCs/>
          <w:noProof/>
          <w:sz w:val="20"/>
          <w:szCs w:val="18"/>
          <w:lang w:val="en-US" w:eastAsia="zh-CN"/>
        </w:rPr>
        <w:t xml:space="preserve"> </w:t>
      </w:r>
      <w:r w:rsidR="00990ABC">
        <w:rPr>
          <w:rFonts w:eastAsia="Times New Roman" w:cs="Arial"/>
          <w:bCs/>
          <w:noProof/>
          <w:sz w:val="20"/>
          <w:szCs w:val="18"/>
          <w:lang w:val="en-US" w:eastAsia="zh-CN"/>
        </w:rPr>
        <w:t>M</w:t>
      </w:r>
      <w:r>
        <w:rPr>
          <w:rFonts w:eastAsia="Times New Roman" w:cs="Arial"/>
          <w:bCs/>
          <w:noProof/>
          <w:sz w:val="20"/>
          <w:szCs w:val="18"/>
          <w:lang w:val="en-US" w:eastAsia="zh-CN"/>
        </w:rPr>
        <w:t>ay</w:t>
      </w:r>
      <w:r w:rsidR="00CD127A">
        <w:rPr>
          <w:rFonts w:eastAsia="Times New Roman" w:cs="Arial"/>
          <w:bCs/>
          <w:noProof/>
          <w:sz w:val="20"/>
          <w:szCs w:val="18"/>
          <w:lang w:val="en-US" w:eastAsia="zh-CN"/>
        </w:rPr>
        <w:t>,</w:t>
      </w:r>
      <w:r w:rsidR="00CD127A" w:rsidRPr="00395CD7">
        <w:rPr>
          <w:rFonts w:eastAsia="Times New Roman" w:cs="Arial"/>
          <w:bCs/>
          <w:noProof/>
          <w:sz w:val="20"/>
          <w:szCs w:val="18"/>
          <w:lang w:val="en-US" w:eastAsia="zh-CN"/>
        </w:rPr>
        <w:t xml:space="preserve">  201</w:t>
      </w:r>
      <w:r w:rsidR="00CD127A">
        <w:rPr>
          <w:rFonts w:eastAsia="Times New Roman" w:cs="Arial"/>
          <w:bCs/>
          <w:noProof/>
          <w:sz w:val="20"/>
          <w:szCs w:val="18"/>
          <w:lang w:val="en-US" w:eastAsia="zh-CN"/>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0AB48843"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EF1F07">
        <w:rPr>
          <w:sz w:val="20"/>
          <w:lang w:val="en-US"/>
        </w:rPr>
        <w:t>Performance difference between 60 and 75 kHz subcarrier spacing</w:t>
      </w:r>
    </w:p>
    <w:p w14:paraId="201B2A67" w14:textId="7299752D"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147E84">
        <w:rPr>
          <w:bCs/>
          <w:iCs/>
          <w:sz w:val="20"/>
        </w:rPr>
        <w:t>7.1.4</w:t>
      </w:r>
    </w:p>
    <w:p w14:paraId="4D368497" w14:textId="4ADC1D46" w:rsidR="00D00AE7" w:rsidRPr="0027658D" w:rsidRDefault="00D00AE7" w:rsidP="00D00AE7">
      <w:pPr>
        <w:pStyle w:val="TdocHeader2"/>
        <w:rPr>
          <w:sz w:val="20"/>
          <w:lang w:val="en-US"/>
        </w:rPr>
      </w:pPr>
      <w:r>
        <w:rPr>
          <w:sz w:val="20"/>
          <w:lang w:val="en-US"/>
        </w:rPr>
        <w:t>Document for:</w:t>
      </w:r>
      <w:r>
        <w:rPr>
          <w:sz w:val="20"/>
          <w:lang w:val="en-US"/>
        </w:rPr>
        <w:tab/>
        <w:t>Discussion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143ACD6E" w14:textId="5D6F3A4E" w:rsidR="00D00AE7" w:rsidRPr="001A6C02" w:rsidRDefault="001A6C02" w:rsidP="00D00AE7">
      <w:r>
        <w:t>At the 3GPP RAN1 meeting #84bis both 60 kHz and 75 kHz OFDM subcarrier spacing has been mentioned as possible options for a subcarrier spacing around 60-70 kHz. In this contribution we show link level simulation results and the performance of these two numerologies w.r.t. phase noise and robustness towards delay spread. Simulations are performed for 30 GHz (to test robustness towards phase noise) but also at 2</w:t>
      </w:r>
      <w:r w:rsidR="00F62A09">
        <w:t xml:space="preserve"> </w:t>
      </w:r>
      <w:r>
        <w:t xml:space="preserve">GHz where 60 </w:t>
      </w:r>
      <w:r w:rsidR="00954DEB">
        <w:t xml:space="preserve">kHz </w:t>
      </w:r>
      <w:r>
        <w:t>or 75 kHz subcarrier spacing is used to achieve low latency.</w:t>
      </w:r>
      <w:r w:rsidR="0039257A">
        <w:t xml:space="preserve"> A more general discussion on numerology can be found in </w:t>
      </w:r>
      <w:r w:rsidR="0039257A">
        <w:fldChar w:fldCharType="begin"/>
      </w:r>
      <w:r w:rsidR="0039257A">
        <w:instrText xml:space="preserve"> REF _Ref450825351 \r \h </w:instrText>
      </w:r>
      <w:r w:rsidR="0039257A">
        <w:fldChar w:fldCharType="separate"/>
      </w:r>
      <w:r w:rsidR="0039257A">
        <w:t>[2]</w:t>
      </w:r>
      <w:r w:rsidR="0039257A">
        <w:fldChar w:fldCharType="end"/>
      </w:r>
      <w:r w:rsidR="0039257A">
        <w:t>.</w:t>
      </w:r>
    </w:p>
    <w:p w14:paraId="2EE7A1D8" w14:textId="77777777" w:rsidR="00D00AE7" w:rsidRDefault="00D00AE7" w:rsidP="00D00AE7">
      <w:pPr>
        <w:pStyle w:val="Heading1"/>
      </w:pPr>
      <w:r>
        <w:t>Discussion</w:t>
      </w:r>
    </w:p>
    <w:p w14:paraId="1D85FF7B" w14:textId="15EFBF8F" w:rsidR="001A6C02" w:rsidRDefault="001A6C02" w:rsidP="005A288A">
      <w:r>
        <w:t xml:space="preserve">At the 3GPP RAN1 meeting #84bis both 60 kHz and 75 kHz OFDM subcarrier spacing has been mentioned as possible options for a subcarrier spacing around 60-70 kHz. A subcarrier spacing in this range is a good compromise for deployments around 30 GHz to achieve sufficient robustness towards phase noise, a reasonable cyclic prefix length and overhead (assuming LTE numerology scaled by 4 and 5 for 60 </w:t>
      </w:r>
      <w:r w:rsidR="00954DEB">
        <w:t xml:space="preserve">kHz </w:t>
      </w:r>
      <w:r>
        <w:t xml:space="preserve">and 75 kHz, respectively), and robustness towards Doppler. </w:t>
      </w:r>
    </w:p>
    <w:p w14:paraId="2CE2C7EB" w14:textId="43190AB7" w:rsidR="001A6C02" w:rsidRDefault="001A6C02" w:rsidP="005A288A">
      <w:r>
        <w:t xml:space="preserve">60 </w:t>
      </w:r>
      <w:r w:rsidR="00954DEB">
        <w:t xml:space="preserve">kHz </w:t>
      </w:r>
      <w:r>
        <w:t xml:space="preserve">and 75 kHz subcarrier spacing can also be used at lower frequencies to achieve lower latencies. Assuming scaled LTE slots as NR subframes their durations become 125 </w:t>
      </w:r>
      <w:r w:rsidR="00954DEB">
        <w:rPr>
          <w:rFonts w:cs="Arial"/>
        </w:rPr>
        <w:t>µ</w:t>
      </w:r>
      <w:r w:rsidR="00954DEB">
        <w:t xml:space="preserve">s </w:t>
      </w:r>
      <w:r>
        <w:t xml:space="preserve">and 100 </w:t>
      </w:r>
      <w:r w:rsidR="00954DEB">
        <w:rPr>
          <w:rFonts w:cs="Arial"/>
        </w:rPr>
        <w:t>µ</w:t>
      </w:r>
      <w:r w:rsidR="00954DEB">
        <w:t>s</w:t>
      </w:r>
      <w:r>
        <w:t xml:space="preserve"> for 60 </w:t>
      </w:r>
      <w:r w:rsidR="00954DEB">
        <w:t xml:space="preserve">kHz </w:t>
      </w:r>
      <w:r>
        <w:t>and 75 kHz subcarrier spacing, respectively.</w:t>
      </w:r>
    </w:p>
    <w:p w14:paraId="5DE02EC5" w14:textId="60C632D5" w:rsidR="001A6C02" w:rsidRDefault="001A6C02" w:rsidP="001A6C02">
      <w:pPr>
        <w:pStyle w:val="Heading1"/>
      </w:pPr>
      <w:r>
        <w:t>Numerology Details</w:t>
      </w:r>
    </w:p>
    <w:p w14:paraId="74684FB1" w14:textId="32BCF176" w:rsidR="001A6C02" w:rsidRDefault="001A6C02" w:rsidP="001A6C02">
      <w:r>
        <w:t xml:space="preserve">Details of the 60 </w:t>
      </w:r>
      <w:r w:rsidR="00954DEB">
        <w:t xml:space="preserve">kHz </w:t>
      </w:r>
      <w:r>
        <w:t xml:space="preserve">and 75 kHz numerology are listed in </w:t>
      </w:r>
      <w:r w:rsidR="00B76179">
        <w:fldChar w:fldCharType="begin"/>
      </w:r>
      <w:r w:rsidR="00B76179">
        <w:instrText xml:space="preserve"> REF _Ref450126153 \h </w:instrText>
      </w:r>
      <w:r w:rsidR="00B76179">
        <w:fldChar w:fldCharType="separate"/>
      </w:r>
      <w:r w:rsidR="00B76179">
        <w:t xml:space="preserve">Table </w:t>
      </w:r>
      <w:r w:rsidR="00B76179">
        <w:rPr>
          <w:noProof/>
        </w:rPr>
        <w:t>1</w:t>
      </w:r>
      <w:r w:rsidR="00B76179">
        <w:fldChar w:fldCharType="end"/>
      </w:r>
      <w:r w:rsidR="00B76179">
        <w:t>.</w:t>
      </w:r>
    </w:p>
    <w:p w14:paraId="7439CFDD" w14:textId="53CA6C3A" w:rsidR="00B76179" w:rsidRDefault="00B76179" w:rsidP="00B76179">
      <w:pPr>
        <w:pStyle w:val="Caption"/>
      </w:pPr>
      <w:bookmarkStart w:id="4" w:name="_Ref450126153"/>
      <w:r>
        <w:t xml:space="preserve">Table </w:t>
      </w:r>
      <w:r>
        <w:fldChar w:fldCharType="begin"/>
      </w:r>
      <w:r>
        <w:instrText xml:space="preserve"> SEQ Table \* ARABIC </w:instrText>
      </w:r>
      <w:r>
        <w:fldChar w:fldCharType="separate"/>
      </w:r>
      <w:r w:rsidR="00B872F6">
        <w:rPr>
          <w:noProof/>
        </w:rPr>
        <w:t>1</w:t>
      </w:r>
      <w:r>
        <w:fldChar w:fldCharType="end"/>
      </w:r>
      <w:bookmarkEnd w:id="4"/>
      <w:r>
        <w:tab/>
        <w:t xml:space="preserve">Details of 60 </w:t>
      </w:r>
      <w:r w:rsidR="00F62A09">
        <w:t xml:space="preserve">kHz </w:t>
      </w:r>
      <w:r>
        <w:t>and 75 kHz numerology</w:t>
      </w:r>
    </w:p>
    <w:tbl>
      <w:tblPr>
        <w:tblStyle w:val="TableGrid"/>
        <w:tblW w:w="0" w:type="auto"/>
        <w:tblLook w:val="04A0" w:firstRow="1" w:lastRow="0" w:firstColumn="1" w:lastColumn="0" w:noHBand="0" w:noVBand="1"/>
      </w:tblPr>
      <w:tblGrid>
        <w:gridCol w:w="3285"/>
        <w:gridCol w:w="3285"/>
        <w:gridCol w:w="3285"/>
      </w:tblGrid>
      <w:tr w:rsidR="00005D4A" w14:paraId="04AF47C8" w14:textId="77777777" w:rsidTr="00B76179">
        <w:tc>
          <w:tcPr>
            <w:tcW w:w="3285" w:type="dxa"/>
            <w:vAlign w:val="center"/>
          </w:tcPr>
          <w:p w14:paraId="6505FE52" w14:textId="77777777" w:rsidR="00005D4A" w:rsidRDefault="00005D4A" w:rsidP="00B76179">
            <w:pPr>
              <w:jc w:val="left"/>
            </w:pPr>
          </w:p>
        </w:tc>
        <w:tc>
          <w:tcPr>
            <w:tcW w:w="3285" w:type="dxa"/>
            <w:vAlign w:val="center"/>
          </w:tcPr>
          <w:p w14:paraId="31FA79BD" w14:textId="08030F67" w:rsidR="00005D4A" w:rsidRPr="00B76179" w:rsidRDefault="00005D4A" w:rsidP="00B76179">
            <w:pPr>
              <w:jc w:val="center"/>
              <w:rPr>
                <w:b/>
              </w:rPr>
            </w:pPr>
            <w:r w:rsidRPr="00B76179">
              <w:rPr>
                <w:b/>
              </w:rPr>
              <w:t>60 kHz</w:t>
            </w:r>
          </w:p>
        </w:tc>
        <w:tc>
          <w:tcPr>
            <w:tcW w:w="3285" w:type="dxa"/>
            <w:vAlign w:val="center"/>
          </w:tcPr>
          <w:p w14:paraId="711D1B5A" w14:textId="09257537" w:rsidR="00005D4A" w:rsidRPr="00B76179" w:rsidRDefault="00B76179" w:rsidP="00B76179">
            <w:pPr>
              <w:jc w:val="center"/>
              <w:rPr>
                <w:b/>
              </w:rPr>
            </w:pPr>
            <w:r w:rsidRPr="00B76179">
              <w:rPr>
                <w:b/>
              </w:rPr>
              <w:t>75</w:t>
            </w:r>
            <w:r w:rsidR="00005D4A" w:rsidRPr="00B76179">
              <w:rPr>
                <w:b/>
              </w:rPr>
              <w:t xml:space="preserve"> kHz</w:t>
            </w:r>
          </w:p>
        </w:tc>
      </w:tr>
      <w:tr w:rsidR="00005D4A" w14:paraId="0E2C8A2E" w14:textId="77777777" w:rsidTr="00B76179">
        <w:tc>
          <w:tcPr>
            <w:tcW w:w="3285" w:type="dxa"/>
            <w:vAlign w:val="center"/>
          </w:tcPr>
          <w:p w14:paraId="53616F57" w14:textId="60CA6E65" w:rsidR="00005D4A" w:rsidRDefault="00005D4A" w:rsidP="00B76179">
            <w:pPr>
              <w:jc w:val="left"/>
            </w:pPr>
            <w:r>
              <w:t>Subcarrier spacing</w:t>
            </w:r>
          </w:p>
        </w:tc>
        <w:tc>
          <w:tcPr>
            <w:tcW w:w="3285" w:type="dxa"/>
            <w:vAlign w:val="center"/>
          </w:tcPr>
          <w:p w14:paraId="5BF93279" w14:textId="26EC60B6" w:rsidR="00005D4A" w:rsidRDefault="00B76179" w:rsidP="00B76179">
            <w:pPr>
              <w:jc w:val="left"/>
            </w:pPr>
            <w:r>
              <w:t>60 kHz</w:t>
            </w:r>
          </w:p>
        </w:tc>
        <w:tc>
          <w:tcPr>
            <w:tcW w:w="3285" w:type="dxa"/>
            <w:vAlign w:val="center"/>
          </w:tcPr>
          <w:p w14:paraId="02122BF2" w14:textId="554700A1" w:rsidR="00005D4A" w:rsidRDefault="00B76179" w:rsidP="00B76179">
            <w:pPr>
              <w:jc w:val="left"/>
            </w:pPr>
            <w:r>
              <w:t>75 kHz</w:t>
            </w:r>
          </w:p>
        </w:tc>
      </w:tr>
      <w:tr w:rsidR="00005D4A" w14:paraId="07C52DA1" w14:textId="77777777" w:rsidTr="00B76179">
        <w:tc>
          <w:tcPr>
            <w:tcW w:w="3285" w:type="dxa"/>
            <w:vAlign w:val="center"/>
          </w:tcPr>
          <w:p w14:paraId="5DBDC115" w14:textId="50F9F886" w:rsidR="00005D4A" w:rsidRDefault="00005D4A" w:rsidP="00B76179">
            <w:pPr>
              <w:jc w:val="left"/>
            </w:pPr>
            <w:r>
              <w:t>OFDM symbol duration</w:t>
            </w:r>
          </w:p>
        </w:tc>
        <w:tc>
          <w:tcPr>
            <w:tcW w:w="3285" w:type="dxa"/>
            <w:vAlign w:val="center"/>
          </w:tcPr>
          <w:p w14:paraId="53A52037" w14:textId="5F5B627E" w:rsidR="00005D4A" w:rsidRDefault="00B76179" w:rsidP="00B76179">
            <w:pPr>
              <w:jc w:val="left"/>
            </w:pPr>
            <w:r>
              <w:t xml:space="preserve">1/60 kHz = 16.7 </w:t>
            </w:r>
            <w:r>
              <w:rPr>
                <w:rFonts w:cs="Arial"/>
              </w:rPr>
              <w:t>µ</w:t>
            </w:r>
            <w:r>
              <w:t>s</w:t>
            </w:r>
          </w:p>
        </w:tc>
        <w:tc>
          <w:tcPr>
            <w:tcW w:w="3285" w:type="dxa"/>
            <w:vAlign w:val="center"/>
          </w:tcPr>
          <w:p w14:paraId="00D1B2CE" w14:textId="79F2F5D2" w:rsidR="00005D4A" w:rsidRDefault="00B76179" w:rsidP="00B76179">
            <w:pPr>
              <w:jc w:val="left"/>
            </w:pPr>
            <w:r>
              <w:t xml:space="preserve">1/75 kHz = 13.3 </w:t>
            </w:r>
            <w:r>
              <w:rPr>
                <w:rFonts w:cs="Arial"/>
              </w:rPr>
              <w:t>µ</w:t>
            </w:r>
            <w:r>
              <w:t>s</w:t>
            </w:r>
          </w:p>
        </w:tc>
      </w:tr>
      <w:tr w:rsidR="00005D4A" w14:paraId="11B255E8" w14:textId="77777777" w:rsidTr="00B76179">
        <w:tc>
          <w:tcPr>
            <w:tcW w:w="3285" w:type="dxa"/>
            <w:vAlign w:val="center"/>
          </w:tcPr>
          <w:p w14:paraId="32743416" w14:textId="343B5540" w:rsidR="00005D4A" w:rsidRDefault="00005D4A" w:rsidP="00B76179">
            <w:pPr>
              <w:jc w:val="left"/>
            </w:pPr>
            <w:r>
              <w:t>Cyclic prefix length</w:t>
            </w:r>
          </w:p>
        </w:tc>
        <w:tc>
          <w:tcPr>
            <w:tcW w:w="3285" w:type="dxa"/>
            <w:vAlign w:val="center"/>
          </w:tcPr>
          <w:p w14:paraId="2EFEF09F" w14:textId="5891A783" w:rsidR="00005D4A" w:rsidRDefault="00B76179" w:rsidP="00B76179">
            <w:pPr>
              <w:jc w:val="left"/>
            </w:pPr>
            <w:r>
              <w:t xml:space="preserve">1.35 </w:t>
            </w:r>
            <w:r>
              <w:rPr>
                <w:rFonts w:cs="Arial"/>
              </w:rPr>
              <w:t>µ</w:t>
            </w:r>
            <w:r>
              <w:t>s (1</w:t>
            </w:r>
            <w:r w:rsidRPr="00B76179">
              <w:rPr>
                <w:vertAlign w:val="superscript"/>
              </w:rPr>
              <w:t>st</w:t>
            </w:r>
            <w:r>
              <w:t xml:space="preserve"> symbol in subframe), 1.14 </w:t>
            </w:r>
            <w:r>
              <w:rPr>
                <w:rFonts w:cs="Arial"/>
              </w:rPr>
              <w:t>µ</w:t>
            </w:r>
            <w:r>
              <w:t>s (remaining symbols)</w:t>
            </w:r>
          </w:p>
        </w:tc>
        <w:tc>
          <w:tcPr>
            <w:tcW w:w="3285" w:type="dxa"/>
            <w:vAlign w:val="center"/>
          </w:tcPr>
          <w:p w14:paraId="0561BD93" w14:textId="085A4C40" w:rsidR="00005D4A" w:rsidRDefault="00B76179" w:rsidP="00B76179">
            <w:pPr>
              <w:jc w:val="left"/>
            </w:pPr>
            <w:r>
              <w:t xml:space="preserve">1.08 </w:t>
            </w:r>
            <w:r>
              <w:rPr>
                <w:rFonts w:cs="Arial"/>
              </w:rPr>
              <w:t>µ</w:t>
            </w:r>
            <w:r>
              <w:t>s (1</w:t>
            </w:r>
            <w:r w:rsidRPr="00B76179">
              <w:rPr>
                <w:vertAlign w:val="superscript"/>
              </w:rPr>
              <w:t>st</w:t>
            </w:r>
            <w:r>
              <w:t xml:space="preserve"> symbol in subframe), 0.91 </w:t>
            </w:r>
            <w:r>
              <w:rPr>
                <w:rFonts w:cs="Arial"/>
              </w:rPr>
              <w:t>µ</w:t>
            </w:r>
            <w:r>
              <w:t>s (remaining symbols)</w:t>
            </w:r>
          </w:p>
        </w:tc>
      </w:tr>
      <w:tr w:rsidR="00005D4A" w14:paraId="099A8593" w14:textId="77777777" w:rsidTr="00B76179">
        <w:tc>
          <w:tcPr>
            <w:tcW w:w="3285" w:type="dxa"/>
            <w:vAlign w:val="center"/>
          </w:tcPr>
          <w:p w14:paraId="01966889" w14:textId="314B605C" w:rsidR="00005D4A" w:rsidRDefault="00B76179" w:rsidP="00B76179">
            <w:pPr>
              <w:jc w:val="left"/>
            </w:pPr>
            <w:r>
              <w:t>Subframe duration</w:t>
            </w:r>
          </w:p>
        </w:tc>
        <w:tc>
          <w:tcPr>
            <w:tcW w:w="3285" w:type="dxa"/>
            <w:vAlign w:val="center"/>
          </w:tcPr>
          <w:p w14:paraId="0234F0EE" w14:textId="2F5612B3" w:rsidR="00005D4A" w:rsidRDefault="00B76179" w:rsidP="00B76179">
            <w:pPr>
              <w:jc w:val="left"/>
            </w:pPr>
            <w:r>
              <w:t xml:space="preserve">125 </w:t>
            </w:r>
            <w:r>
              <w:rPr>
                <w:rFonts w:cs="Arial"/>
              </w:rPr>
              <w:t>µ</w:t>
            </w:r>
            <w:r>
              <w:t>s</w:t>
            </w:r>
          </w:p>
        </w:tc>
        <w:tc>
          <w:tcPr>
            <w:tcW w:w="3285" w:type="dxa"/>
            <w:vAlign w:val="center"/>
          </w:tcPr>
          <w:p w14:paraId="440B892E" w14:textId="7D8270E6" w:rsidR="00005D4A" w:rsidRDefault="00B76179" w:rsidP="00B76179">
            <w:pPr>
              <w:jc w:val="left"/>
            </w:pPr>
            <w:r>
              <w:t xml:space="preserve">100 </w:t>
            </w:r>
            <w:r>
              <w:rPr>
                <w:rFonts w:cs="Arial"/>
              </w:rPr>
              <w:t>µ</w:t>
            </w:r>
            <w:r>
              <w:t>s</w:t>
            </w:r>
          </w:p>
        </w:tc>
      </w:tr>
    </w:tbl>
    <w:p w14:paraId="17C2CF0C" w14:textId="74E1DDE1" w:rsidR="005A288A" w:rsidRDefault="005A288A" w:rsidP="005A288A"/>
    <w:p w14:paraId="22D1102A" w14:textId="2E9D70C5" w:rsidR="005F599F" w:rsidRDefault="00B76179" w:rsidP="00B76179">
      <w:pPr>
        <w:pStyle w:val="Heading1"/>
      </w:pPr>
      <w:r>
        <w:t>Simulation Results</w:t>
      </w:r>
    </w:p>
    <w:p w14:paraId="4DA28D62" w14:textId="23FDA886" w:rsidR="00B872F6" w:rsidRPr="000F4290" w:rsidRDefault="00B872F6" w:rsidP="00B872F6">
      <w:pPr>
        <w:pStyle w:val="Heading2"/>
        <w:rPr>
          <w:lang w:val="en-US"/>
        </w:rPr>
      </w:pPr>
      <w:r>
        <w:rPr>
          <w:lang w:val="en-US"/>
        </w:rPr>
        <w:t>S</w:t>
      </w:r>
      <w:r w:rsidRPr="000F4290">
        <w:rPr>
          <w:lang w:val="en-US"/>
        </w:rPr>
        <w:t>imulation parameters</w:t>
      </w:r>
    </w:p>
    <w:p w14:paraId="7016D8C4" w14:textId="75C3BE26" w:rsidR="00B872F6" w:rsidRPr="000F4290" w:rsidRDefault="00B872F6" w:rsidP="00B872F6">
      <w:pPr>
        <w:rPr>
          <w:lang w:val="en-US"/>
        </w:rPr>
      </w:pPr>
      <w:r w:rsidRPr="000F4290">
        <w:rPr>
          <w:lang w:val="en-US"/>
        </w:rPr>
        <w:t xml:space="preserve">Numerologies </w:t>
      </w:r>
      <w:r>
        <w:rPr>
          <w:lang w:val="en-US"/>
        </w:rPr>
        <w:t xml:space="preserve">60 </w:t>
      </w:r>
      <w:r w:rsidR="00954DEB">
        <w:rPr>
          <w:lang w:val="en-US"/>
        </w:rPr>
        <w:t xml:space="preserve">kHz </w:t>
      </w:r>
      <w:r>
        <w:rPr>
          <w:lang w:val="en-US"/>
        </w:rPr>
        <w:t>and 75 kHz</w:t>
      </w:r>
      <w:r w:rsidRPr="000F4290">
        <w:rPr>
          <w:lang w:val="en-US"/>
        </w:rPr>
        <w:t xml:space="preserve"> are simulated </w:t>
      </w:r>
      <w:r w:rsidR="00954DEB">
        <w:rPr>
          <w:lang w:val="en-US"/>
        </w:rPr>
        <w:t>for</w:t>
      </w:r>
      <w:r w:rsidRPr="000F4290">
        <w:rPr>
          <w:lang w:val="en-US"/>
        </w:rPr>
        <w:t xml:space="preserve"> the scaled TDL-A</w:t>
      </w:r>
      <w:r>
        <w:rPr>
          <w:lang w:val="en-US"/>
        </w:rPr>
        <w:t xml:space="preserve"> channel</w:t>
      </w:r>
      <w:r w:rsidR="00F62A09">
        <w:rPr>
          <w:lang w:val="en-US"/>
        </w:rPr>
        <w:t xml:space="preserve"> model</w:t>
      </w:r>
      <w:r>
        <w:rPr>
          <w:lang w:val="en-US"/>
        </w:rPr>
        <w:t>.</w:t>
      </w:r>
      <w:r w:rsidR="0091065F">
        <w:rPr>
          <w:lang w:val="en-US"/>
        </w:rPr>
        <w:t xml:space="preserve"> T</w:t>
      </w:r>
      <w:r w:rsidR="0091065F" w:rsidRPr="000F4290">
        <w:rPr>
          <w:lang w:val="en-US"/>
        </w:rPr>
        <w:t xml:space="preserve">he tap delays are scaled </w:t>
      </w:r>
      <w:r w:rsidR="0091065F">
        <w:rPr>
          <w:lang w:val="en-US"/>
        </w:rPr>
        <w:t>to achieve an RMS delay spread of</w:t>
      </w:r>
      <w:r w:rsidR="0091065F" w:rsidRPr="000F4290">
        <w:rPr>
          <w:lang w:val="en-US"/>
        </w:rPr>
        <w:t xml:space="preserve"> </w:t>
      </w:r>
      <w:r w:rsidR="0091065F">
        <w:t>{100</w:t>
      </w:r>
      <w:proofErr w:type="gramStart"/>
      <w:r w:rsidR="0091065F">
        <w:t>,300,1000</w:t>
      </w:r>
      <w:proofErr w:type="gramEnd"/>
      <w:r w:rsidR="0091065F">
        <w:t>} ns</w:t>
      </w:r>
      <w:r w:rsidR="0091065F" w:rsidRPr="000F4290">
        <w:t>.</w:t>
      </w:r>
      <w:r>
        <w:rPr>
          <w:lang w:val="en-US"/>
        </w:rPr>
        <w:t xml:space="preserve"> </w:t>
      </w:r>
      <w:r w:rsidRPr="000F4290">
        <w:rPr>
          <w:lang w:val="en-US"/>
        </w:rPr>
        <w:t>Ideal channel coefficients are used in all simulations. Link adaptation is based on ideal ACK/NACK feedback, no rank adaptation is used.</w:t>
      </w:r>
    </w:p>
    <w:p w14:paraId="3786D42F" w14:textId="5DF67C5C" w:rsidR="0097539F" w:rsidRDefault="0097539F" w:rsidP="00B872F6"/>
    <w:p w14:paraId="2A16B31A" w14:textId="77777777" w:rsidR="0097539F" w:rsidRDefault="0097539F">
      <w:pPr>
        <w:overflowPunct/>
        <w:autoSpaceDE/>
        <w:autoSpaceDN/>
        <w:adjustRightInd/>
        <w:spacing w:after="0"/>
        <w:jc w:val="left"/>
        <w:textAlignment w:val="auto"/>
      </w:pPr>
      <w:r>
        <w:br w:type="page"/>
      </w:r>
    </w:p>
    <w:p w14:paraId="58106F63" w14:textId="77777777" w:rsidR="00B872F6" w:rsidRDefault="00B872F6" w:rsidP="00B872F6"/>
    <w:p w14:paraId="7FA95631" w14:textId="26BEA772" w:rsidR="00B872F6" w:rsidRDefault="00B872F6" w:rsidP="00B872F6">
      <w:pPr>
        <w:pStyle w:val="Caption"/>
      </w:pPr>
      <w:r>
        <w:t xml:space="preserve">Table </w:t>
      </w:r>
      <w:r>
        <w:fldChar w:fldCharType="begin"/>
      </w:r>
      <w:r>
        <w:instrText xml:space="preserve"> SEQ Table \* ARABIC </w:instrText>
      </w:r>
      <w:r>
        <w:fldChar w:fldCharType="separate"/>
      </w:r>
      <w:r>
        <w:rPr>
          <w:noProof/>
        </w:rPr>
        <w:t>2</w:t>
      </w:r>
      <w:r>
        <w:fldChar w:fldCharType="end"/>
      </w:r>
      <w:r>
        <w:tab/>
        <w:t>Link level simulation parameters</w:t>
      </w:r>
    </w:p>
    <w:tbl>
      <w:tblPr>
        <w:tblStyle w:val="TableGrid"/>
        <w:tblW w:w="0" w:type="auto"/>
        <w:tblLook w:val="04A0" w:firstRow="1" w:lastRow="0" w:firstColumn="1" w:lastColumn="0" w:noHBand="0" w:noVBand="1"/>
      </w:tblPr>
      <w:tblGrid>
        <w:gridCol w:w="3285"/>
        <w:gridCol w:w="3285"/>
        <w:gridCol w:w="3285"/>
      </w:tblGrid>
      <w:tr w:rsidR="00B872F6" w14:paraId="7D005FDC" w14:textId="77777777" w:rsidTr="0036669E">
        <w:tc>
          <w:tcPr>
            <w:tcW w:w="3285" w:type="dxa"/>
            <w:vAlign w:val="center"/>
          </w:tcPr>
          <w:p w14:paraId="4EFBB206" w14:textId="77777777" w:rsidR="00B872F6" w:rsidRDefault="00B872F6" w:rsidP="0036669E">
            <w:pPr>
              <w:jc w:val="left"/>
            </w:pPr>
          </w:p>
        </w:tc>
        <w:tc>
          <w:tcPr>
            <w:tcW w:w="3285" w:type="dxa"/>
            <w:vAlign w:val="center"/>
          </w:tcPr>
          <w:p w14:paraId="28E96CB8" w14:textId="77777777" w:rsidR="00B872F6" w:rsidRPr="00B76179" w:rsidRDefault="00B872F6" w:rsidP="0036669E">
            <w:pPr>
              <w:jc w:val="center"/>
              <w:rPr>
                <w:b/>
              </w:rPr>
            </w:pPr>
            <w:r w:rsidRPr="00B76179">
              <w:rPr>
                <w:b/>
              </w:rPr>
              <w:t>60 kHz</w:t>
            </w:r>
          </w:p>
        </w:tc>
        <w:tc>
          <w:tcPr>
            <w:tcW w:w="3285" w:type="dxa"/>
            <w:vAlign w:val="center"/>
          </w:tcPr>
          <w:p w14:paraId="1DFC8ED6" w14:textId="77777777" w:rsidR="00B872F6" w:rsidRPr="00B76179" w:rsidRDefault="00B872F6" w:rsidP="0036669E">
            <w:pPr>
              <w:jc w:val="center"/>
              <w:rPr>
                <w:b/>
              </w:rPr>
            </w:pPr>
            <w:r w:rsidRPr="00B76179">
              <w:rPr>
                <w:b/>
              </w:rPr>
              <w:t>75 kHz</w:t>
            </w:r>
          </w:p>
        </w:tc>
      </w:tr>
      <w:tr w:rsidR="00B872F6" w14:paraId="3046784C" w14:textId="77777777" w:rsidTr="0036669E">
        <w:tc>
          <w:tcPr>
            <w:tcW w:w="3285" w:type="dxa"/>
            <w:vAlign w:val="center"/>
          </w:tcPr>
          <w:p w14:paraId="126A7D00" w14:textId="297C3940" w:rsidR="00B872F6" w:rsidRDefault="00B872F6" w:rsidP="0036669E">
            <w:pPr>
              <w:jc w:val="left"/>
            </w:pPr>
            <w:r>
              <w:t>Number of allocated subcarriers</w:t>
            </w:r>
          </w:p>
        </w:tc>
        <w:tc>
          <w:tcPr>
            <w:tcW w:w="3285" w:type="dxa"/>
            <w:vAlign w:val="center"/>
          </w:tcPr>
          <w:p w14:paraId="1A4A2911" w14:textId="6FBF7E91" w:rsidR="00B872F6" w:rsidRDefault="00F62A09" w:rsidP="0036669E">
            <w:pPr>
              <w:jc w:val="left"/>
            </w:pPr>
            <w:r>
              <w:t>1200</w:t>
            </w:r>
          </w:p>
        </w:tc>
        <w:tc>
          <w:tcPr>
            <w:tcW w:w="3285" w:type="dxa"/>
            <w:vAlign w:val="center"/>
          </w:tcPr>
          <w:p w14:paraId="2A163044" w14:textId="0AFA15CA" w:rsidR="00B872F6" w:rsidRDefault="00F62A09" w:rsidP="0036669E">
            <w:pPr>
              <w:jc w:val="left"/>
            </w:pPr>
            <w:r>
              <w:t>960</w:t>
            </w:r>
          </w:p>
        </w:tc>
      </w:tr>
      <w:tr w:rsidR="00B872F6" w14:paraId="3D330A1C" w14:textId="77777777" w:rsidTr="0036669E">
        <w:tc>
          <w:tcPr>
            <w:tcW w:w="3285" w:type="dxa"/>
            <w:vAlign w:val="center"/>
          </w:tcPr>
          <w:p w14:paraId="1A81BC0D" w14:textId="03BFBF1E" w:rsidR="00B872F6" w:rsidRDefault="00B872F6" w:rsidP="0036669E">
            <w:pPr>
              <w:jc w:val="left"/>
            </w:pPr>
            <w:r>
              <w:t>Evaluation BW in MHz</w:t>
            </w:r>
          </w:p>
        </w:tc>
        <w:tc>
          <w:tcPr>
            <w:tcW w:w="3285" w:type="dxa"/>
            <w:vAlign w:val="center"/>
          </w:tcPr>
          <w:p w14:paraId="7E17FA4A" w14:textId="20678500" w:rsidR="00B872F6" w:rsidRDefault="00F62A09" w:rsidP="0036669E">
            <w:pPr>
              <w:jc w:val="left"/>
            </w:pPr>
            <w:r>
              <w:t>72</w:t>
            </w:r>
          </w:p>
        </w:tc>
        <w:tc>
          <w:tcPr>
            <w:tcW w:w="3285" w:type="dxa"/>
            <w:vAlign w:val="center"/>
          </w:tcPr>
          <w:p w14:paraId="78E9D23B" w14:textId="3E66224C" w:rsidR="00B872F6" w:rsidRDefault="00F62A09" w:rsidP="0036669E">
            <w:pPr>
              <w:jc w:val="left"/>
            </w:pPr>
            <w:r>
              <w:t>72</w:t>
            </w:r>
          </w:p>
        </w:tc>
      </w:tr>
      <w:tr w:rsidR="00B872F6" w14:paraId="597F801C" w14:textId="77777777" w:rsidTr="0036669E">
        <w:tc>
          <w:tcPr>
            <w:tcW w:w="3285" w:type="dxa"/>
            <w:vAlign w:val="center"/>
          </w:tcPr>
          <w:p w14:paraId="6A17A491" w14:textId="134509C4" w:rsidR="00B872F6" w:rsidRDefault="00B872F6" w:rsidP="0036669E">
            <w:pPr>
              <w:jc w:val="left"/>
            </w:pPr>
            <w:r>
              <w:t xml:space="preserve">Number of OFDM </w:t>
            </w:r>
            <w:r w:rsidR="00954DEB">
              <w:t xml:space="preserve">symbols </w:t>
            </w:r>
            <w:r>
              <w:t>per TTI</w:t>
            </w:r>
          </w:p>
        </w:tc>
        <w:tc>
          <w:tcPr>
            <w:tcW w:w="3285" w:type="dxa"/>
            <w:vAlign w:val="center"/>
          </w:tcPr>
          <w:p w14:paraId="28114B0F" w14:textId="79422BBA" w:rsidR="00B872F6" w:rsidRDefault="00B872F6" w:rsidP="0036669E">
            <w:pPr>
              <w:jc w:val="left"/>
            </w:pPr>
            <w:r>
              <w:t>14 (2 subframes are aggregated)</w:t>
            </w:r>
          </w:p>
        </w:tc>
        <w:tc>
          <w:tcPr>
            <w:tcW w:w="3285" w:type="dxa"/>
            <w:vAlign w:val="center"/>
          </w:tcPr>
          <w:p w14:paraId="3A794602" w14:textId="014C1BEE" w:rsidR="00B872F6" w:rsidRDefault="00B872F6" w:rsidP="0036669E">
            <w:pPr>
              <w:jc w:val="left"/>
            </w:pPr>
            <w:r>
              <w:t>14 (2 subframes are aggregated)</w:t>
            </w:r>
          </w:p>
        </w:tc>
      </w:tr>
      <w:tr w:rsidR="00B872F6" w14:paraId="675D4457" w14:textId="77777777" w:rsidTr="0036669E">
        <w:tc>
          <w:tcPr>
            <w:tcW w:w="3285" w:type="dxa"/>
            <w:vAlign w:val="center"/>
          </w:tcPr>
          <w:p w14:paraId="0B6293A8" w14:textId="7BB68DD7" w:rsidR="00B872F6" w:rsidRDefault="00B872F6" w:rsidP="0036669E">
            <w:pPr>
              <w:jc w:val="left"/>
            </w:pPr>
            <w:r>
              <w:t>TTI duration</w:t>
            </w:r>
          </w:p>
        </w:tc>
        <w:tc>
          <w:tcPr>
            <w:tcW w:w="3285" w:type="dxa"/>
            <w:vAlign w:val="center"/>
          </w:tcPr>
          <w:p w14:paraId="5FC75392" w14:textId="39B85322" w:rsidR="00B872F6" w:rsidRDefault="00B872F6" w:rsidP="0036669E">
            <w:pPr>
              <w:jc w:val="left"/>
            </w:pPr>
            <w:r>
              <w:t xml:space="preserve">250 </w:t>
            </w:r>
            <w:r>
              <w:rPr>
                <w:rFonts w:cs="Arial"/>
              </w:rPr>
              <w:t>µ</w:t>
            </w:r>
            <w:r>
              <w:t>s</w:t>
            </w:r>
          </w:p>
        </w:tc>
        <w:tc>
          <w:tcPr>
            <w:tcW w:w="3285" w:type="dxa"/>
            <w:vAlign w:val="center"/>
          </w:tcPr>
          <w:p w14:paraId="7CDDE313" w14:textId="5B88AE15" w:rsidR="00B872F6" w:rsidRDefault="00B872F6" w:rsidP="0036669E">
            <w:pPr>
              <w:jc w:val="left"/>
            </w:pPr>
            <w:r>
              <w:t xml:space="preserve">200 </w:t>
            </w:r>
            <w:r>
              <w:rPr>
                <w:rFonts w:cs="Arial"/>
              </w:rPr>
              <w:t>µ</w:t>
            </w:r>
            <w:r>
              <w:t>s</w:t>
            </w:r>
          </w:p>
        </w:tc>
      </w:tr>
      <w:tr w:rsidR="00F62A09" w14:paraId="16F98A78" w14:textId="77777777" w:rsidTr="0036669E">
        <w:tc>
          <w:tcPr>
            <w:tcW w:w="3285" w:type="dxa"/>
            <w:vAlign w:val="center"/>
          </w:tcPr>
          <w:p w14:paraId="0013A1CA" w14:textId="0E92D9C3" w:rsidR="00F62A09" w:rsidRDefault="00F62A09" w:rsidP="0036669E">
            <w:pPr>
              <w:jc w:val="left"/>
            </w:pPr>
            <w:r w:rsidRPr="00F62A09">
              <w:t>MCS range</w:t>
            </w:r>
          </w:p>
        </w:tc>
        <w:tc>
          <w:tcPr>
            <w:tcW w:w="3285" w:type="dxa"/>
            <w:vAlign w:val="center"/>
          </w:tcPr>
          <w:p w14:paraId="0C32703E" w14:textId="3D380B98" w:rsidR="00F62A09" w:rsidRDefault="00F62A09" w:rsidP="0036669E">
            <w:pPr>
              <w:jc w:val="left"/>
            </w:pPr>
            <w:r>
              <w:t>Up to 64QAM</w:t>
            </w:r>
          </w:p>
        </w:tc>
        <w:tc>
          <w:tcPr>
            <w:tcW w:w="3285" w:type="dxa"/>
            <w:vAlign w:val="center"/>
          </w:tcPr>
          <w:p w14:paraId="0608B44C" w14:textId="168B3373" w:rsidR="00F62A09" w:rsidRDefault="00F62A09" w:rsidP="0036669E">
            <w:pPr>
              <w:jc w:val="left"/>
            </w:pPr>
            <w:r>
              <w:t>Up to 64QAM</w:t>
            </w:r>
          </w:p>
        </w:tc>
      </w:tr>
      <w:tr w:rsidR="00F62A09" w14:paraId="2793E83C" w14:textId="77777777" w:rsidTr="0036669E">
        <w:tc>
          <w:tcPr>
            <w:tcW w:w="3285" w:type="dxa"/>
            <w:vAlign w:val="center"/>
          </w:tcPr>
          <w:p w14:paraId="73396FD0" w14:textId="6DC9A966" w:rsidR="00F62A09" w:rsidRDefault="00F62A09" w:rsidP="0036669E">
            <w:pPr>
              <w:jc w:val="left"/>
            </w:pPr>
            <w:r>
              <w:t>Link adaptation</w:t>
            </w:r>
          </w:p>
        </w:tc>
        <w:tc>
          <w:tcPr>
            <w:tcW w:w="3285" w:type="dxa"/>
            <w:vAlign w:val="center"/>
          </w:tcPr>
          <w:p w14:paraId="7D838608" w14:textId="6C74A291" w:rsidR="00F62A09" w:rsidRDefault="00F62A09" w:rsidP="0036669E">
            <w:pPr>
              <w:jc w:val="left"/>
            </w:pPr>
            <w:r>
              <w:t>Based on ideal ACK/NACK feedback</w:t>
            </w:r>
          </w:p>
        </w:tc>
        <w:tc>
          <w:tcPr>
            <w:tcW w:w="3285" w:type="dxa"/>
            <w:vAlign w:val="center"/>
          </w:tcPr>
          <w:p w14:paraId="39B9CA55" w14:textId="3C7071B2" w:rsidR="00F62A09" w:rsidRDefault="00F62A09" w:rsidP="0036669E">
            <w:pPr>
              <w:jc w:val="left"/>
            </w:pPr>
            <w:r>
              <w:t>Based on ideal ACK/NACK feedback</w:t>
            </w:r>
          </w:p>
        </w:tc>
      </w:tr>
      <w:tr w:rsidR="00F62A09" w14:paraId="1DB46500" w14:textId="77777777" w:rsidTr="0036669E">
        <w:tc>
          <w:tcPr>
            <w:tcW w:w="3285" w:type="dxa"/>
            <w:vAlign w:val="center"/>
          </w:tcPr>
          <w:p w14:paraId="79FE2F9B" w14:textId="7F79AEDE" w:rsidR="00F62A09" w:rsidRDefault="00F62A09" w:rsidP="0036669E">
            <w:pPr>
              <w:jc w:val="left"/>
            </w:pPr>
            <w:r>
              <w:t>Channel estimation</w:t>
            </w:r>
          </w:p>
        </w:tc>
        <w:tc>
          <w:tcPr>
            <w:tcW w:w="3285" w:type="dxa"/>
            <w:vAlign w:val="center"/>
          </w:tcPr>
          <w:p w14:paraId="277541D3" w14:textId="7A3679E0" w:rsidR="00F62A09" w:rsidRDefault="00F62A09" w:rsidP="0036669E">
            <w:pPr>
              <w:jc w:val="left"/>
            </w:pPr>
            <w:r>
              <w:t>Ideal</w:t>
            </w:r>
          </w:p>
        </w:tc>
        <w:tc>
          <w:tcPr>
            <w:tcW w:w="3285" w:type="dxa"/>
            <w:vAlign w:val="center"/>
          </w:tcPr>
          <w:p w14:paraId="586B0BE6" w14:textId="16EE708D" w:rsidR="00F62A09" w:rsidRDefault="00F62A09" w:rsidP="0036669E">
            <w:pPr>
              <w:jc w:val="left"/>
            </w:pPr>
            <w:r>
              <w:t>Ideal</w:t>
            </w:r>
          </w:p>
        </w:tc>
      </w:tr>
      <w:tr w:rsidR="00F62A09" w14:paraId="6FE0B28B" w14:textId="77777777" w:rsidTr="0036669E">
        <w:tc>
          <w:tcPr>
            <w:tcW w:w="3285" w:type="dxa"/>
            <w:vAlign w:val="center"/>
          </w:tcPr>
          <w:p w14:paraId="42C9EEA1" w14:textId="344AB33F" w:rsidR="00F62A09" w:rsidRDefault="00F62A09" w:rsidP="0036669E">
            <w:pPr>
              <w:jc w:val="left"/>
            </w:pPr>
            <w:r>
              <w:t>Reference signal</w:t>
            </w:r>
          </w:p>
        </w:tc>
        <w:tc>
          <w:tcPr>
            <w:tcW w:w="3285" w:type="dxa"/>
            <w:vAlign w:val="center"/>
          </w:tcPr>
          <w:p w14:paraId="57D46DC7" w14:textId="540DBCAC" w:rsidR="00F62A09" w:rsidRDefault="00F53D91" w:rsidP="0036669E">
            <w:pPr>
              <w:jc w:val="left"/>
            </w:pPr>
            <w:r>
              <w:t>LTE-DMRS</w:t>
            </w:r>
          </w:p>
        </w:tc>
        <w:tc>
          <w:tcPr>
            <w:tcW w:w="3285" w:type="dxa"/>
            <w:vAlign w:val="center"/>
          </w:tcPr>
          <w:p w14:paraId="0B845C97" w14:textId="2E0BF7DD" w:rsidR="00F62A09" w:rsidRDefault="00F53D91" w:rsidP="0036669E">
            <w:pPr>
              <w:jc w:val="left"/>
            </w:pPr>
            <w:r>
              <w:t>LTE-DMRS</w:t>
            </w:r>
          </w:p>
        </w:tc>
      </w:tr>
      <w:tr w:rsidR="00F62A09" w14:paraId="1F0B2ECD" w14:textId="77777777" w:rsidTr="0036669E">
        <w:tc>
          <w:tcPr>
            <w:tcW w:w="3285" w:type="dxa"/>
            <w:vAlign w:val="center"/>
          </w:tcPr>
          <w:p w14:paraId="4DB8BB33" w14:textId="30CB3CE6" w:rsidR="00F62A09" w:rsidRDefault="00F62A09" w:rsidP="0036669E">
            <w:pPr>
              <w:jc w:val="left"/>
            </w:pPr>
            <w:r>
              <w:t>Control channel</w:t>
            </w:r>
          </w:p>
        </w:tc>
        <w:tc>
          <w:tcPr>
            <w:tcW w:w="3285" w:type="dxa"/>
            <w:vAlign w:val="center"/>
          </w:tcPr>
          <w:p w14:paraId="42F26460" w14:textId="6F40F819" w:rsidR="00F62A09" w:rsidRDefault="00F62A09" w:rsidP="0036669E">
            <w:pPr>
              <w:jc w:val="left"/>
            </w:pPr>
            <w:r>
              <w:t>Not included</w:t>
            </w:r>
          </w:p>
        </w:tc>
        <w:tc>
          <w:tcPr>
            <w:tcW w:w="3285" w:type="dxa"/>
            <w:vAlign w:val="center"/>
          </w:tcPr>
          <w:p w14:paraId="68019056" w14:textId="6E0CD182" w:rsidR="00F62A09" w:rsidRDefault="00F62A09" w:rsidP="0036669E">
            <w:pPr>
              <w:jc w:val="left"/>
            </w:pPr>
            <w:r>
              <w:t>Not included</w:t>
            </w:r>
          </w:p>
        </w:tc>
      </w:tr>
      <w:tr w:rsidR="00F62A09" w14:paraId="27EFB287" w14:textId="77777777" w:rsidTr="0036669E">
        <w:tc>
          <w:tcPr>
            <w:tcW w:w="3285" w:type="dxa"/>
            <w:vAlign w:val="center"/>
          </w:tcPr>
          <w:p w14:paraId="367803E4" w14:textId="7CCE607C" w:rsidR="00F62A09" w:rsidRDefault="00F62A09" w:rsidP="0036669E">
            <w:pPr>
              <w:jc w:val="left"/>
            </w:pPr>
            <w:r>
              <w:t>Resource elements per resource block (12 subcarriers) used for data</w:t>
            </w:r>
          </w:p>
        </w:tc>
        <w:tc>
          <w:tcPr>
            <w:tcW w:w="3285" w:type="dxa"/>
            <w:vAlign w:val="center"/>
          </w:tcPr>
          <w:p w14:paraId="353A1958" w14:textId="1458636B" w:rsidR="00F62A09" w:rsidRDefault="00F62A09" w:rsidP="0036669E">
            <w:pPr>
              <w:jc w:val="left"/>
            </w:pPr>
            <w:r>
              <w:t>84</w:t>
            </w:r>
          </w:p>
        </w:tc>
        <w:tc>
          <w:tcPr>
            <w:tcW w:w="3285" w:type="dxa"/>
            <w:vAlign w:val="center"/>
          </w:tcPr>
          <w:p w14:paraId="10EB24CE" w14:textId="1DEAC8C7" w:rsidR="00F62A09" w:rsidRDefault="00F62A09" w:rsidP="0036669E">
            <w:pPr>
              <w:jc w:val="left"/>
            </w:pPr>
            <w:r>
              <w:t>84</w:t>
            </w:r>
          </w:p>
        </w:tc>
      </w:tr>
      <w:tr w:rsidR="0097539F" w14:paraId="6804D162" w14:textId="77777777" w:rsidTr="0036669E">
        <w:tc>
          <w:tcPr>
            <w:tcW w:w="3285" w:type="dxa"/>
            <w:vAlign w:val="center"/>
          </w:tcPr>
          <w:p w14:paraId="663523C8" w14:textId="073CFAC5" w:rsidR="0097539F" w:rsidRDefault="0097539F" w:rsidP="0036669E">
            <w:pPr>
              <w:jc w:val="left"/>
            </w:pPr>
            <w:r>
              <w:t>Antenna configuration</w:t>
            </w:r>
          </w:p>
        </w:tc>
        <w:tc>
          <w:tcPr>
            <w:tcW w:w="3285" w:type="dxa"/>
            <w:vAlign w:val="center"/>
          </w:tcPr>
          <w:p w14:paraId="1FAA8A52" w14:textId="496D1169" w:rsidR="0097539F" w:rsidRDefault="0097539F" w:rsidP="0036669E">
            <w:pPr>
              <w:jc w:val="left"/>
            </w:pPr>
            <w:r>
              <w:t>1 TX, 2RX</w:t>
            </w:r>
          </w:p>
        </w:tc>
        <w:tc>
          <w:tcPr>
            <w:tcW w:w="3285" w:type="dxa"/>
            <w:vAlign w:val="center"/>
          </w:tcPr>
          <w:p w14:paraId="6C893D62" w14:textId="7841CBAC" w:rsidR="0097539F" w:rsidRDefault="0097539F" w:rsidP="0036669E">
            <w:pPr>
              <w:jc w:val="left"/>
            </w:pPr>
            <w:r>
              <w:t>1 TX, 2 RX</w:t>
            </w:r>
          </w:p>
        </w:tc>
      </w:tr>
      <w:tr w:rsidR="0097539F" w14:paraId="3F2DA8EB" w14:textId="77777777" w:rsidTr="0036669E">
        <w:tc>
          <w:tcPr>
            <w:tcW w:w="3285" w:type="dxa"/>
            <w:vAlign w:val="center"/>
          </w:tcPr>
          <w:p w14:paraId="4010E759" w14:textId="0F2F8038" w:rsidR="0097539F" w:rsidRDefault="0097539F" w:rsidP="0036669E">
            <w:pPr>
              <w:jc w:val="left"/>
            </w:pPr>
            <w:r>
              <w:t>UE speed</w:t>
            </w:r>
          </w:p>
        </w:tc>
        <w:tc>
          <w:tcPr>
            <w:tcW w:w="3285" w:type="dxa"/>
            <w:vAlign w:val="center"/>
          </w:tcPr>
          <w:p w14:paraId="638813FA" w14:textId="2C56AC0D" w:rsidR="0097539F" w:rsidRDefault="0097539F" w:rsidP="0036669E">
            <w:pPr>
              <w:jc w:val="left"/>
            </w:pPr>
            <w:r>
              <w:t>3 km/h</w:t>
            </w:r>
          </w:p>
        </w:tc>
        <w:tc>
          <w:tcPr>
            <w:tcW w:w="3285" w:type="dxa"/>
            <w:vAlign w:val="center"/>
          </w:tcPr>
          <w:p w14:paraId="76734512" w14:textId="1413420C" w:rsidR="0097539F" w:rsidRDefault="0097539F" w:rsidP="0036669E">
            <w:pPr>
              <w:jc w:val="left"/>
            </w:pPr>
            <w:r>
              <w:t>3 km/h</w:t>
            </w:r>
          </w:p>
        </w:tc>
      </w:tr>
    </w:tbl>
    <w:p w14:paraId="61C84A95" w14:textId="77777777" w:rsidR="00B872F6" w:rsidRDefault="00B872F6" w:rsidP="00B872F6"/>
    <w:p w14:paraId="5536D866" w14:textId="2BC8D8A4" w:rsidR="00B872F6" w:rsidRDefault="00B872F6" w:rsidP="00B872F6">
      <w:r>
        <w:t xml:space="preserve">For 30 GHz the phase noise model </w:t>
      </w:r>
      <w:r w:rsidR="00CC643D">
        <w:t>“</w:t>
      </w:r>
      <w:r w:rsidR="00954DEB">
        <w:t>Low phase-noise model</w:t>
      </w:r>
      <w:r w:rsidR="00CC643D">
        <w:t>”</w:t>
      </w:r>
      <w:r w:rsidR="00F62A09">
        <w:t xml:space="preserve"> </w:t>
      </w:r>
      <w:r>
        <w:t>developed in mmMAGIC project is used</w:t>
      </w:r>
      <w:r w:rsidR="00F62A09">
        <w:t xml:space="preserve"> </w:t>
      </w:r>
      <w:r w:rsidR="00CC643D">
        <w:fldChar w:fldCharType="begin"/>
      </w:r>
      <w:r w:rsidR="00CC643D">
        <w:instrText xml:space="preserve"> REF _Ref450128732 \r \h </w:instrText>
      </w:r>
      <w:r w:rsidR="00CC643D">
        <w:fldChar w:fldCharType="separate"/>
      </w:r>
      <w:r w:rsidR="00CC643D">
        <w:t>[1]</w:t>
      </w:r>
      <w:r w:rsidR="00CC643D">
        <w:fldChar w:fldCharType="end"/>
      </w:r>
      <w:r>
        <w:t xml:space="preserve">. Its noise spectrum is shown in </w:t>
      </w:r>
      <w:r w:rsidR="00CC643D">
        <w:fldChar w:fldCharType="begin"/>
      </w:r>
      <w:r w:rsidR="00CC643D">
        <w:instrText xml:space="preserve"> REF _Ref450128767 \h </w:instrText>
      </w:r>
      <w:r w:rsidR="00CC643D">
        <w:fldChar w:fldCharType="separate"/>
      </w:r>
      <w:r w:rsidR="00CC643D">
        <w:t xml:space="preserve">Figure </w:t>
      </w:r>
      <w:r w:rsidR="00CC643D">
        <w:rPr>
          <w:noProof/>
        </w:rPr>
        <w:t>1</w:t>
      </w:r>
      <w:r w:rsidR="00CC643D">
        <w:fldChar w:fldCharType="end"/>
      </w:r>
      <w:r w:rsidR="00CC643D">
        <w:t xml:space="preserve"> (blue curve)</w:t>
      </w:r>
      <w:r>
        <w:t>.</w:t>
      </w:r>
    </w:p>
    <w:p w14:paraId="08A812CA" w14:textId="1D1D8475" w:rsidR="00B872F6" w:rsidRDefault="00CC643D" w:rsidP="007336DC">
      <w:pPr>
        <w:jc w:val="center"/>
      </w:pPr>
      <w:r>
        <w:rPr>
          <w:noProof/>
          <w:lang w:val="en-US" w:eastAsia="en-US"/>
        </w:rPr>
        <w:drawing>
          <wp:inline distT="0" distB="0" distL="0" distR="0" wp14:anchorId="106F4689" wp14:editId="63FF63C6">
            <wp:extent cx="4086000" cy="294840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086000" cy="2948400"/>
                    </a:xfrm>
                    <a:prstGeom prst="rect">
                      <a:avLst/>
                    </a:prstGeom>
                  </pic:spPr>
                </pic:pic>
              </a:graphicData>
            </a:graphic>
          </wp:inline>
        </w:drawing>
      </w:r>
    </w:p>
    <w:p w14:paraId="2C526725" w14:textId="1EAF11DB" w:rsidR="00B872F6" w:rsidRDefault="00B872F6" w:rsidP="00B872F6">
      <w:pPr>
        <w:pStyle w:val="Caption"/>
      </w:pPr>
      <w:bookmarkStart w:id="5" w:name="_Ref450128767"/>
      <w:r>
        <w:t xml:space="preserve">Figure </w:t>
      </w:r>
      <w:r>
        <w:fldChar w:fldCharType="begin"/>
      </w:r>
      <w:r>
        <w:instrText xml:space="preserve"> SEQ Figure \* ARABIC </w:instrText>
      </w:r>
      <w:r>
        <w:fldChar w:fldCharType="separate"/>
      </w:r>
      <w:r w:rsidR="00F62A09">
        <w:rPr>
          <w:noProof/>
        </w:rPr>
        <w:t>1</w:t>
      </w:r>
      <w:r>
        <w:fldChar w:fldCharType="end"/>
      </w:r>
      <w:bookmarkEnd w:id="5"/>
      <w:r>
        <w:tab/>
        <w:t xml:space="preserve">Phase noise spectrum of the mmMAGIC phase noise model used for simulations at 30 </w:t>
      </w:r>
      <w:proofErr w:type="gramStart"/>
      <w:r>
        <w:t>GHz</w:t>
      </w:r>
      <w:r w:rsidR="00954DEB">
        <w:t xml:space="preserve">  (</w:t>
      </w:r>
      <w:proofErr w:type="gramEnd"/>
      <w:r w:rsidR="00954DEB">
        <w:t>blue curve)</w:t>
      </w:r>
      <w:r>
        <w:t>.</w:t>
      </w:r>
    </w:p>
    <w:p w14:paraId="59E2EE1F" w14:textId="7162BD2D" w:rsidR="00F62A09" w:rsidRDefault="00F62A09" w:rsidP="00F62A09">
      <w:r>
        <w:t xml:space="preserve">For 2 GHz no phase noise is added since at </w:t>
      </w:r>
      <w:r w:rsidR="0091065F">
        <w:t>t</w:t>
      </w:r>
      <w:r>
        <w:t xml:space="preserve">his carrier frequency both 60 kHz and 75 kHz are very stable w.r.t. phase noise. </w:t>
      </w:r>
    </w:p>
    <w:p w14:paraId="1765B1B0" w14:textId="57A3889B" w:rsidR="00CC643D" w:rsidRDefault="00CC643D" w:rsidP="00B872F6">
      <w:r>
        <w:t xml:space="preserve"> </w:t>
      </w:r>
    </w:p>
    <w:p w14:paraId="335E5F37" w14:textId="13265A7E" w:rsidR="00CC643D" w:rsidRDefault="00CC643D" w:rsidP="00CC643D">
      <w:pPr>
        <w:pStyle w:val="Heading2"/>
      </w:pPr>
      <w:r>
        <w:lastRenderedPageBreak/>
        <w:t xml:space="preserve">Simulation results </w:t>
      </w:r>
      <w:r w:rsidR="0004586B">
        <w:t xml:space="preserve">at </w:t>
      </w:r>
      <w:r>
        <w:t>30 GHz</w:t>
      </w:r>
    </w:p>
    <w:p w14:paraId="7CB4EF48" w14:textId="4CC8FCDA" w:rsidR="00F62A09" w:rsidRDefault="00F62A09" w:rsidP="00CC643D">
      <w:r>
        <w:fldChar w:fldCharType="begin"/>
      </w:r>
      <w:r>
        <w:instrText xml:space="preserve"> REF _Ref450649793 \h </w:instrText>
      </w:r>
      <w:r>
        <w:fldChar w:fldCharType="separate"/>
      </w:r>
      <w:r>
        <w:t xml:space="preserve">Figure </w:t>
      </w:r>
      <w:r>
        <w:rPr>
          <w:noProof/>
        </w:rPr>
        <w:t>2</w:t>
      </w:r>
      <w:r>
        <w:fldChar w:fldCharType="end"/>
      </w:r>
      <w:r>
        <w:t xml:space="preserve"> and </w:t>
      </w:r>
      <w:r>
        <w:fldChar w:fldCharType="begin"/>
      </w:r>
      <w:r>
        <w:instrText xml:space="preserve"> REF _Ref450649801 \h </w:instrText>
      </w:r>
      <w:r>
        <w:fldChar w:fldCharType="separate"/>
      </w:r>
      <w:r>
        <w:t xml:space="preserve">Figure </w:t>
      </w:r>
      <w:r>
        <w:rPr>
          <w:noProof/>
        </w:rPr>
        <w:t>3</w:t>
      </w:r>
      <w:r>
        <w:fldChar w:fldCharType="end"/>
      </w:r>
      <w:r>
        <w:t xml:space="preserve"> show link level simulations over TDL-A with RMS delay spread of 100 ns and 300 ns, respectively. Phase noise according to </w:t>
      </w:r>
      <w:r>
        <w:fldChar w:fldCharType="begin"/>
      </w:r>
      <w:r>
        <w:instrText xml:space="preserve"> REF _Ref450128767 \h </w:instrText>
      </w:r>
      <w:r>
        <w:fldChar w:fldCharType="separate"/>
      </w:r>
      <w:r>
        <w:t xml:space="preserve">Figure </w:t>
      </w:r>
      <w:r>
        <w:rPr>
          <w:noProof/>
        </w:rPr>
        <w:t>1</w:t>
      </w:r>
      <w:r>
        <w:fldChar w:fldCharType="end"/>
      </w:r>
      <w:r>
        <w:t xml:space="preserve"> is injected.  It can be observed that 60 kHz and 75 kHz subcarrier spacing perform equally well for the case of 100 ns RMS delay spread. At 300 ns RMS delay spread the impact of inter-symbol interference due to too short cyclic prefix is visible leading to reduced peak rates for both 60 kHz and 75 kHz. Due to the shorter cyclic prefix of 75 kHz numerology this effect is more pronounced for 75 kHz.</w:t>
      </w:r>
    </w:p>
    <w:p w14:paraId="47A5A1F8" w14:textId="654FB37D" w:rsidR="00F62A09" w:rsidRDefault="007336DC" w:rsidP="007336DC">
      <w:pPr>
        <w:jc w:val="center"/>
      </w:pPr>
      <w:r>
        <w:rPr>
          <w:noProof/>
          <w:lang w:val="en-US" w:eastAsia="en-US"/>
        </w:rPr>
        <w:drawing>
          <wp:inline distT="0" distB="0" distL="0" distR="0" wp14:anchorId="0ADFB621" wp14:editId="5B5042DE">
            <wp:extent cx="4615200" cy="345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2C95820D" w14:textId="4F0CC588" w:rsidR="00F62A09" w:rsidRDefault="00F62A09" w:rsidP="00F62A09">
      <w:pPr>
        <w:pStyle w:val="Caption"/>
      </w:pPr>
      <w:bookmarkStart w:id="6" w:name="_Ref450649793"/>
      <w:r>
        <w:t xml:space="preserve">Figure </w:t>
      </w:r>
      <w:r>
        <w:fldChar w:fldCharType="begin"/>
      </w:r>
      <w:r>
        <w:instrText xml:space="preserve"> SEQ Figure \* ARABIC </w:instrText>
      </w:r>
      <w:r>
        <w:fldChar w:fldCharType="separate"/>
      </w:r>
      <w:r>
        <w:rPr>
          <w:noProof/>
        </w:rPr>
        <w:t>2</w:t>
      </w:r>
      <w:r>
        <w:fldChar w:fldCharType="end"/>
      </w:r>
      <w:bookmarkEnd w:id="6"/>
      <w:r>
        <w:tab/>
        <w:t xml:space="preserve">Throughput over SINR for TDL-A, 100 ns RMS delay spread, 30 GHz. </w:t>
      </w:r>
    </w:p>
    <w:p w14:paraId="62D8A97D" w14:textId="51AB283D" w:rsidR="00F62A09" w:rsidRDefault="007336DC" w:rsidP="007336DC">
      <w:pPr>
        <w:jc w:val="center"/>
      </w:pPr>
      <w:r>
        <w:rPr>
          <w:noProof/>
          <w:lang w:val="en-US" w:eastAsia="en-US"/>
        </w:rPr>
        <w:drawing>
          <wp:inline distT="0" distB="0" distL="0" distR="0" wp14:anchorId="6D2163A2" wp14:editId="259B8BD5">
            <wp:extent cx="4615200" cy="345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266DAAE0" w14:textId="3802D6E3" w:rsidR="00F62A09" w:rsidRDefault="00F62A09" w:rsidP="00F62A09">
      <w:pPr>
        <w:pStyle w:val="Caption"/>
      </w:pPr>
      <w:bookmarkStart w:id="7" w:name="_Ref450649801"/>
      <w:r>
        <w:t xml:space="preserve">Figure </w:t>
      </w:r>
      <w:r>
        <w:fldChar w:fldCharType="begin"/>
      </w:r>
      <w:r>
        <w:instrText xml:space="preserve"> SEQ Figure \* ARABIC </w:instrText>
      </w:r>
      <w:r>
        <w:fldChar w:fldCharType="separate"/>
      </w:r>
      <w:r>
        <w:rPr>
          <w:noProof/>
        </w:rPr>
        <w:t>3</w:t>
      </w:r>
      <w:r>
        <w:fldChar w:fldCharType="end"/>
      </w:r>
      <w:bookmarkEnd w:id="7"/>
      <w:r>
        <w:tab/>
        <w:t xml:space="preserve">Throughput over SINR for TDL-A, 300 ns RMS delay spread, 30 GHz. </w:t>
      </w:r>
    </w:p>
    <w:p w14:paraId="0623D5F8" w14:textId="1EFCDEF9" w:rsidR="00CC643D" w:rsidRPr="00CC643D" w:rsidRDefault="00CC643D" w:rsidP="00CC643D">
      <w:pPr>
        <w:pStyle w:val="Heading2"/>
      </w:pPr>
      <w:r>
        <w:lastRenderedPageBreak/>
        <w:t xml:space="preserve">Simulation results </w:t>
      </w:r>
      <w:r w:rsidR="0004586B">
        <w:t>at</w:t>
      </w:r>
      <w:r>
        <w:t xml:space="preserve"> 2GHz</w:t>
      </w:r>
    </w:p>
    <w:p w14:paraId="3E989818" w14:textId="4F6D4620" w:rsidR="00A12509" w:rsidRDefault="00F62A09" w:rsidP="005F599F">
      <w:r>
        <w:fldChar w:fldCharType="begin"/>
      </w:r>
      <w:r>
        <w:instrText xml:space="preserve"> REF _Ref450650932 \h </w:instrText>
      </w:r>
      <w:r>
        <w:fldChar w:fldCharType="separate"/>
      </w:r>
      <w:r>
        <w:t xml:space="preserve">Figure </w:t>
      </w:r>
      <w:r>
        <w:rPr>
          <w:noProof/>
        </w:rPr>
        <w:t>4</w:t>
      </w:r>
      <w:r>
        <w:fldChar w:fldCharType="end"/>
      </w:r>
      <w:r>
        <w:t xml:space="preserve"> to </w:t>
      </w:r>
      <w:r>
        <w:fldChar w:fldCharType="begin"/>
      </w:r>
      <w:r>
        <w:instrText xml:space="preserve"> REF _Ref450650943 \h </w:instrText>
      </w:r>
      <w:r>
        <w:fldChar w:fldCharType="separate"/>
      </w:r>
      <w:r>
        <w:t xml:space="preserve">Figure </w:t>
      </w:r>
      <w:r>
        <w:rPr>
          <w:noProof/>
        </w:rPr>
        <w:t>6</w:t>
      </w:r>
      <w:r>
        <w:fldChar w:fldCharType="end"/>
      </w:r>
      <w:r>
        <w:t xml:space="preserve"> show link level simulations over TDL-A with RMS delay spread of 100ns, 300 ns, and 1000 ns, respectively. For an RMS delay spread of 100 ns both numerologies perform equally well. For 300 ns and 1000 ns RMS delay spread the impact of inter-symbol interference is visible limiting peak rate. Due to a shorter cyclic prefix performance of 75 kHz numerology suffers more than for 60 kHz numerology.</w:t>
      </w:r>
    </w:p>
    <w:p w14:paraId="66B0ACC9" w14:textId="7B19E800" w:rsidR="00F62A09" w:rsidRDefault="007336DC" w:rsidP="007336DC">
      <w:pPr>
        <w:jc w:val="center"/>
      </w:pPr>
      <w:r>
        <w:rPr>
          <w:noProof/>
          <w:lang w:val="en-US" w:eastAsia="en-US"/>
        </w:rPr>
        <w:drawing>
          <wp:inline distT="0" distB="0" distL="0" distR="0" wp14:anchorId="7496D247" wp14:editId="31222C58">
            <wp:extent cx="4615200" cy="345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3753FA50" w14:textId="29E129D1" w:rsidR="00F62A09" w:rsidRDefault="00F62A09" w:rsidP="00F62A09">
      <w:pPr>
        <w:pStyle w:val="Caption"/>
      </w:pPr>
      <w:bookmarkStart w:id="8" w:name="_Ref450650932"/>
      <w:r>
        <w:t xml:space="preserve">Figure </w:t>
      </w:r>
      <w:r>
        <w:fldChar w:fldCharType="begin"/>
      </w:r>
      <w:r>
        <w:instrText xml:space="preserve"> SEQ Figure \* ARABIC </w:instrText>
      </w:r>
      <w:r>
        <w:fldChar w:fldCharType="separate"/>
      </w:r>
      <w:r>
        <w:rPr>
          <w:noProof/>
        </w:rPr>
        <w:t>4</w:t>
      </w:r>
      <w:r>
        <w:fldChar w:fldCharType="end"/>
      </w:r>
      <w:bookmarkEnd w:id="8"/>
      <w:r>
        <w:tab/>
        <w:t xml:space="preserve">Throughput over SINR for TDL-A, 100 ns RMS delay spread, 2 GHz. </w:t>
      </w:r>
    </w:p>
    <w:p w14:paraId="2BB69100" w14:textId="6F76B692" w:rsidR="00F62A09" w:rsidRDefault="007336DC" w:rsidP="007336DC">
      <w:pPr>
        <w:jc w:val="center"/>
      </w:pPr>
      <w:r>
        <w:rPr>
          <w:noProof/>
          <w:lang w:val="en-US" w:eastAsia="en-US"/>
        </w:rPr>
        <w:drawing>
          <wp:inline distT="0" distB="0" distL="0" distR="0" wp14:anchorId="05B86C4E" wp14:editId="070C02D0">
            <wp:extent cx="4615200" cy="345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15E580D9" w14:textId="3E0DEDA0" w:rsidR="00F62A09" w:rsidRDefault="00F62A09" w:rsidP="00F62A09">
      <w:pPr>
        <w:pStyle w:val="Caption"/>
      </w:pPr>
      <w:r>
        <w:t xml:space="preserve">Figure </w:t>
      </w:r>
      <w:r>
        <w:fldChar w:fldCharType="begin"/>
      </w:r>
      <w:r>
        <w:instrText xml:space="preserve"> SEQ Figure \* ARABIC </w:instrText>
      </w:r>
      <w:r>
        <w:fldChar w:fldCharType="separate"/>
      </w:r>
      <w:r>
        <w:rPr>
          <w:noProof/>
        </w:rPr>
        <w:t>5</w:t>
      </w:r>
      <w:r>
        <w:fldChar w:fldCharType="end"/>
      </w:r>
      <w:r>
        <w:tab/>
        <w:t xml:space="preserve">Throughput over SINR for TDL-A, 300 ns RMS delay spread, 2 GHz. </w:t>
      </w:r>
    </w:p>
    <w:p w14:paraId="407C6C0B" w14:textId="6194C91D" w:rsidR="00F62A09" w:rsidRDefault="007336DC" w:rsidP="007336DC">
      <w:pPr>
        <w:jc w:val="center"/>
      </w:pPr>
      <w:r>
        <w:rPr>
          <w:noProof/>
          <w:lang w:val="en-US" w:eastAsia="en-US"/>
        </w:rPr>
        <w:lastRenderedPageBreak/>
        <w:drawing>
          <wp:inline distT="0" distB="0" distL="0" distR="0" wp14:anchorId="50AE01BF" wp14:editId="72D4AD0B">
            <wp:extent cx="4615200" cy="345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28644AA8" w14:textId="0CB423B9" w:rsidR="00F62A09" w:rsidRDefault="00F62A09" w:rsidP="00F62A09">
      <w:pPr>
        <w:pStyle w:val="Caption"/>
      </w:pPr>
      <w:bookmarkStart w:id="9" w:name="_Ref450650943"/>
      <w:r>
        <w:t xml:space="preserve">Figure </w:t>
      </w:r>
      <w:r>
        <w:fldChar w:fldCharType="begin"/>
      </w:r>
      <w:r>
        <w:instrText xml:space="preserve"> SEQ Figure \* ARABIC </w:instrText>
      </w:r>
      <w:r>
        <w:fldChar w:fldCharType="separate"/>
      </w:r>
      <w:r>
        <w:rPr>
          <w:noProof/>
        </w:rPr>
        <w:t>6</w:t>
      </w:r>
      <w:r>
        <w:fldChar w:fldCharType="end"/>
      </w:r>
      <w:bookmarkEnd w:id="9"/>
      <w:r>
        <w:tab/>
        <w:t xml:space="preserve">Throughput over SINR for TDL-A, 1000 ns RMS delay spread, 2 GHz. </w:t>
      </w:r>
    </w:p>
    <w:p w14:paraId="2D0538BE" w14:textId="77777777" w:rsidR="00D00AE7" w:rsidRDefault="00D00AE7" w:rsidP="00D00AE7">
      <w:pPr>
        <w:pStyle w:val="Heading1"/>
        <w:rPr>
          <w:lang w:val="en-US"/>
        </w:rPr>
      </w:pPr>
      <w:r>
        <w:rPr>
          <w:lang w:val="en-US"/>
        </w:rPr>
        <w:t>Conclusion</w:t>
      </w:r>
    </w:p>
    <w:p w14:paraId="03698D5E" w14:textId="591EA57F" w:rsidR="00954DEB" w:rsidRDefault="00400FA4" w:rsidP="00400FA4">
      <w:pPr>
        <w:rPr>
          <w:lang w:val="en-US"/>
        </w:rPr>
      </w:pPr>
      <w:r>
        <w:rPr>
          <w:lang w:val="en-US"/>
        </w:rPr>
        <w:t xml:space="preserve">In this contribution we </w:t>
      </w:r>
      <w:r w:rsidR="00CC643D">
        <w:rPr>
          <w:lang w:val="en-US"/>
        </w:rPr>
        <w:t xml:space="preserve">compare performance obtained via link level simulations of 60 kHz and 75 kHz. Both numerologies are compared w.r.t. robustness towards phase noise and delay spread at 30 GHz and 2 GHz (usage of 60 </w:t>
      </w:r>
      <w:r w:rsidR="00954DEB">
        <w:rPr>
          <w:lang w:val="en-US"/>
        </w:rPr>
        <w:t xml:space="preserve">kHz </w:t>
      </w:r>
      <w:r w:rsidR="00CC643D">
        <w:rPr>
          <w:lang w:val="en-US"/>
        </w:rPr>
        <w:t>or 75 kHz at low frequencies i</w:t>
      </w:r>
      <w:r w:rsidR="00954DEB">
        <w:rPr>
          <w:lang w:val="en-US"/>
        </w:rPr>
        <w:t>s motivated by the low latency provided by 60 kHz and 75 kHz numerology)</w:t>
      </w:r>
      <w:r>
        <w:rPr>
          <w:lang w:val="en-US"/>
        </w:rPr>
        <w:t>.</w:t>
      </w:r>
      <w:r w:rsidR="00954DEB">
        <w:rPr>
          <w:lang w:val="en-US"/>
        </w:rPr>
        <w:t xml:space="preserve"> </w:t>
      </w:r>
      <w:r w:rsidR="00F62A09">
        <w:rPr>
          <w:lang w:val="en-US"/>
        </w:rPr>
        <w:t>T</w:t>
      </w:r>
      <w:r w:rsidR="00954DEB">
        <w:rPr>
          <w:lang w:val="en-US"/>
        </w:rPr>
        <w:t>he presented result</w:t>
      </w:r>
      <w:r w:rsidR="00F62A09">
        <w:rPr>
          <w:lang w:val="en-US"/>
        </w:rPr>
        <w:t>s</w:t>
      </w:r>
      <w:r w:rsidR="00954DEB">
        <w:rPr>
          <w:lang w:val="en-US"/>
        </w:rPr>
        <w:t xml:space="preserve"> </w:t>
      </w:r>
      <w:r w:rsidR="00F62A09">
        <w:rPr>
          <w:lang w:val="en-US"/>
        </w:rPr>
        <w:t>show</w:t>
      </w:r>
      <w:r w:rsidR="00954DEB">
        <w:rPr>
          <w:lang w:val="en-US"/>
        </w:rPr>
        <w:t xml:space="preserve"> that </w:t>
      </w:r>
      <w:r w:rsidR="00F62A09">
        <w:rPr>
          <w:lang w:val="en-US"/>
        </w:rPr>
        <w:t>both numerologies perform equally well for low delay spread</w:t>
      </w:r>
      <w:r w:rsidR="0097539F">
        <w:rPr>
          <w:lang w:val="en-US"/>
        </w:rPr>
        <w:t>;</w:t>
      </w:r>
      <w:r w:rsidR="00F62A09">
        <w:rPr>
          <w:lang w:val="en-US"/>
        </w:rPr>
        <w:t xml:space="preserve"> no performance difference can be observed due to phase noise. For larger delay spreads 75 kHz performance suffers more than 60 kHz performance since 75 kHz numerology has lower cyclic prefix and is less robust towards inter-symbol interference</w:t>
      </w:r>
      <w:r w:rsidR="00954DEB">
        <w:rPr>
          <w:lang w:val="en-US"/>
        </w:rPr>
        <w:t>.</w:t>
      </w:r>
    </w:p>
    <w:p w14:paraId="328CD328" w14:textId="72B06376" w:rsidR="00400FA4" w:rsidRPr="0021534A" w:rsidRDefault="0021534A" w:rsidP="00400FA4">
      <w:pPr>
        <w:rPr>
          <w:b/>
          <w:i/>
          <w:lang w:val="en-US"/>
        </w:rPr>
      </w:pPr>
      <w:r w:rsidRPr="00894936">
        <w:rPr>
          <w:b/>
          <w:i/>
          <w:lang w:val="en-US"/>
        </w:rPr>
        <w:t>Observation</w:t>
      </w:r>
      <w:r>
        <w:rPr>
          <w:b/>
          <w:i/>
          <w:lang w:val="en-US"/>
        </w:rPr>
        <w:t>s</w:t>
      </w:r>
      <w:r w:rsidRPr="00894936">
        <w:rPr>
          <w:b/>
          <w:i/>
          <w:lang w:val="en-US"/>
        </w:rPr>
        <w:t xml:space="preserve">: </w:t>
      </w:r>
      <w:r>
        <w:rPr>
          <w:b/>
          <w:i/>
          <w:lang w:val="en-US"/>
        </w:rPr>
        <w:t>W</w:t>
      </w:r>
      <w:r w:rsidR="0004586B" w:rsidRPr="00894936">
        <w:rPr>
          <w:b/>
          <w:i/>
          <w:lang w:val="en-US"/>
        </w:rPr>
        <w:t xml:space="preserve">e </w:t>
      </w:r>
      <w:r>
        <w:rPr>
          <w:b/>
          <w:i/>
          <w:lang w:val="en-US"/>
        </w:rPr>
        <w:t xml:space="preserve">do not </w:t>
      </w:r>
      <w:r w:rsidR="0004586B" w:rsidRPr="00894936">
        <w:rPr>
          <w:b/>
          <w:i/>
          <w:lang w:val="en-US"/>
        </w:rPr>
        <w:t xml:space="preserve">see </w:t>
      </w:r>
      <w:r w:rsidRPr="00894936">
        <w:rPr>
          <w:b/>
          <w:i/>
          <w:lang w:val="en-US"/>
        </w:rPr>
        <w:t>performance gain</w:t>
      </w:r>
      <w:r>
        <w:rPr>
          <w:b/>
          <w:i/>
          <w:lang w:val="en-US"/>
        </w:rPr>
        <w:t>s</w:t>
      </w:r>
      <w:r w:rsidR="0004586B" w:rsidRPr="00894936">
        <w:rPr>
          <w:b/>
          <w:i/>
          <w:lang w:val="en-US"/>
        </w:rPr>
        <w:t xml:space="preserve"> of 75 kHz over 60 kHz</w:t>
      </w:r>
      <w:r>
        <w:rPr>
          <w:b/>
          <w:i/>
          <w:lang w:val="en-US"/>
        </w:rPr>
        <w:t xml:space="preserve"> numerology</w:t>
      </w:r>
      <w:r w:rsidR="0039257A" w:rsidRPr="00894936">
        <w:rPr>
          <w:b/>
          <w:i/>
          <w:lang w:val="en-US"/>
        </w:rPr>
        <w:t>.</w:t>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71EBD850" w14:textId="6BAC5ADF" w:rsidR="00CC643D" w:rsidRPr="0039257A" w:rsidRDefault="00CC643D" w:rsidP="00CC643D">
      <w:pPr>
        <w:pStyle w:val="Reference"/>
        <w:rPr>
          <w:rStyle w:val="Hyperlink"/>
          <w:color w:val="auto"/>
          <w:u w:val="none"/>
          <w:lang w:val="en-US"/>
        </w:rPr>
      </w:pPr>
      <w:bookmarkStart w:id="10" w:name="_Ref442441852"/>
      <w:bookmarkStart w:id="11" w:name="_Ref441562466"/>
      <w:bookmarkStart w:id="12" w:name="_Ref444097166"/>
      <w:bookmarkStart w:id="13" w:name="_Ref450128732"/>
      <w:r w:rsidRPr="00CC643D">
        <w:rPr>
          <w:lang w:val="en-US"/>
        </w:rPr>
        <w:t xml:space="preserve">ICT-671650 </w:t>
      </w:r>
      <w:r>
        <w:rPr>
          <w:lang w:val="en-US"/>
        </w:rPr>
        <w:t>mmMAGIC</w:t>
      </w:r>
      <w:r w:rsidRPr="00CC643D">
        <w:rPr>
          <w:lang w:val="en-US"/>
        </w:rPr>
        <w:t xml:space="preserve"> project, “Initial multi-node and antenna transmitter and receiver architectures and schemes,” Deliverable D</w:t>
      </w:r>
      <w:r>
        <w:rPr>
          <w:lang w:val="en-US"/>
        </w:rPr>
        <w:t>5</w:t>
      </w:r>
      <w:r w:rsidRPr="00CC643D">
        <w:rPr>
          <w:lang w:val="en-US"/>
        </w:rPr>
        <w:t xml:space="preserve">.1, </w:t>
      </w:r>
      <w:r>
        <w:rPr>
          <w:lang w:val="en-US"/>
        </w:rPr>
        <w:t xml:space="preserve">March 2016, </w:t>
      </w:r>
      <w:r>
        <w:rPr>
          <w:lang w:val="en-US"/>
        </w:rPr>
        <w:br/>
      </w:r>
      <w:hyperlink r:id="rId20" w:history="1">
        <w:r w:rsidRPr="00CC643D">
          <w:rPr>
            <w:rStyle w:val="Hyperlink"/>
            <w:lang w:val="en-US"/>
          </w:rPr>
          <w:t>https://bscw.5g-mmmagic.eu/pub/bscw.cgi/d95056/mmMAGIC_D5_1.pdf</w:t>
        </w:r>
      </w:hyperlink>
      <w:bookmarkEnd w:id="10"/>
      <w:bookmarkEnd w:id="11"/>
      <w:bookmarkEnd w:id="12"/>
      <w:bookmarkEnd w:id="13"/>
    </w:p>
    <w:p w14:paraId="5E1F3782" w14:textId="22B179AC" w:rsidR="0039257A" w:rsidRPr="00CC643D" w:rsidRDefault="0039257A" w:rsidP="00CC643D">
      <w:pPr>
        <w:pStyle w:val="Reference"/>
        <w:rPr>
          <w:lang w:val="en-US"/>
        </w:rPr>
      </w:pPr>
      <w:bookmarkStart w:id="14" w:name="_Ref450825351"/>
      <w:r>
        <w:rPr>
          <w:lang w:val="en-US"/>
        </w:rPr>
        <w:t>R1-</w:t>
      </w:r>
      <w:r w:rsidR="00894936">
        <w:rPr>
          <w:lang w:val="en-US"/>
        </w:rPr>
        <w:t>164622</w:t>
      </w:r>
      <w:r>
        <w:rPr>
          <w:lang w:val="en-US"/>
        </w:rPr>
        <w:t>, “NR numerology,” Ericsson</w:t>
      </w:r>
      <w:bookmarkStart w:id="15" w:name="_GoBack"/>
      <w:bookmarkEnd w:id="14"/>
      <w:bookmarkEnd w:id="15"/>
    </w:p>
    <w:sectPr w:rsidR="0039257A" w:rsidRPr="00CC643D">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B0493" w14:textId="77777777" w:rsidR="00D470C9" w:rsidRDefault="00D470C9">
      <w:r>
        <w:separator/>
      </w:r>
    </w:p>
  </w:endnote>
  <w:endnote w:type="continuationSeparator" w:id="0">
    <w:p w14:paraId="1EC55533" w14:textId="77777777" w:rsidR="00D470C9" w:rsidRDefault="00D470C9">
      <w:r>
        <w:continuationSeparator/>
      </w:r>
    </w:p>
  </w:endnote>
  <w:endnote w:type="continuationNotice" w:id="1">
    <w:p w14:paraId="3AC72650" w14:textId="77777777" w:rsidR="00D470C9" w:rsidRDefault="00D4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A6C02" w:rsidRDefault="001A6C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493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493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7C52C" w14:textId="77777777" w:rsidR="00D470C9" w:rsidRDefault="00D470C9">
      <w:r>
        <w:separator/>
      </w:r>
    </w:p>
  </w:footnote>
  <w:footnote w:type="continuationSeparator" w:id="0">
    <w:p w14:paraId="03246FC3" w14:textId="77777777" w:rsidR="00D470C9" w:rsidRDefault="00D470C9">
      <w:r>
        <w:continuationSeparator/>
      </w:r>
    </w:p>
  </w:footnote>
  <w:footnote w:type="continuationNotice" w:id="1">
    <w:p w14:paraId="5E09F935" w14:textId="77777777" w:rsidR="00D470C9" w:rsidRDefault="00D470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A6C02" w:rsidRDefault="001A6C0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6">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8">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1">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1"/>
  </w:num>
  <w:num w:numId="4">
    <w:abstractNumId w:val="12"/>
  </w:num>
  <w:num w:numId="5">
    <w:abstractNumId w:val="9"/>
  </w:num>
  <w:num w:numId="6">
    <w:abstractNumId w:val="14"/>
  </w:num>
  <w:num w:numId="7">
    <w:abstractNumId w:val="23"/>
  </w:num>
  <w:num w:numId="8">
    <w:abstractNumId w:val="10"/>
  </w:num>
  <w:num w:numId="9">
    <w:abstractNumId w:val="8"/>
  </w:num>
  <w:num w:numId="10">
    <w:abstractNumId w:val="2"/>
  </w:num>
  <w:num w:numId="11">
    <w:abstractNumId w:val="1"/>
  </w:num>
  <w:num w:numId="12">
    <w:abstractNumId w:val="0"/>
  </w:num>
  <w:num w:numId="13">
    <w:abstractNumId w:val="19"/>
  </w:num>
  <w:num w:numId="14">
    <w:abstractNumId w:val="16"/>
  </w:num>
  <w:num w:numId="15">
    <w:abstractNumId w:val="4"/>
  </w:num>
  <w:num w:numId="16">
    <w:abstractNumId w:val="18"/>
  </w:num>
  <w:num w:numId="17">
    <w:abstractNumId w:val="13"/>
  </w:num>
  <w:num w:numId="18">
    <w:abstractNumId w:val="20"/>
  </w:num>
  <w:num w:numId="19">
    <w:abstractNumId w:val="21"/>
  </w:num>
  <w:num w:numId="20">
    <w:abstractNumId w:val="5"/>
  </w:num>
  <w:num w:numId="21">
    <w:abstractNumId w:val="27"/>
  </w:num>
  <w:num w:numId="22">
    <w:abstractNumId w:val="25"/>
  </w:num>
  <w:num w:numId="23">
    <w:abstractNumId w:val="6"/>
  </w:num>
  <w:num w:numId="24">
    <w:abstractNumId w:val="11"/>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26"/>
  </w:num>
  <w:num w:numId="29">
    <w:abstractNumId w:val="29"/>
  </w:num>
  <w:num w:numId="30">
    <w:abstractNumId w:val="28"/>
  </w:num>
  <w:num w:numId="31">
    <w:abstractNumId w:val="24"/>
  </w:num>
  <w:num w:numId="32">
    <w:abstractNumId w:val="22"/>
  </w:num>
  <w:num w:numId="33">
    <w:abstractNumId w:val="7"/>
  </w:num>
  <w:num w:numId="34">
    <w:abstractNumId w:val="15"/>
  </w:num>
  <w:num w:numId="35">
    <w:abstractNumId w:val="30"/>
  </w:num>
  <w:num w:numId="36">
    <w:abstractNumId w:val="33"/>
  </w:num>
  <w:num w:numId="37">
    <w:abstractNumId w:val="32"/>
  </w:num>
  <w:num w:numId="38">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5D4A"/>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4586B"/>
    <w:rsid w:val="00051F40"/>
    <w:rsid w:val="00052A07"/>
    <w:rsid w:val="000534E3"/>
    <w:rsid w:val="00054775"/>
    <w:rsid w:val="00055BC1"/>
    <w:rsid w:val="0005606A"/>
    <w:rsid w:val="00057117"/>
    <w:rsid w:val="000609B7"/>
    <w:rsid w:val="000616E7"/>
    <w:rsid w:val="00063B7C"/>
    <w:rsid w:val="0006487E"/>
    <w:rsid w:val="00065E1A"/>
    <w:rsid w:val="000668D7"/>
    <w:rsid w:val="00070FBD"/>
    <w:rsid w:val="00077E5F"/>
    <w:rsid w:val="0008036A"/>
    <w:rsid w:val="00081AE6"/>
    <w:rsid w:val="000855EB"/>
    <w:rsid w:val="00085B52"/>
    <w:rsid w:val="000866F2"/>
    <w:rsid w:val="0009009F"/>
    <w:rsid w:val="00090145"/>
    <w:rsid w:val="00090CCA"/>
    <w:rsid w:val="00091557"/>
    <w:rsid w:val="000924C1"/>
    <w:rsid w:val="000924F0"/>
    <w:rsid w:val="00092FE2"/>
    <w:rsid w:val="00093474"/>
    <w:rsid w:val="0009510F"/>
    <w:rsid w:val="000A0AFD"/>
    <w:rsid w:val="000A1B7B"/>
    <w:rsid w:val="000A36C3"/>
    <w:rsid w:val="000A56F2"/>
    <w:rsid w:val="000A5AFE"/>
    <w:rsid w:val="000B2719"/>
    <w:rsid w:val="000B3A8F"/>
    <w:rsid w:val="000B4AB9"/>
    <w:rsid w:val="000B58C3"/>
    <w:rsid w:val="000B61E9"/>
    <w:rsid w:val="000C038F"/>
    <w:rsid w:val="000C03E7"/>
    <w:rsid w:val="000C165A"/>
    <w:rsid w:val="000C27C5"/>
    <w:rsid w:val="000C2E19"/>
    <w:rsid w:val="000C7397"/>
    <w:rsid w:val="000D0D07"/>
    <w:rsid w:val="000D2D69"/>
    <w:rsid w:val="000D4797"/>
    <w:rsid w:val="000D6017"/>
    <w:rsid w:val="000D6C88"/>
    <w:rsid w:val="000E0527"/>
    <w:rsid w:val="000E1E92"/>
    <w:rsid w:val="000E527D"/>
    <w:rsid w:val="000F06D6"/>
    <w:rsid w:val="000F0EB1"/>
    <w:rsid w:val="000F1106"/>
    <w:rsid w:val="000F3BE9"/>
    <w:rsid w:val="000F3F6C"/>
    <w:rsid w:val="000F4290"/>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47E84"/>
    <w:rsid w:val="001501DF"/>
    <w:rsid w:val="00151E23"/>
    <w:rsid w:val="001526E0"/>
    <w:rsid w:val="00154BC5"/>
    <w:rsid w:val="001551B5"/>
    <w:rsid w:val="00161D58"/>
    <w:rsid w:val="00162B29"/>
    <w:rsid w:val="001659C1"/>
    <w:rsid w:val="0016637B"/>
    <w:rsid w:val="00173A8E"/>
    <w:rsid w:val="00177587"/>
    <w:rsid w:val="0018143F"/>
    <w:rsid w:val="00190AC1"/>
    <w:rsid w:val="0019341A"/>
    <w:rsid w:val="00194A9F"/>
    <w:rsid w:val="001955A4"/>
    <w:rsid w:val="00197DF9"/>
    <w:rsid w:val="001A1987"/>
    <w:rsid w:val="001A2564"/>
    <w:rsid w:val="001A2B06"/>
    <w:rsid w:val="001A6173"/>
    <w:rsid w:val="001A65E5"/>
    <w:rsid w:val="001A6C02"/>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946"/>
    <w:rsid w:val="001E3F89"/>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4EA9"/>
    <w:rsid w:val="0021534A"/>
    <w:rsid w:val="00215423"/>
    <w:rsid w:val="002158FA"/>
    <w:rsid w:val="00220600"/>
    <w:rsid w:val="002224DB"/>
    <w:rsid w:val="00223FCB"/>
    <w:rsid w:val="002252C3"/>
    <w:rsid w:val="00225C54"/>
    <w:rsid w:val="00226745"/>
    <w:rsid w:val="00230765"/>
    <w:rsid w:val="00230D6D"/>
    <w:rsid w:val="002319E4"/>
    <w:rsid w:val="00235632"/>
    <w:rsid w:val="00235872"/>
    <w:rsid w:val="00236BF5"/>
    <w:rsid w:val="0024145F"/>
    <w:rsid w:val="00241559"/>
    <w:rsid w:val="002435B3"/>
    <w:rsid w:val="0024539D"/>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32CA"/>
    <w:rsid w:val="002B366E"/>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D35"/>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2115"/>
    <w:rsid w:val="00356C79"/>
    <w:rsid w:val="00357380"/>
    <w:rsid w:val="003602D9"/>
    <w:rsid w:val="003604CE"/>
    <w:rsid w:val="00370E47"/>
    <w:rsid w:val="003735A4"/>
    <w:rsid w:val="003742AC"/>
    <w:rsid w:val="00375476"/>
    <w:rsid w:val="00377CE1"/>
    <w:rsid w:val="00381B3C"/>
    <w:rsid w:val="00385BF0"/>
    <w:rsid w:val="00390400"/>
    <w:rsid w:val="0039066C"/>
    <w:rsid w:val="0039257A"/>
    <w:rsid w:val="003939FF"/>
    <w:rsid w:val="003977DD"/>
    <w:rsid w:val="003A2223"/>
    <w:rsid w:val="003A2A0F"/>
    <w:rsid w:val="003A45A1"/>
    <w:rsid w:val="003A5B0A"/>
    <w:rsid w:val="003A6BAC"/>
    <w:rsid w:val="003A6F87"/>
    <w:rsid w:val="003A7EF3"/>
    <w:rsid w:val="003B03C5"/>
    <w:rsid w:val="003B159C"/>
    <w:rsid w:val="003B369F"/>
    <w:rsid w:val="003B36A3"/>
    <w:rsid w:val="003B7739"/>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0F87"/>
    <w:rsid w:val="003F232B"/>
    <w:rsid w:val="003F2CD4"/>
    <w:rsid w:val="003F6BBE"/>
    <w:rsid w:val="004000E8"/>
    <w:rsid w:val="00400A95"/>
    <w:rsid w:val="00400FA4"/>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6BC0"/>
    <w:rsid w:val="00457565"/>
    <w:rsid w:val="00457B71"/>
    <w:rsid w:val="0046372D"/>
    <w:rsid w:val="004669E2"/>
    <w:rsid w:val="00470C31"/>
    <w:rsid w:val="00471B16"/>
    <w:rsid w:val="004734D0"/>
    <w:rsid w:val="0047475A"/>
    <w:rsid w:val="0047556B"/>
    <w:rsid w:val="00477768"/>
    <w:rsid w:val="00483BB6"/>
    <w:rsid w:val="00486ACF"/>
    <w:rsid w:val="00492BC5"/>
    <w:rsid w:val="004964F1"/>
    <w:rsid w:val="00497F83"/>
    <w:rsid w:val="004A16BC"/>
    <w:rsid w:val="004A2B94"/>
    <w:rsid w:val="004A3021"/>
    <w:rsid w:val="004A4E9C"/>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91E"/>
    <w:rsid w:val="00534B59"/>
    <w:rsid w:val="00536759"/>
    <w:rsid w:val="00537C62"/>
    <w:rsid w:val="0054294A"/>
    <w:rsid w:val="00543399"/>
    <w:rsid w:val="00546970"/>
    <w:rsid w:val="00547D9C"/>
    <w:rsid w:val="0055231F"/>
    <w:rsid w:val="00554E19"/>
    <w:rsid w:val="00560DAD"/>
    <w:rsid w:val="0056121F"/>
    <w:rsid w:val="00565488"/>
    <w:rsid w:val="00572505"/>
    <w:rsid w:val="005743A5"/>
    <w:rsid w:val="00582809"/>
    <w:rsid w:val="0058798C"/>
    <w:rsid w:val="00587FA9"/>
    <w:rsid w:val="005900FA"/>
    <w:rsid w:val="005935A4"/>
    <w:rsid w:val="005948C2"/>
    <w:rsid w:val="00595DCA"/>
    <w:rsid w:val="005972D5"/>
    <w:rsid w:val="0059779B"/>
    <w:rsid w:val="005A209A"/>
    <w:rsid w:val="005A288A"/>
    <w:rsid w:val="005A662D"/>
    <w:rsid w:val="005A68BA"/>
    <w:rsid w:val="005B04A1"/>
    <w:rsid w:val="005B1CDF"/>
    <w:rsid w:val="005B3063"/>
    <w:rsid w:val="005B35D7"/>
    <w:rsid w:val="005B392A"/>
    <w:rsid w:val="005B3AA3"/>
    <w:rsid w:val="005B6F83"/>
    <w:rsid w:val="005B7576"/>
    <w:rsid w:val="005C1729"/>
    <w:rsid w:val="005C74FB"/>
    <w:rsid w:val="005C7DAA"/>
    <w:rsid w:val="005D1602"/>
    <w:rsid w:val="005D6F32"/>
    <w:rsid w:val="005E1503"/>
    <w:rsid w:val="005E385F"/>
    <w:rsid w:val="005E3CCA"/>
    <w:rsid w:val="005E5834"/>
    <w:rsid w:val="005E5B81"/>
    <w:rsid w:val="005F2CB1"/>
    <w:rsid w:val="005F3025"/>
    <w:rsid w:val="005F599F"/>
    <w:rsid w:val="005F5B86"/>
    <w:rsid w:val="005F618C"/>
    <w:rsid w:val="005F70BD"/>
    <w:rsid w:val="00600F6A"/>
    <w:rsid w:val="006010AD"/>
    <w:rsid w:val="0060283C"/>
    <w:rsid w:val="00604F14"/>
    <w:rsid w:val="00605BE1"/>
    <w:rsid w:val="00606229"/>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3EEF"/>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2BD3"/>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C03B8"/>
    <w:rsid w:val="006C14EE"/>
    <w:rsid w:val="006C5EC9"/>
    <w:rsid w:val="006C6059"/>
    <w:rsid w:val="006C7522"/>
    <w:rsid w:val="006D42E6"/>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0FE6"/>
    <w:rsid w:val="0070346E"/>
    <w:rsid w:val="00704EDB"/>
    <w:rsid w:val="00706101"/>
    <w:rsid w:val="00707072"/>
    <w:rsid w:val="00707D61"/>
    <w:rsid w:val="00712287"/>
    <w:rsid w:val="00712772"/>
    <w:rsid w:val="007148D3"/>
    <w:rsid w:val="00715B9A"/>
    <w:rsid w:val="00726EA6"/>
    <w:rsid w:val="00727208"/>
    <w:rsid w:val="00727680"/>
    <w:rsid w:val="007322C9"/>
    <w:rsid w:val="007336DC"/>
    <w:rsid w:val="007348B1"/>
    <w:rsid w:val="00735268"/>
    <w:rsid w:val="007362A6"/>
    <w:rsid w:val="00736D7D"/>
    <w:rsid w:val="00740E58"/>
    <w:rsid w:val="0074428B"/>
    <w:rsid w:val="007445A0"/>
    <w:rsid w:val="0074524B"/>
    <w:rsid w:val="00747D8B"/>
    <w:rsid w:val="007508A2"/>
    <w:rsid w:val="00751228"/>
    <w:rsid w:val="007541CE"/>
    <w:rsid w:val="007571E1"/>
    <w:rsid w:val="007604B2"/>
    <w:rsid w:val="00765281"/>
    <w:rsid w:val="00766BAD"/>
    <w:rsid w:val="0076708C"/>
    <w:rsid w:val="007755F2"/>
    <w:rsid w:val="00776971"/>
    <w:rsid w:val="0078177E"/>
    <w:rsid w:val="0078304C"/>
    <w:rsid w:val="00783673"/>
    <w:rsid w:val="00785490"/>
    <w:rsid w:val="00785E2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BA6"/>
    <w:rsid w:val="007D5901"/>
    <w:rsid w:val="007D7526"/>
    <w:rsid w:val="007E1DEB"/>
    <w:rsid w:val="007E4610"/>
    <w:rsid w:val="007E4715"/>
    <w:rsid w:val="007E505B"/>
    <w:rsid w:val="007E7091"/>
    <w:rsid w:val="007E784D"/>
    <w:rsid w:val="007F5431"/>
    <w:rsid w:val="007F60D8"/>
    <w:rsid w:val="00801A3F"/>
    <w:rsid w:val="00803FAE"/>
    <w:rsid w:val="0080605F"/>
    <w:rsid w:val="00807786"/>
    <w:rsid w:val="0081144B"/>
    <w:rsid w:val="00811FCB"/>
    <w:rsid w:val="008158D6"/>
    <w:rsid w:val="00816203"/>
    <w:rsid w:val="00817196"/>
    <w:rsid w:val="008235DB"/>
    <w:rsid w:val="00824AB4"/>
    <w:rsid w:val="00825C42"/>
    <w:rsid w:val="00825D25"/>
    <w:rsid w:val="00826C8B"/>
    <w:rsid w:val="00827D6F"/>
    <w:rsid w:val="00831C7B"/>
    <w:rsid w:val="0083700D"/>
    <w:rsid w:val="008376AC"/>
    <w:rsid w:val="008444E8"/>
    <w:rsid w:val="00844E80"/>
    <w:rsid w:val="00846FE7"/>
    <w:rsid w:val="00853569"/>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94936"/>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1AFE"/>
    <w:rsid w:val="00902350"/>
    <w:rsid w:val="0090336B"/>
    <w:rsid w:val="009053AA"/>
    <w:rsid w:val="0090544E"/>
    <w:rsid w:val="00906939"/>
    <w:rsid w:val="0091065F"/>
    <w:rsid w:val="00910B7D"/>
    <w:rsid w:val="00911DFB"/>
    <w:rsid w:val="009139D9"/>
    <w:rsid w:val="00913E71"/>
    <w:rsid w:val="00914AD8"/>
    <w:rsid w:val="00914AE6"/>
    <w:rsid w:val="009158A3"/>
    <w:rsid w:val="00916046"/>
    <w:rsid w:val="00916079"/>
    <w:rsid w:val="00917CE9"/>
    <w:rsid w:val="00920BF2"/>
    <w:rsid w:val="00922010"/>
    <w:rsid w:val="00927915"/>
    <w:rsid w:val="00931363"/>
    <w:rsid w:val="00931BD9"/>
    <w:rsid w:val="0093523B"/>
    <w:rsid w:val="009368F3"/>
    <w:rsid w:val="009403FB"/>
    <w:rsid w:val="00941636"/>
    <w:rsid w:val="00943742"/>
    <w:rsid w:val="00945C05"/>
    <w:rsid w:val="00946945"/>
    <w:rsid w:val="00947713"/>
    <w:rsid w:val="00950DE7"/>
    <w:rsid w:val="00951AF2"/>
    <w:rsid w:val="00953920"/>
    <w:rsid w:val="00953D47"/>
    <w:rsid w:val="00954DEB"/>
    <w:rsid w:val="0095681E"/>
    <w:rsid w:val="009572D4"/>
    <w:rsid w:val="00961921"/>
    <w:rsid w:val="0096430A"/>
    <w:rsid w:val="0096554B"/>
    <w:rsid w:val="0096584A"/>
    <w:rsid w:val="009675AA"/>
    <w:rsid w:val="009711F3"/>
    <w:rsid w:val="00971F08"/>
    <w:rsid w:val="009739BB"/>
    <w:rsid w:val="0097539F"/>
    <w:rsid w:val="0097603D"/>
    <w:rsid w:val="00976949"/>
    <w:rsid w:val="00980477"/>
    <w:rsid w:val="00985253"/>
    <w:rsid w:val="009853B3"/>
    <w:rsid w:val="00986253"/>
    <w:rsid w:val="00990630"/>
    <w:rsid w:val="00990ABC"/>
    <w:rsid w:val="00991761"/>
    <w:rsid w:val="009940CF"/>
    <w:rsid w:val="00994DCA"/>
    <w:rsid w:val="00995EC4"/>
    <w:rsid w:val="009960EC"/>
    <w:rsid w:val="009970DD"/>
    <w:rsid w:val="009976D3"/>
    <w:rsid w:val="009A04FA"/>
    <w:rsid w:val="009A0FBA"/>
    <w:rsid w:val="009A1601"/>
    <w:rsid w:val="009A1E45"/>
    <w:rsid w:val="009A2251"/>
    <w:rsid w:val="009A2BD6"/>
    <w:rsid w:val="009A462D"/>
    <w:rsid w:val="009A5CBA"/>
    <w:rsid w:val="009A7879"/>
    <w:rsid w:val="009B1F30"/>
    <w:rsid w:val="009B3AC2"/>
    <w:rsid w:val="009B4DF4"/>
    <w:rsid w:val="009B564E"/>
    <w:rsid w:val="009B7E87"/>
    <w:rsid w:val="009C36BB"/>
    <w:rsid w:val="009C403E"/>
    <w:rsid w:val="009C5408"/>
    <w:rsid w:val="009D28AD"/>
    <w:rsid w:val="009D38B6"/>
    <w:rsid w:val="009D48D5"/>
    <w:rsid w:val="009D4FF0"/>
    <w:rsid w:val="009D703C"/>
    <w:rsid w:val="009D718F"/>
    <w:rsid w:val="009E068F"/>
    <w:rsid w:val="009E14E0"/>
    <w:rsid w:val="009E35DB"/>
    <w:rsid w:val="009E47A3"/>
    <w:rsid w:val="009F08F3"/>
    <w:rsid w:val="009F2B92"/>
    <w:rsid w:val="009F344F"/>
    <w:rsid w:val="009F7EC6"/>
    <w:rsid w:val="00A048A8"/>
    <w:rsid w:val="00A04F49"/>
    <w:rsid w:val="00A07A3D"/>
    <w:rsid w:val="00A12509"/>
    <w:rsid w:val="00A13E54"/>
    <w:rsid w:val="00A14603"/>
    <w:rsid w:val="00A17F63"/>
    <w:rsid w:val="00A20B9F"/>
    <w:rsid w:val="00A2193B"/>
    <w:rsid w:val="00A2351A"/>
    <w:rsid w:val="00A23A3B"/>
    <w:rsid w:val="00A264A9"/>
    <w:rsid w:val="00A27785"/>
    <w:rsid w:val="00A27C9E"/>
    <w:rsid w:val="00A30187"/>
    <w:rsid w:val="00A31C10"/>
    <w:rsid w:val="00A3228F"/>
    <w:rsid w:val="00A3448A"/>
    <w:rsid w:val="00A36297"/>
    <w:rsid w:val="00A3793A"/>
    <w:rsid w:val="00A41123"/>
    <w:rsid w:val="00A41E2B"/>
    <w:rsid w:val="00A45B74"/>
    <w:rsid w:val="00A5254D"/>
    <w:rsid w:val="00A52E1D"/>
    <w:rsid w:val="00A57A1E"/>
    <w:rsid w:val="00A61499"/>
    <w:rsid w:val="00A62A77"/>
    <w:rsid w:val="00A63483"/>
    <w:rsid w:val="00A657D7"/>
    <w:rsid w:val="00A660AC"/>
    <w:rsid w:val="00A66E56"/>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AED"/>
    <w:rsid w:val="00AB2E29"/>
    <w:rsid w:val="00AB4AB8"/>
    <w:rsid w:val="00AB655E"/>
    <w:rsid w:val="00AB7B6B"/>
    <w:rsid w:val="00AC007F"/>
    <w:rsid w:val="00AC0C54"/>
    <w:rsid w:val="00AC1DBA"/>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17CEC"/>
    <w:rsid w:val="00B20256"/>
    <w:rsid w:val="00B20D09"/>
    <w:rsid w:val="00B222B8"/>
    <w:rsid w:val="00B2763F"/>
    <w:rsid w:val="00B27AAC"/>
    <w:rsid w:val="00B30929"/>
    <w:rsid w:val="00B372AA"/>
    <w:rsid w:val="00B40445"/>
    <w:rsid w:val="00B40975"/>
    <w:rsid w:val="00B41888"/>
    <w:rsid w:val="00B436F4"/>
    <w:rsid w:val="00B45A52"/>
    <w:rsid w:val="00B46175"/>
    <w:rsid w:val="00B563F3"/>
    <w:rsid w:val="00B664C7"/>
    <w:rsid w:val="00B739F6"/>
    <w:rsid w:val="00B7527D"/>
    <w:rsid w:val="00B76179"/>
    <w:rsid w:val="00B8088E"/>
    <w:rsid w:val="00B816EA"/>
    <w:rsid w:val="00B81A6C"/>
    <w:rsid w:val="00B81B0D"/>
    <w:rsid w:val="00B85DE5"/>
    <w:rsid w:val="00B872F6"/>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E2C"/>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39E1"/>
    <w:rsid w:val="00C14D4B"/>
    <w:rsid w:val="00C154BB"/>
    <w:rsid w:val="00C22738"/>
    <w:rsid w:val="00C26796"/>
    <w:rsid w:val="00C279B5"/>
    <w:rsid w:val="00C27C45"/>
    <w:rsid w:val="00C36C34"/>
    <w:rsid w:val="00C3719D"/>
    <w:rsid w:val="00C45B86"/>
    <w:rsid w:val="00C46F0A"/>
    <w:rsid w:val="00C4713E"/>
    <w:rsid w:val="00C54995"/>
    <w:rsid w:val="00C54D41"/>
    <w:rsid w:val="00C60783"/>
    <w:rsid w:val="00C632A4"/>
    <w:rsid w:val="00C643F6"/>
    <w:rsid w:val="00C64672"/>
    <w:rsid w:val="00C65BC9"/>
    <w:rsid w:val="00C6628F"/>
    <w:rsid w:val="00C701C1"/>
    <w:rsid w:val="00C70697"/>
    <w:rsid w:val="00C7110B"/>
    <w:rsid w:val="00C72EF4"/>
    <w:rsid w:val="00C75D2F"/>
    <w:rsid w:val="00C767BE"/>
    <w:rsid w:val="00C76E3C"/>
    <w:rsid w:val="00C77776"/>
    <w:rsid w:val="00C77795"/>
    <w:rsid w:val="00C81568"/>
    <w:rsid w:val="00C9027A"/>
    <w:rsid w:val="00C9068E"/>
    <w:rsid w:val="00C93C4B"/>
    <w:rsid w:val="00C944AB"/>
    <w:rsid w:val="00C95B40"/>
    <w:rsid w:val="00CA1ED8"/>
    <w:rsid w:val="00CB1F63"/>
    <w:rsid w:val="00CB7170"/>
    <w:rsid w:val="00CC040E"/>
    <w:rsid w:val="00CC111F"/>
    <w:rsid w:val="00CC2011"/>
    <w:rsid w:val="00CC3EA0"/>
    <w:rsid w:val="00CC643D"/>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231D"/>
    <w:rsid w:val="00D13135"/>
    <w:rsid w:val="00D13E4E"/>
    <w:rsid w:val="00D20493"/>
    <w:rsid w:val="00D22D5E"/>
    <w:rsid w:val="00D239A7"/>
    <w:rsid w:val="00D23F47"/>
    <w:rsid w:val="00D32A9B"/>
    <w:rsid w:val="00D36E71"/>
    <w:rsid w:val="00D3710F"/>
    <w:rsid w:val="00D37D87"/>
    <w:rsid w:val="00D40B33"/>
    <w:rsid w:val="00D4318F"/>
    <w:rsid w:val="00D438BF"/>
    <w:rsid w:val="00D440F8"/>
    <w:rsid w:val="00D470C9"/>
    <w:rsid w:val="00D546FF"/>
    <w:rsid w:val="00D547DD"/>
    <w:rsid w:val="00D55AD5"/>
    <w:rsid w:val="00D576CA"/>
    <w:rsid w:val="00D61AF5"/>
    <w:rsid w:val="00D652B5"/>
    <w:rsid w:val="00D66155"/>
    <w:rsid w:val="00D669FF"/>
    <w:rsid w:val="00D66CAA"/>
    <w:rsid w:val="00D708B0"/>
    <w:rsid w:val="00D70B53"/>
    <w:rsid w:val="00D77B1D"/>
    <w:rsid w:val="00D8005C"/>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7DB7"/>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17C9"/>
    <w:rsid w:val="00E52A05"/>
    <w:rsid w:val="00E53B75"/>
    <w:rsid w:val="00E54E3B"/>
    <w:rsid w:val="00E57565"/>
    <w:rsid w:val="00E63838"/>
    <w:rsid w:val="00E64434"/>
    <w:rsid w:val="00E67C51"/>
    <w:rsid w:val="00E72EFC"/>
    <w:rsid w:val="00E758EC"/>
    <w:rsid w:val="00E77CCC"/>
    <w:rsid w:val="00E8032E"/>
    <w:rsid w:val="00E8234C"/>
    <w:rsid w:val="00E83AA9"/>
    <w:rsid w:val="00E84956"/>
    <w:rsid w:val="00E85928"/>
    <w:rsid w:val="00E87822"/>
    <w:rsid w:val="00E90395"/>
    <w:rsid w:val="00E90E49"/>
    <w:rsid w:val="00E917F9"/>
    <w:rsid w:val="00E9291C"/>
    <w:rsid w:val="00E93FFE"/>
    <w:rsid w:val="00E94F8A"/>
    <w:rsid w:val="00E951EC"/>
    <w:rsid w:val="00E95E70"/>
    <w:rsid w:val="00E9752B"/>
    <w:rsid w:val="00EA7A41"/>
    <w:rsid w:val="00EB031C"/>
    <w:rsid w:val="00EB077B"/>
    <w:rsid w:val="00EB0908"/>
    <w:rsid w:val="00EB4EA2"/>
    <w:rsid w:val="00EB7F98"/>
    <w:rsid w:val="00EC27C6"/>
    <w:rsid w:val="00EC4207"/>
    <w:rsid w:val="00EC5653"/>
    <w:rsid w:val="00EC71CE"/>
    <w:rsid w:val="00ED1006"/>
    <w:rsid w:val="00ED1628"/>
    <w:rsid w:val="00ED2AAD"/>
    <w:rsid w:val="00ED44FC"/>
    <w:rsid w:val="00ED7D94"/>
    <w:rsid w:val="00EF18FE"/>
    <w:rsid w:val="00EF1F07"/>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4F7E"/>
    <w:rsid w:val="00F4766C"/>
    <w:rsid w:val="00F50548"/>
    <w:rsid w:val="00F507D1"/>
    <w:rsid w:val="00F514BD"/>
    <w:rsid w:val="00F519CE"/>
    <w:rsid w:val="00F51ADA"/>
    <w:rsid w:val="00F53D91"/>
    <w:rsid w:val="00F56091"/>
    <w:rsid w:val="00F572C8"/>
    <w:rsid w:val="00F607C5"/>
    <w:rsid w:val="00F60DEA"/>
    <w:rsid w:val="00F62A09"/>
    <w:rsid w:val="00F6302A"/>
    <w:rsid w:val="00F64C2B"/>
    <w:rsid w:val="00F651BE"/>
    <w:rsid w:val="00F67F53"/>
    <w:rsid w:val="00F703BE"/>
    <w:rsid w:val="00F71F69"/>
    <w:rsid w:val="00F72B72"/>
    <w:rsid w:val="00F74BB9"/>
    <w:rsid w:val="00F75582"/>
    <w:rsid w:val="00F765A3"/>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292F"/>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s://bscw.5g-mmmagic.eu/pub/bscw.cgi/d95056/mmMAGIC_D5_1.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4"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SAQRZK7RPU5V-1-469</_dlc_DocId>
    <_dlc_DocIdUrl xmlns="08b2df90-05d3-4030-90d4-c9feeb4a1cd9">
      <Url>https://ericoll.internal.ericsson.com/sites/NSA/_layouts/DocIdRedir.aspx?ID=SAQRZK7RPU5V-1-469</Url>
      <Description>SAQRZK7RPU5V-1-469</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A7212F59-CF10-477C-9836-AAC2DD41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124</TotalTime>
  <Pages>5</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Robert</dc:creator>
  <cp:keywords>Ericsson; TDoc; 3GPP</cp:keywords>
  <cp:lastModifiedBy>Robert Baldemair</cp:lastModifiedBy>
  <cp:revision>10</cp:revision>
  <cp:lastPrinted>2016-01-26T08:44:00Z</cp:lastPrinted>
  <dcterms:created xsi:type="dcterms:W3CDTF">2016-05-11T08:31:00Z</dcterms:created>
  <dcterms:modified xsi:type="dcterms:W3CDTF">2016-05-13T14:41:00Z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c1d491d8-bc95-4518-a62a-8b374742092c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