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A6" w:rsidRPr="00446F9D" w:rsidRDefault="007170A6" w:rsidP="007170A6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85</w:t>
      </w:r>
      <w:r w:rsidRPr="00446F9D">
        <w:tab/>
        <w:t>R1-</w:t>
      </w:r>
      <w:r>
        <w:t>16</w:t>
      </w:r>
      <w:r w:rsidR="00000781">
        <w:t>4628</w:t>
      </w:r>
    </w:p>
    <w:p w:rsidR="007170A6" w:rsidRPr="000833FA" w:rsidRDefault="007170A6" w:rsidP="007170A6">
      <w:pPr>
        <w:pStyle w:val="Header"/>
        <w:rPr>
          <w:color w:val="000000"/>
        </w:rPr>
      </w:pPr>
      <w:r>
        <w:t>Nanjing</w:t>
      </w:r>
      <w:r w:rsidRPr="000833FA">
        <w:t xml:space="preserve">, </w:t>
      </w:r>
      <w:r>
        <w:t>China</w:t>
      </w:r>
      <w:r w:rsidRPr="000833FA">
        <w:t>,</w:t>
      </w:r>
      <w:r>
        <w:t xml:space="preserve"> May 23 – 27, 2016</w:t>
      </w:r>
    </w:p>
    <w:p w:rsidR="007170A6" w:rsidRPr="000833FA" w:rsidRDefault="007170A6" w:rsidP="007170A6">
      <w:pPr>
        <w:pStyle w:val="Header"/>
      </w:pPr>
    </w:p>
    <w:p w:rsidR="007170A6" w:rsidRPr="0003368D" w:rsidRDefault="007170A6" w:rsidP="007170A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7170A6" w:rsidRPr="00F64D4A" w:rsidRDefault="007170A6" w:rsidP="007170A6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>
        <w:t>Frame structure for NR</w:t>
      </w:r>
    </w:p>
    <w:p w:rsidR="007170A6" w:rsidRPr="0003368D" w:rsidRDefault="007170A6" w:rsidP="007170A6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345DEE">
        <w:t>7.1.4</w:t>
      </w:r>
    </w:p>
    <w:p w:rsidR="007170A6" w:rsidRPr="0003368D" w:rsidRDefault="007170A6" w:rsidP="007170A6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FE5799" w:rsidP="00FE5799">
      <w:pPr>
        <w:pStyle w:val="Heading1"/>
        <w:spacing w:before="180"/>
        <w:ind w:left="562" w:hanging="562"/>
      </w:pPr>
      <w:r>
        <w:t>Introduction</w:t>
      </w:r>
    </w:p>
    <w:p w:rsidR="006952A0" w:rsidRPr="00CD25F1" w:rsidRDefault="006952A0" w:rsidP="006952A0">
      <w:pPr>
        <w:pStyle w:val="BodyText"/>
      </w:pPr>
      <w:r>
        <w:t>Transmissions in the new RAT are organized in subframes, similarly to LTE although the subframe duration is likely to be shorter than LTE to allow for a lower overall latency and may scale with the applied numerology.</w:t>
      </w:r>
    </w:p>
    <w:p w:rsidR="006952A0" w:rsidRDefault="00577474" w:rsidP="006952A0">
      <w:pPr>
        <w:pStyle w:val="BodyText"/>
      </w:pPr>
      <w:r>
        <w:t>R</w:t>
      </w:r>
      <w:r w:rsidR="006952A0">
        <w:t>equirements on the frame structure</w:t>
      </w:r>
      <w:r>
        <w:t xml:space="preserve"> include: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>Allow for low latency. This requires fairly short basic subframe duration in the range of 100 – 200 µs but also the possibility for a fast feedback of the hybrid-ARQ acknowledgement.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>Allow for dynamic TDD, i.e. decisions on the “direc</w:t>
      </w:r>
      <w:r w:rsidR="007170A6">
        <w:t xml:space="preserve">tion” (uplink or downlink) of the data transmission </w:t>
      </w:r>
      <w:r>
        <w:t xml:space="preserve">is taken by the scheduler on a dynamic basis. 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 xml:space="preserve">Allow for coexistence with LTE </w:t>
      </w:r>
      <w:r w:rsidR="00AA02A4">
        <w:t xml:space="preserve">frame structure 2 </w:t>
      </w:r>
      <w:r>
        <w:t>in neighboring carriers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 xml:space="preserve">Allow for variable transmission lengths, e.g. short transmissions for critical MTC and longer transmissions durations for MBB 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>Allow for “on the fly” processing for low latency</w:t>
      </w:r>
    </w:p>
    <w:p w:rsidR="00CD25F1" w:rsidRDefault="00BC406C" w:rsidP="00CD25F1">
      <w:pPr>
        <w:pStyle w:val="Heading1"/>
      </w:pPr>
      <w:r>
        <w:t>Frame structure</w:t>
      </w:r>
    </w:p>
    <w:p w:rsidR="00BC406C" w:rsidRDefault="00334282" w:rsidP="00BC406C">
      <w:pPr>
        <w:pStyle w:val="BodyText"/>
      </w:pPr>
      <w:r>
        <w:t>B</w:t>
      </w:r>
      <w:r w:rsidR="00BC406C">
        <w:t xml:space="preserve">ased on </w:t>
      </w:r>
      <w:r>
        <w:t xml:space="preserve">the </w:t>
      </w:r>
      <w:r w:rsidR="00BC406C">
        <w:t>two “building blocks”</w:t>
      </w:r>
      <w:r>
        <w:t xml:space="preserve"> in </w:t>
      </w:r>
      <w:r>
        <w:fldChar w:fldCharType="begin"/>
      </w:r>
      <w:r>
        <w:instrText xml:space="preserve"> REF _Ref445128291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</w:t>
      </w:r>
    </w:p>
    <w:p w:rsidR="00334282" w:rsidRDefault="00334282" w:rsidP="003776DB">
      <w:pPr>
        <w:pStyle w:val="ListParagraph"/>
        <w:numPr>
          <w:ilvl w:val="0"/>
          <w:numId w:val="7"/>
        </w:numPr>
      </w:pPr>
      <w:r>
        <w:t>a downlink subframe with transmissions starting at the beginning of the subframe, and</w:t>
      </w:r>
    </w:p>
    <w:p w:rsidR="00334282" w:rsidRDefault="00334282" w:rsidP="003776DB">
      <w:pPr>
        <w:pStyle w:val="ListParagraph"/>
        <w:numPr>
          <w:ilvl w:val="0"/>
          <w:numId w:val="7"/>
        </w:numPr>
      </w:pPr>
      <w:r>
        <w:t>an uplink subframe with transmissions ending at the end of a subframe,</w:t>
      </w:r>
    </w:p>
    <w:p w:rsidR="00334282" w:rsidRDefault="00334282" w:rsidP="00334282">
      <w:pPr>
        <w:pStyle w:val="BodyText"/>
      </w:pPr>
      <w:proofErr w:type="gramStart"/>
      <w:r>
        <w:t>transmissions</w:t>
      </w:r>
      <w:proofErr w:type="gramEnd"/>
      <w:r>
        <w:t xml:space="preserve"> spanning one or more subframes can be composed as shown in </w:t>
      </w:r>
      <w:r>
        <w:fldChar w:fldCharType="begin"/>
      </w:r>
      <w:r>
        <w:instrText xml:space="preserve"> REF _Ref445128368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  <w:r w:rsidR="006952A0">
        <w:t>Transmissions do</w:t>
      </w:r>
      <w:r>
        <w:t xml:space="preserve"> not have to be confined to a single subframe; </w:t>
      </w:r>
      <w:r w:rsidR="002D2F5A">
        <w:t xml:space="preserve">multi-subframe transmissions are possible as shown in the right part of </w:t>
      </w:r>
      <w:r w:rsidR="002D2F5A">
        <w:fldChar w:fldCharType="begin"/>
      </w:r>
      <w:r w:rsidR="002D2F5A">
        <w:instrText xml:space="preserve"> REF _Ref445128368 \h </w:instrText>
      </w:r>
      <w:r w:rsidR="002D2F5A">
        <w:fldChar w:fldCharType="separate"/>
      </w:r>
      <w:r w:rsidR="002D2F5A">
        <w:t xml:space="preserve">Figure </w:t>
      </w:r>
      <w:r w:rsidR="002D2F5A">
        <w:rPr>
          <w:noProof/>
        </w:rPr>
        <w:t>2</w:t>
      </w:r>
      <w:r w:rsidR="002D2F5A">
        <w:fldChar w:fldCharType="end"/>
      </w:r>
      <w:r w:rsidR="002D2F5A">
        <w:t xml:space="preserve">. Having longer transmission durations than the basic subframe duration is beneficial for services not requiring very low latency as a way to reduce the </w:t>
      </w:r>
      <w:r w:rsidR="003776DB">
        <w:t>overhead in TDD</w:t>
      </w:r>
      <w:r w:rsidR="00572C6A">
        <w:t xml:space="preserve"> due to switching, RS and control</w:t>
      </w:r>
      <w:r w:rsidR="003776DB">
        <w:t>.</w:t>
      </w:r>
    </w:p>
    <w:p w:rsidR="003776DB" w:rsidRDefault="003776DB" w:rsidP="003776DB">
      <w:pPr>
        <w:pStyle w:val="BodyText"/>
      </w:pPr>
      <w:r>
        <w:t xml:space="preserve">The same frame structure can be used for FDD as well as illustrated in </w:t>
      </w:r>
      <w:r>
        <w:fldChar w:fldCharType="begin"/>
      </w:r>
      <w:r>
        <w:instrText xml:space="preserve"> REF _Ref445128953 \h  \* MERGEFORMAT </w:instrText>
      </w:r>
      <w:r>
        <w:fldChar w:fldCharType="separate"/>
      </w:r>
      <w:r>
        <w:t>Figure 3</w:t>
      </w:r>
      <w:r>
        <w:fldChar w:fldCharType="end"/>
      </w:r>
      <w:r>
        <w:t xml:space="preserve">. However, since a full-duplex FDD UE is capable of simultaneous reception and transmission the full downlink subframe can be exploited for data transmission. This can be handled by using a different timing advance than in the TDD case. </w:t>
      </w:r>
    </w:p>
    <w:p w:rsidR="003776DB" w:rsidRDefault="003776DB" w:rsidP="003776DB">
      <w:pPr>
        <w:pStyle w:val="BodyText"/>
      </w:pPr>
      <w:r>
        <w:t xml:space="preserve">Finally, the frame structure is applicable also for </w:t>
      </w:r>
      <w:proofErr w:type="spellStart"/>
      <w:r>
        <w:t>sidelink</w:t>
      </w:r>
      <w:proofErr w:type="spellEnd"/>
      <w:r>
        <w:t xml:space="preserve"> transmissions. In that case the “downlink” frame structure is used by the device initiating (scheduling) the transmission and the “uplink” frame structure by the device responding to the transmission.</w:t>
      </w:r>
    </w:p>
    <w:p w:rsidR="008D4CAD" w:rsidRPr="008D4CAD" w:rsidRDefault="008D4CAD" w:rsidP="003776DB">
      <w:pPr>
        <w:pStyle w:val="BodyText"/>
        <w:rPr>
          <w:b/>
        </w:rPr>
      </w:pPr>
      <w:r w:rsidRPr="008D4CAD">
        <w:rPr>
          <w:b/>
        </w:rPr>
        <w:t>Proposal:</w:t>
      </w:r>
    </w:p>
    <w:p w:rsidR="008D4CAD" w:rsidRPr="008D4CAD" w:rsidRDefault="008D4CAD" w:rsidP="008D4CAD">
      <w:pPr>
        <w:pStyle w:val="BodyText"/>
        <w:numPr>
          <w:ilvl w:val="0"/>
          <w:numId w:val="8"/>
        </w:numPr>
        <w:rPr>
          <w:b/>
        </w:rPr>
      </w:pPr>
      <w:r w:rsidRPr="008D4CAD">
        <w:rPr>
          <w:b/>
        </w:rPr>
        <w:t xml:space="preserve">Define two </w:t>
      </w:r>
      <w:proofErr w:type="spellStart"/>
      <w:r w:rsidRPr="008D4CAD">
        <w:rPr>
          <w:b/>
        </w:rPr>
        <w:t>subframes</w:t>
      </w:r>
      <w:proofErr w:type="spellEnd"/>
      <w:r w:rsidRPr="008D4CAD">
        <w:rPr>
          <w:b/>
        </w:rPr>
        <w:t xml:space="preserve"> types</w:t>
      </w:r>
    </w:p>
    <w:p w:rsidR="008D4CAD" w:rsidRPr="008D4CAD" w:rsidRDefault="008D4CAD" w:rsidP="008D4CAD">
      <w:pPr>
        <w:pStyle w:val="ListParagraph"/>
        <w:numPr>
          <w:ilvl w:val="1"/>
          <w:numId w:val="8"/>
        </w:numPr>
        <w:rPr>
          <w:b/>
        </w:rPr>
      </w:pPr>
      <w:r w:rsidRPr="008D4CAD">
        <w:rPr>
          <w:b/>
        </w:rPr>
        <w:t xml:space="preserve">a downlink </w:t>
      </w:r>
      <w:proofErr w:type="spellStart"/>
      <w:r w:rsidRPr="008D4CAD">
        <w:rPr>
          <w:b/>
        </w:rPr>
        <w:t>subframe</w:t>
      </w:r>
      <w:proofErr w:type="spellEnd"/>
      <w:r w:rsidRPr="008D4CAD">
        <w:rPr>
          <w:b/>
        </w:rPr>
        <w:t xml:space="preserve"> with transmissions starting at the beginning of the </w:t>
      </w:r>
      <w:proofErr w:type="spellStart"/>
      <w:r w:rsidRPr="008D4CAD">
        <w:rPr>
          <w:b/>
        </w:rPr>
        <w:t>subframe</w:t>
      </w:r>
      <w:proofErr w:type="spellEnd"/>
    </w:p>
    <w:p w:rsidR="008D4CAD" w:rsidRPr="008D4CAD" w:rsidRDefault="008D4CAD" w:rsidP="008D4CAD">
      <w:pPr>
        <w:pStyle w:val="ListParagraph"/>
        <w:numPr>
          <w:ilvl w:val="1"/>
          <w:numId w:val="8"/>
        </w:numPr>
        <w:rPr>
          <w:b/>
        </w:rPr>
      </w:pPr>
      <w:r w:rsidRPr="008D4CAD">
        <w:rPr>
          <w:b/>
        </w:rPr>
        <w:t xml:space="preserve">an uplink </w:t>
      </w:r>
      <w:proofErr w:type="spellStart"/>
      <w:r w:rsidRPr="008D4CAD">
        <w:rPr>
          <w:b/>
        </w:rPr>
        <w:t>subframe</w:t>
      </w:r>
      <w:proofErr w:type="spellEnd"/>
      <w:r w:rsidRPr="008D4CAD">
        <w:rPr>
          <w:b/>
        </w:rPr>
        <w:t xml:space="preserve"> with transmissions </w:t>
      </w:r>
      <w:r>
        <w:rPr>
          <w:b/>
        </w:rPr>
        <w:t xml:space="preserve">ending at the end of a </w:t>
      </w:r>
      <w:proofErr w:type="spellStart"/>
      <w:r>
        <w:rPr>
          <w:b/>
        </w:rPr>
        <w:t>subframe</w:t>
      </w:r>
      <w:proofErr w:type="spellEnd"/>
    </w:p>
    <w:p w:rsidR="008D4CAD" w:rsidRDefault="008D4CAD" w:rsidP="003776DB">
      <w:pPr>
        <w:pStyle w:val="BodyText"/>
      </w:pPr>
    </w:p>
    <w:p w:rsidR="004E15C4" w:rsidRDefault="004E15C4" w:rsidP="003776DB">
      <w:pPr>
        <w:pStyle w:val="BodyText"/>
      </w:pPr>
    </w:p>
    <w:p w:rsidR="00334282" w:rsidRDefault="00334282" w:rsidP="003776DB">
      <w:pPr>
        <w:pStyle w:val="BodyText"/>
      </w:pPr>
      <w:r w:rsidRPr="00334282">
        <w:rPr>
          <w:noProof/>
          <w:lang w:val="sv-SE" w:eastAsia="sv-SE"/>
        </w:rPr>
        <w:drawing>
          <wp:inline distT="0" distB="0" distL="0" distR="0" wp14:anchorId="2224BFD8" wp14:editId="76E07637">
            <wp:extent cx="3928679" cy="857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763" cy="85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06C" w:rsidRDefault="00334282" w:rsidP="00334282">
      <w:pPr>
        <w:pStyle w:val="Caption"/>
        <w:jc w:val="both"/>
      </w:pPr>
      <w:bookmarkStart w:id="3" w:name="_Ref4451282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248C">
        <w:rPr>
          <w:noProof/>
        </w:rPr>
        <w:t>1</w:t>
      </w:r>
      <w:r>
        <w:fldChar w:fldCharType="end"/>
      </w:r>
      <w:bookmarkEnd w:id="3"/>
      <w:r>
        <w:t>: Uplink and downlink "building blocks"</w:t>
      </w:r>
    </w:p>
    <w:p w:rsidR="004E15C4" w:rsidRPr="004E15C4" w:rsidRDefault="004E15C4" w:rsidP="004E15C4"/>
    <w:p w:rsidR="00334282" w:rsidRDefault="00334282" w:rsidP="003776DB">
      <w:pPr>
        <w:pStyle w:val="BodyText"/>
      </w:pPr>
      <w:r w:rsidRPr="00334282">
        <w:rPr>
          <w:noProof/>
          <w:lang w:val="sv-SE" w:eastAsia="sv-SE"/>
        </w:rPr>
        <w:lastRenderedPageBreak/>
        <w:drawing>
          <wp:inline distT="0" distB="0" distL="0" distR="0" wp14:anchorId="1C241764" wp14:editId="2FA21119">
            <wp:extent cx="5760720" cy="8966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6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06C" w:rsidRDefault="00334282" w:rsidP="00334282">
      <w:pPr>
        <w:pStyle w:val="Caption"/>
        <w:jc w:val="both"/>
      </w:pPr>
      <w:bookmarkStart w:id="4" w:name="_Ref4451283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248C">
        <w:rPr>
          <w:noProof/>
        </w:rPr>
        <w:t>2</w:t>
      </w:r>
      <w:r>
        <w:fldChar w:fldCharType="end"/>
      </w:r>
      <w:bookmarkEnd w:id="4"/>
      <w:r>
        <w:t>: Example of downlink transmissions spanning one and two subframes</w:t>
      </w:r>
      <w:r w:rsidR="002D2F5A">
        <w:t xml:space="preserve"> in case of TDD</w:t>
      </w:r>
      <w:r>
        <w:t>.</w:t>
      </w:r>
    </w:p>
    <w:p w:rsidR="002D2F5A" w:rsidRDefault="002D2F5A" w:rsidP="002D2F5A"/>
    <w:p w:rsidR="002D2F5A" w:rsidRDefault="002D2F5A" w:rsidP="003776DB">
      <w:pPr>
        <w:pStyle w:val="BodyText"/>
      </w:pPr>
      <w:r w:rsidRPr="002D2F5A">
        <w:rPr>
          <w:noProof/>
          <w:lang w:val="sv-SE" w:eastAsia="sv-SE"/>
        </w:rPr>
        <w:drawing>
          <wp:inline distT="0" distB="0" distL="0" distR="0" wp14:anchorId="7776C7A4" wp14:editId="22D5DD6F">
            <wp:extent cx="2697918" cy="48577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961" cy="49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5A" w:rsidRDefault="002D2F5A" w:rsidP="002D2F5A">
      <w:pPr>
        <w:pStyle w:val="Caption"/>
      </w:pPr>
      <w:bookmarkStart w:id="5" w:name="_Ref4451289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248C">
        <w:rPr>
          <w:noProof/>
        </w:rPr>
        <w:t>3</w:t>
      </w:r>
      <w:r>
        <w:fldChar w:fldCharType="end"/>
      </w:r>
      <w:bookmarkEnd w:id="5"/>
      <w:r>
        <w:t>: Example of frame structure for FDD.</w:t>
      </w:r>
    </w:p>
    <w:p w:rsidR="007170A6" w:rsidRDefault="007170A6" w:rsidP="007170A6">
      <w:pPr>
        <w:pStyle w:val="Heading1"/>
      </w:pPr>
      <w:r>
        <w:t>Uplink transmission of hybrid-ARQ acknowledgements</w:t>
      </w:r>
    </w:p>
    <w:p w:rsidR="007170A6" w:rsidRDefault="007170A6" w:rsidP="007170A6">
      <w:pPr>
        <w:pStyle w:val="BodyText"/>
      </w:pPr>
      <w:r>
        <w:t>The structure allows for a very fast hybrid-ARQ acknowledgement with decoding being performed during the reception of downlink data and the hybrid-ARQ acknowledgement being prepared by the UE essentially during the guard period when switching from downlink reception to uplink transmission. This is highly beneficial for several reasons:</w:t>
      </w:r>
    </w:p>
    <w:p w:rsidR="00425E34" w:rsidRDefault="00425E34" w:rsidP="007170A6">
      <w:pPr>
        <w:pStyle w:val="BodyText"/>
        <w:numPr>
          <w:ilvl w:val="0"/>
          <w:numId w:val="9"/>
        </w:numPr>
      </w:pPr>
      <w:r>
        <w:t>Low overall latency</w:t>
      </w:r>
    </w:p>
    <w:p w:rsidR="007170A6" w:rsidRDefault="00425E34" w:rsidP="007170A6">
      <w:pPr>
        <w:pStyle w:val="BodyText"/>
        <w:numPr>
          <w:ilvl w:val="0"/>
          <w:numId w:val="9"/>
        </w:numPr>
      </w:pPr>
      <w:r>
        <w:t>O</w:t>
      </w:r>
      <w:r w:rsidR="007170A6">
        <w:t>peration in unlicensed spectrum</w:t>
      </w:r>
      <w:r>
        <w:t>; i</w:t>
      </w:r>
      <w:r w:rsidR="007170A6">
        <w:t>f the acknowledgement is transmitted at most 16 µs after the end of the downlink data transmission there is no need for a separate listen-before-talk procedure for the transmission of the uplink acknowledgement.</w:t>
      </w:r>
    </w:p>
    <w:p w:rsidR="00425E34" w:rsidRDefault="00425E34" w:rsidP="007170A6">
      <w:pPr>
        <w:pStyle w:val="ListParagraph"/>
        <w:numPr>
          <w:ilvl w:val="0"/>
          <w:numId w:val="9"/>
        </w:numPr>
      </w:pPr>
      <w:r>
        <w:t>Forward compatibility as it is in line with the principle of “</w:t>
      </w:r>
      <w:r>
        <w:rPr>
          <w:rFonts w:eastAsia="MS Mincho"/>
        </w:rPr>
        <w:t>a</w:t>
      </w:r>
      <w:r w:rsidRPr="00425E34">
        <w:rPr>
          <w:rFonts w:eastAsia="MS Mincho"/>
        </w:rPr>
        <w:t xml:space="preserve">void fixed timing relations across </w:t>
      </w:r>
      <w:proofErr w:type="spellStart"/>
      <w:r w:rsidRPr="00425E34">
        <w:rPr>
          <w:rFonts w:eastAsia="MS Mincho"/>
        </w:rPr>
        <w:t>subframe</w:t>
      </w:r>
      <w:proofErr w:type="spellEnd"/>
      <w:r w:rsidRPr="00425E34">
        <w:rPr>
          <w:rFonts w:eastAsia="MS Mincho"/>
        </w:rPr>
        <w:t xml:space="preserve"> borders</w:t>
      </w:r>
      <w:r>
        <w:t xml:space="preserve">” </w:t>
      </w:r>
      <w:r>
        <w:fldChar w:fldCharType="begin"/>
      </w:r>
      <w:r>
        <w:instrText xml:space="preserve"> REF _Ref449604279 \r \h </w:instrText>
      </w:r>
      <w:r>
        <w:fldChar w:fldCharType="separate"/>
      </w:r>
      <w:r>
        <w:t>[2]</w:t>
      </w:r>
      <w:r>
        <w:fldChar w:fldCharType="end"/>
      </w:r>
    </w:p>
    <w:p w:rsidR="00425E34" w:rsidRDefault="00425E34" w:rsidP="007170A6">
      <w:pPr>
        <w:pStyle w:val="BodyText"/>
      </w:pPr>
    </w:p>
    <w:p w:rsidR="007170A6" w:rsidRDefault="007170A6" w:rsidP="007170A6">
      <w:pPr>
        <w:pStyle w:val="BodyText"/>
      </w:pPr>
      <w:r>
        <w:t xml:space="preserve">Note that there are situations when it is beneficial to transmit the hybrid-ARQ acknowledgement in a later </w:t>
      </w:r>
      <w:proofErr w:type="spellStart"/>
      <w:r>
        <w:t>subframe</w:t>
      </w:r>
      <w:proofErr w:type="spellEnd"/>
      <w:r>
        <w:t xml:space="preserve"> as discussed in </w:t>
      </w:r>
      <w:r>
        <w:fldChar w:fldCharType="begin"/>
      </w:r>
      <w:r>
        <w:instrText xml:space="preserve"> REF _Ref449604093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:rsidR="007170A6" w:rsidRDefault="007170A6" w:rsidP="007170A6">
      <w:pPr>
        <w:pStyle w:val="BodyText"/>
        <w:rPr>
          <w:b/>
        </w:rPr>
      </w:pPr>
      <w:r w:rsidRPr="003800CD">
        <w:rPr>
          <w:b/>
        </w:rPr>
        <w:t xml:space="preserve">Proposal: </w:t>
      </w:r>
    </w:p>
    <w:p w:rsidR="007170A6" w:rsidRPr="003800CD" w:rsidRDefault="00A90A27" w:rsidP="007170A6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 xml:space="preserve">It should be possible to send </w:t>
      </w:r>
      <w:r w:rsidR="007170A6">
        <w:rPr>
          <w:b/>
        </w:rPr>
        <w:t xml:space="preserve">hybrid-ARQ acknowledgements </w:t>
      </w:r>
      <w:r>
        <w:rPr>
          <w:b/>
        </w:rPr>
        <w:t xml:space="preserve">within the same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duration as the reception of </w:t>
      </w:r>
      <w:r w:rsidR="007170A6">
        <w:rPr>
          <w:b/>
        </w:rPr>
        <w:t>downlink data.</w:t>
      </w:r>
    </w:p>
    <w:p w:rsidR="007170A6" w:rsidRDefault="00154583" w:rsidP="00154583">
      <w:pPr>
        <w:pStyle w:val="Heading1"/>
      </w:pPr>
      <w:r>
        <w:t>Scheduling assignments and grants</w:t>
      </w:r>
    </w:p>
    <w:p w:rsidR="005C2AB7" w:rsidRDefault="00154583" w:rsidP="00154583">
      <w:pPr>
        <w:pStyle w:val="BodyText"/>
      </w:pPr>
      <w:r>
        <w:t xml:space="preserve">For similar reasons </w:t>
      </w:r>
      <w:r w:rsidR="005C2AB7">
        <w:t>discussed in the previous section the timing of scheduling assignments and grants should follow the same principle:</w:t>
      </w:r>
    </w:p>
    <w:p w:rsidR="005C2AB7" w:rsidRDefault="005C2AB7" w:rsidP="005C2AB7">
      <w:pPr>
        <w:pStyle w:val="BodyText"/>
        <w:numPr>
          <w:ilvl w:val="0"/>
          <w:numId w:val="8"/>
        </w:numPr>
      </w:pPr>
      <w:r>
        <w:t xml:space="preserve">Downlink scheduling assignments are transmitted in the same </w:t>
      </w:r>
      <w:proofErr w:type="spellStart"/>
      <w:r>
        <w:t>subframe</w:t>
      </w:r>
      <w:proofErr w:type="spellEnd"/>
      <w:r>
        <w:t xml:space="preserve"> as the downlink data (similar to LTE)</w:t>
      </w:r>
    </w:p>
    <w:p w:rsidR="005C2AB7" w:rsidRDefault="005C2AB7" w:rsidP="005C2AB7">
      <w:pPr>
        <w:pStyle w:val="BodyText"/>
        <w:numPr>
          <w:ilvl w:val="0"/>
          <w:numId w:val="8"/>
        </w:numPr>
      </w:pPr>
      <w:r>
        <w:t>Uplink scheduling grants are valid for the uplink transmission immediately following the guard period</w:t>
      </w:r>
    </w:p>
    <w:p w:rsidR="005C2AB7" w:rsidRDefault="005C2AB7" w:rsidP="00154583">
      <w:pPr>
        <w:pStyle w:val="BodyText"/>
      </w:pPr>
      <w:r>
        <w:t xml:space="preserve">This is illustrated in </w:t>
      </w:r>
      <w:r w:rsidR="00A90A27">
        <w:rPr>
          <w:highlight w:val="yellow"/>
        </w:rPr>
        <w:fldChar w:fldCharType="begin"/>
      </w:r>
      <w:r w:rsidR="00A90A27">
        <w:instrText xml:space="preserve"> REF _Ref450657799 \h </w:instrText>
      </w:r>
      <w:r w:rsidR="00A90A27">
        <w:rPr>
          <w:highlight w:val="yellow"/>
        </w:rPr>
      </w:r>
      <w:r w:rsidR="00A90A27">
        <w:rPr>
          <w:highlight w:val="yellow"/>
        </w:rPr>
        <w:fldChar w:fldCharType="separate"/>
      </w:r>
      <w:r w:rsidR="00A90A27">
        <w:t xml:space="preserve">Figure </w:t>
      </w:r>
      <w:r w:rsidR="00A90A27">
        <w:rPr>
          <w:noProof/>
        </w:rPr>
        <w:t>4</w:t>
      </w:r>
      <w:r w:rsidR="00A90A27">
        <w:rPr>
          <w:highlight w:val="yellow"/>
        </w:rPr>
        <w:fldChar w:fldCharType="end"/>
      </w:r>
      <w:r>
        <w:t>.</w:t>
      </w:r>
    </w:p>
    <w:p w:rsidR="005C2AB7" w:rsidRDefault="005C2AB7" w:rsidP="005C2AB7">
      <w:pPr>
        <w:pStyle w:val="BodyText"/>
        <w:rPr>
          <w:b/>
        </w:rPr>
      </w:pPr>
      <w:r w:rsidRPr="003800CD">
        <w:rPr>
          <w:b/>
        </w:rPr>
        <w:t xml:space="preserve">Proposal: </w:t>
      </w:r>
    </w:p>
    <w:p w:rsidR="005C2AB7" w:rsidRPr="005C2AB7" w:rsidRDefault="005C2AB7" w:rsidP="005C2AB7">
      <w:pPr>
        <w:pStyle w:val="BodyText"/>
        <w:numPr>
          <w:ilvl w:val="0"/>
          <w:numId w:val="8"/>
        </w:numPr>
        <w:rPr>
          <w:b/>
        </w:rPr>
      </w:pPr>
      <w:r w:rsidRPr="005C2AB7">
        <w:rPr>
          <w:b/>
        </w:rPr>
        <w:t xml:space="preserve">Downlink scheduling assignments are transmitted in the same </w:t>
      </w:r>
      <w:proofErr w:type="spellStart"/>
      <w:r w:rsidRPr="005C2AB7">
        <w:rPr>
          <w:b/>
        </w:rPr>
        <w:t>subframe</w:t>
      </w:r>
      <w:proofErr w:type="spellEnd"/>
      <w:r w:rsidRPr="005C2AB7">
        <w:rPr>
          <w:b/>
        </w:rPr>
        <w:t xml:space="preserve"> as the downlink data (similar to LTE)</w:t>
      </w:r>
    </w:p>
    <w:p w:rsidR="005C2AB7" w:rsidRDefault="00A90A27" w:rsidP="005C2AB7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As a baseline, u</w:t>
      </w:r>
      <w:r w:rsidR="005C2AB7" w:rsidRPr="005C2AB7">
        <w:rPr>
          <w:b/>
        </w:rPr>
        <w:t xml:space="preserve">plink scheduling grants are valid for the uplink transmission </w:t>
      </w:r>
      <w:r>
        <w:rPr>
          <w:b/>
        </w:rPr>
        <w:t xml:space="preserve">occurring in the same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duration as the corresponding downlink control signaling.</w:t>
      </w:r>
    </w:p>
    <w:p w:rsidR="00A90A27" w:rsidRDefault="00A90A27" w:rsidP="00A90A27">
      <w:pPr>
        <w:pStyle w:val="BodyText"/>
        <w:ind w:left="720"/>
        <w:rPr>
          <w:b/>
        </w:rPr>
      </w:pPr>
    </w:p>
    <w:p w:rsidR="00A90A27" w:rsidRDefault="00A90A27" w:rsidP="00A90A27">
      <w:pPr>
        <w:pStyle w:val="BodyText"/>
        <w:keepNext/>
      </w:pPr>
      <w:r w:rsidRPr="00A90A27">
        <w:rPr>
          <w:noProof/>
          <w:lang w:val="sv-SE" w:eastAsia="sv-SE"/>
        </w:rPr>
        <w:lastRenderedPageBreak/>
        <w:drawing>
          <wp:inline distT="0" distB="0" distL="0" distR="0" wp14:anchorId="3C886928" wp14:editId="5836E5EB">
            <wp:extent cx="3721211" cy="7158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388" cy="71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A27" w:rsidRPr="005C2AB7" w:rsidRDefault="00A90A27" w:rsidP="00A90A27">
      <w:pPr>
        <w:pStyle w:val="Caption"/>
        <w:jc w:val="both"/>
        <w:rPr>
          <w:b w:val="0"/>
        </w:rPr>
      </w:pPr>
      <w:bookmarkStart w:id="6" w:name="_Ref4506577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248C">
        <w:rPr>
          <w:noProof/>
        </w:rPr>
        <w:t>4</w:t>
      </w:r>
      <w:r>
        <w:fldChar w:fldCharType="end"/>
      </w:r>
      <w:bookmarkEnd w:id="6"/>
      <w:r>
        <w:t>: Example of uplink grant timing.</w:t>
      </w:r>
    </w:p>
    <w:p w:rsidR="006952A0" w:rsidRDefault="006952A0" w:rsidP="00FE5799">
      <w:pPr>
        <w:pStyle w:val="Heading1"/>
      </w:pPr>
      <w:r>
        <w:t>Low latency – “on the fly” processing</w:t>
      </w:r>
    </w:p>
    <w:p w:rsidR="00D962A0" w:rsidRDefault="00D962A0" w:rsidP="00D962A0">
      <w:pPr>
        <w:pStyle w:val="BodyText"/>
      </w:pPr>
      <w:r>
        <w:t xml:space="preserve">To obtain a low latency, it is highly beneficial if the receiver can process the signal as it is received instead of buffering a (set of) subframe(s) prior to processing. This requires </w:t>
      </w:r>
      <w:r w:rsidR="003800CD">
        <w:t xml:space="preserve">careful placement of reference signals and control signaling within the subframe. For example, </w:t>
      </w:r>
      <w:r>
        <w:t xml:space="preserve">the necessary control signaling and reference signals to be present at the beginning of the </w:t>
      </w:r>
      <w:proofErr w:type="spellStart"/>
      <w:r>
        <w:t>subframe</w:t>
      </w:r>
      <w:proofErr w:type="spellEnd"/>
      <w:r>
        <w:t xml:space="preserve">, see </w:t>
      </w:r>
      <w:r w:rsidR="0021248C">
        <w:rPr>
          <w:highlight w:val="yellow"/>
        </w:rPr>
        <w:fldChar w:fldCharType="begin"/>
      </w:r>
      <w:r w:rsidR="0021248C">
        <w:instrText xml:space="preserve"> REF _Ref450658222 \h </w:instrText>
      </w:r>
      <w:r w:rsidR="0021248C">
        <w:rPr>
          <w:highlight w:val="yellow"/>
        </w:rPr>
      </w:r>
      <w:r w:rsidR="0021248C">
        <w:rPr>
          <w:highlight w:val="yellow"/>
        </w:rPr>
        <w:fldChar w:fldCharType="separate"/>
      </w:r>
      <w:r w:rsidR="0021248C">
        <w:t xml:space="preserve">Figure </w:t>
      </w:r>
      <w:r w:rsidR="0021248C">
        <w:rPr>
          <w:noProof/>
        </w:rPr>
        <w:t>5</w:t>
      </w:r>
      <w:r w:rsidR="0021248C">
        <w:rPr>
          <w:highlight w:val="yellow"/>
        </w:rPr>
        <w:fldChar w:fldCharType="end"/>
      </w:r>
      <w:r w:rsidR="00A90A27">
        <w:t xml:space="preserve">, and the mapping of the data transmission should be done in a pipelining-friendly manner (e.g. without excessive use of time-domain </w:t>
      </w:r>
      <w:r w:rsidR="00B640AE">
        <w:t>interleaving</w:t>
      </w:r>
      <w:r w:rsidR="00A90A27">
        <w:t>)</w:t>
      </w:r>
      <w:r>
        <w:t>.</w:t>
      </w:r>
      <w:r w:rsidR="003800CD">
        <w:t xml:space="preserve"> Without such a structure the decoder and associated circuitry need to be over dimensioned to handle decoding of the subframe (or set of subframes) in a very short period of time.</w:t>
      </w:r>
    </w:p>
    <w:p w:rsidR="00577474" w:rsidRDefault="003800CD" w:rsidP="00D962A0">
      <w:pPr>
        <w:pStyle w:val="BodyText"/>
        <w:rPr>
          <w:b/>
        </w:rPr>
      </w:pPr>
      <w:r w:rsidRPr="003800CD">
        <w:rPr>
          <w:b/>
        </w:rPr>
        <w:t xml:space="preserve">Proposal: </w:t>
      </w:r>
    </w:p>
    <w:p w:rsidR="003800CD" w:rsidRDefault="00655A75" w:rsidP="00577474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S</w:t>
      </w:r>
      <w:r w:rsidR="003800CD" w:rsidRPr="003800CD">
        <w:rPr>
          <w:b/>
        </w:rPr>
        <w:t>ubfram</w:t>
      </w:r>
      <w:r>
        <w:rPr>
          <w:b/>
        </w:rPr>
        <w:t>es (or sets of subframes) should</w:t>
      </w:r>
      <w:r w:rsidR="003800CD" w:rsidRPr="003800CD">
        <w:rPr>
          <w:b/>
        </w:rPr>
        <w:t xml:space="preserve"> be “front loaded” with control signaling and reference signals at the beginning of the (set of) subframe(s)</w:t>
      </w:r>
    </w:p>
    <w:p w:rsidR="00A90A27" w:rsidRDefault="00A90A27" w:rsidP="00A90A27">
      <w:pPr>
        <w:pStyle w:val="BodyText"/>
        <w:rPr>
          <w:b/>
        </w:rPr>
      </w:pPr>
    </w:p>
    <w:p w:rsidR="0021248C" w:rsidRDefault="00A90A27" w:rsidP="0021248C">
      <w:pPr>
        <w:pStyle w:val="BodyText"/>
        <w:keepNext/>
      </w:pPr>
      <w:r w:rsidRPr="00A90A27">
        <w:rPr>
          <w:noProof/>
          <w:lang w:val="sv-SE" w:eastAsia="sv-SE"/>
        </w:rPr>
        <w:drawing>
          <wp:inline distT="0" distB="0" distL="0" distR="0" wp14:anchorId="05D4DCD5" wp14:editId="5228787F">
            <wp:extent cx="4031312" cy="1392263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521" cy="139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A27" w:rsidRPr="003800CD" w:rsidRDefault="0021248C" w:rsidP="0021248C">
      <w:pPr>
        <w:pStyle w:val="Caption"/>
        <w:jc w:val="both"/>
        <w:rPr>
          <w:b w:val="0"/>
        </w:rPr>
      </w:pPr>
      <w:bookmarkStart w:id="7" w:name="_Ref4506582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7"/>
      <w:r>
        <w:t xml:space="preserve">: Front-loaded </w:t>
      </w:r>
      <w:proofErr w:type="spellStart"/>
      <w:r>
        <w:t>subframe</w:t>
      </w:r>
      <w:proofErr w:type="spellEnd"/>
      <w:r>
        <w:t xml:space="preserve"> structure.</w:t>
      </w:r>
    </w:p>
    <w:p w:rsidR="00FE5799" w:rsidRDefault="00FE5799" w:rsidP="00FE5799">
      <w:pPr>
        <w:pStyle w:val="Heading1"/>
      </w:pPr>
      <w:r>
        <w:t>Conclusion</w:t>
      </w:r>
    </w:p>
    <w:p w:rsidR="00FE5799" w:rsidRDefault="00F94776" w:rsidP="00FE5799">
      <w:pPr>
        <w:pStyle w:val="BodyText"/>
      </w:pPr>
      <w:r>
        <w:t>The following is proposed:</w:t>
      </w:r>
    </w:p>
    <w:p w:rsidR="00F94776" w:rsidRPr="008D4CAD" w:rsidRDefault="00F94776" w:rsidP="00F94776">
      <w:pPr>
        <w:pStyle w:val="BodyText"/>
        <w:numPr>
          <w:ilvl w:val="0"/>
          <w:numId w:val="8"/>
        </w:numPr>
      </w:pPr>
      <w:r w:rsidRPr="008D4CAD">
        <w:t>Define two subframes types</w:t>
      </w:r>
    </w:p>
    <w:p w:rsidR="00F94776" w:rsidRPr="008D4CAD" w:rsidRDefault="00F94776" w:rsidP="00F94776">
      <w:pPr>
        <w:pStyle w:val="ListParagraph"/>
        <w:numPr>
          <w:ilvl w:val="1"/>
          <w:numId w:val="8"/>
        </w:numPr>
      </w:pPr>
      <w:r w:rsidRPr="008D4CAD">
        <w:t>a downlink subframe with transmissions starting at the beginning of the subframe</w:t>
      </w:r>
    </w:p>
    <w:p w:rsidR="00F94776" w:rsidRPr="008D4CAD" w:rsidRDefault="00F94776" w:rsidP="00F94776">
      <w:pPr>
        <w:pStyle w:val="ListParagraph"/>
        <w:numPr>
          <w:ilvl w:val="1"/>
          <w:numId w:val="8"/>
        </w:numPr>
      </w:pPr>
      <w:r w:rsidRPr="008D4CAD">
        <w:t>an uplink subframe with transmissions ending at the end of a subframe,</w:t>
      </w:r>
    </w:p>
    <w:p w:rsidR="00F94776" w:rsidRPr="008D4CAD" w:rsidRDefault="00F94776" w:rsidP="00F94776">
      <w:pPr>
        <w:pStyle w:val="BodyText"/>
        <w:numPr>
          <w:ilvl w:val="0"/>
          <w:numId w:val="8"/>
        </w:numPr>
      </w:pPr>
      <w:r w:rsidRPr="008D4CAD">
        <w:t xml:space="preserve">Transmission of a transport block span one or a </w:t>
      </w:r>
      <w:proofErr w:type="spellStart"/>
      <w:r w:rsidRPr="008D4CAD">
        <w:t>a</w:t>
      </w:r>
      <w:proofErr w:type="spellEnd"/>
      <w:r w:rsidRPr="008D4CAD">
        <w:t xml:space="preserve"> set of </w:t>
      </w:r>
      <w:proofErr w:type="spellStart"/>
      <w:r w:rsidRPr="008D4CAD">
        <w:t>subframes</w:t>
      </w:r>
      <w:proofErr w:type="spellEnd"/>
      <w:r w:rsidRPr="008D4CAD">
        <w:t xml:space="preserve"> </w:t>
      </w:r>
    </w:p>
    <w:p w:rsidR="005C2AB7" w:rsidRPr="008D4CAD" w:rsidRDefault="005C2AB7" w:rsidP="00F94776">
      <w:pPr>
        <w:pStyle w:val="BodyText"/>
        <w:numPr>
          <w:ilvl w:val="0"/>
          <w:numId w:val="8"/>
        </w:numPr>
      </w:pPr>
      <w:r w:rsidRPr="008D4CAD">
        <w:t>Scheduling and hybrid-ARQ timing</w:t>
      </w:r>
    </w:p>
    <w:p w:rsidR="00FA1509" w:rsidRPr="008D4CAD" w:rsidRDefault="00FA1509" w:rsidP="005C2AB7">
      <w:pPr>
        <w:pStyle w:val="BodyText"/>
        <w:numPr>
          <w:ilvl w:val="1"/>
          <w:numId w:val="8"/>
        </w:numPr>
      </w:pPr>
      <w:r w:rsidRPr="008D4CAD">
        <w:t>Hybrid-ARQ acknowledgements can be transmitted at the end of the (set of) subframe(s)</w:t>
      </w:r>
    </w:p>
    <w:p w:rsidR="00B640AE" w:rsidRPr="008D4CAD" w:rsidRDefault="00B640AE" w:rsidP="00B640AE">
      <w:pPr>
        <w:pStyle w:val="BodyText"/>
        <w:numPr>
          <w:ilvl w:val="2"/>
          <w:numId w:val="8"/>
        </w:numPr>
      </w:pPr>
      <w:r w:rsidRPr="008D4CAD">
        <w:t>Operation in unlicensed spectrum; the acknowledgement should come at most 16 µs after the end of the downlink data transmission</w:t>
      </w:r>
    </w:p>
    <w:p w:rsidR="005C2AB7" w:rsidRPr="008D4CAD" w:rsidRDefault="005C2AB7" w:rsidP="005C2AB7">
      <w:pPr>
        <w:pStyle w:val="BodyText"/>
        <w:numPr>
          <w:ilvl w:val="1"/>
          <w:numId w:val="8"/>
        </w:numPr>
      </w:pPr>
      <w:r w:rsidRPr="008D4CAD">
        <w:t xml:space="preserve">Downlink scheduling assignments are transmitted in the same </w:t>
      </w:r>
      <w:proofErr w:type="spellStart"/>
      <w:r w:rsidRPr="008D4CAD">
        <w:t>subframe</w:t>
      </w:r>
      <w:proofErr w:type="spellEnd"/>
      <w:r w:rsidRPr="008D4CAD">
        <w:t xml:space="preserve"> as the downlink data (similar to LTE)</w:t>
      </w:r>
    </w:p>
    <w:p w:rsidR="005C2AB7" w:rsidRPr="008D4CAD" w:rsidRDefault="00B640AE" w:rsidP="00B640AE">
      <w:pPr>
        <w:pStyle w:val="BodyText"/>
        <w:numPr>
          <w:ilvl w:val="1"/>
          <w:numId w:val="8"/>
        </w:numPr>
      </w:pPr>
      <w:r w:rsidRPr="008D4CAD">
        <w:t xml:space="preserve">Uplink scheduling grants are valid for the uplink transmission occurring in the same </w:t>
      </w:r>
      <w:proofErr w:type="spellStart"/>
      <w:r w:rsidRPr="008D4CAD">
        <w:t>subframe</w:t>
      </w:r>
      <w:proofErr w:type="spellEnd"/>
      <w:r w:rsidRPr="008D4CAD">
        <w:t xml:space="preserve"> duration as the corresponding downlink control signaling</w:t>
      </w:r>
    </w:p>
    <w:p w:rsidR="00F94776" w:rsidRPr="008D4CAD" w:rsidRDefault="00F94776" w:rsidP="00F94776">
      <w:pPr>
        <w:pStyle w:val="BodyText"/>
        <w:numPr>
          <w:ilvl w:val="0"/>
          <w:numId w:val="8"/>
        </w:numPr>
      </w:pPr>
      <w:proofErr w:type="spellStart"/>
      <w:r w:rsidRPr="008D4CAD">
        <w:t>Subfram</w:t>
      </w:r>
      <w:r w:rsidR="00655A75" w:rsidRPr="008D4CAD">
        <w:t>es</w:t>
      </w:r>
      <w:proofErr w:type="spellEnd"/>
      <w:r w:rsidR="00655A75" w:rsidRPr="008D4CAD">
        <w:t xml:space="preserve"> (or sets of subframes) should</w:t>
      </w:r>
      <w:r w:rsidRPr="008D4CAD">
        <w:t xml:space="preserve"> be “front loaded” with control signaling and reference signals at the beginning of the (set of) subframe(s)</w:t>
      </w:r>
    </w:p>
    <w:p w:rsidR="00FE5799" w:rsidRPr="00510266" w:rsidRDefault="00FE5799" w:rsidP="00FE5799">
      <w:pPr>
        <w:pStyle w:val="Heading1"/>
      </w:pPr>
      <w:r w:rsidRPr="00510266">
        <w:t>References</w:t>
      </w:r>
    </w:p>
    <w:p w:rsidR="00FE5799" w:rsidRPr="00425E34" w:rsidRDefault="008047EE" w:rsidP="00FE579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8" w:name="_Ref445818173"/>
      <w:bookmarkStart w:id="9" w:name="_Ref449604093"/>
      <w:r>
        <w:t>R1-16</w:t>
      </w:r>
      <w:r w:rsidR="003B7D1A">
        <w:t>4627,</w:t>
      </w:r>
      <w:r w:rsidR="00425E34">
        <w:t xml:space="preserve"> </w:t>
      </w:r>
      <w:bookmarkEnd w:id="8"/>
      <w:r w:rsidR="00425E34">
        <w:t>“</w:t>
      </w:r>
      <w:r w:rsidR="009715A2">
        <w:t>Hybrid-ARQ acknowledgements for NR</w:t>
      </w:r>
      <w:r>
        <w:t>”, Ericsson</w:t>
      </w:r>
      <w:bookmarkEnd w:id="9"/>
    </w:p>
    <w:p w:rsidR="00FE5799" w:rsidRPr="008D4CAD" w:rsidRDefault="00425E34" w:rsidP="00FA150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0" w:name="_Ref449604279"/>
      <w:r>
        <w:t>R1-16</w:t>
      </w:r>
      <w:r w:rsidR="003B7D1A">
        <w:t>4623</w:t>
      </w:r>
      <w:r>
        <w:t>, “On forward compatibility”, Ericsson</w:t>
      </w:r>
      <w:bookmarkStart w:id="11" w:name="_GoBack"/>
      <w:bookmarkEnd w:id="10"/>
      <w:bookmarkEnd w:id="11"/>
    </w:p>
    <w:sectPr w:rsidR="00FE5799" w:rsidRPr="008D4CA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577" w:rsidRDefault="00662577" w:rsidP="001B3EB1">
      <w:r>
        <w:separator/>
      </w:r>
    </w:p>
  </w:endnote>
  <w:endnote w:type="continuationSeparator" w:id="0">
    <w:p w:rsidR="00662577" w:rsidRDefault="00662577" w:rsidP="001B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577" w:rsidRDefault="00662577" w:rsidP="001B3EB1">
      <w:r>
        <w:separator/>
      </w:r>
    </w:p>
  </w:footnote>
  <w:footnote w:type="continuationSeparator" w:id="0">
    <w:p w:rsidR="00662577" w:rsidRDefault="00662577" w:rsidP="001B3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662577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552BF"/>
    <w:multiLevelType w:val="hybridMultilevel"/>
    <w:tmpl w:val="6674DE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2049AB"/>
    <w:multiLevelType w:val="hybridMultilevel"/>
    <w:tmpl w:val="E0C8E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A7BC2"/>
    <w:multiLevelType w:val="hybridMultilevel"/>
    <w:tmpl w:val="4D1C9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0B0ED0"/>
    <w:multiLevelType w:val="hybridMultilevel"/>
    <w:tmpl w:val="DBE8D1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AD2D4D"/>
    <w:multiLevelType w:val="hybridMultilevel"/>
    <w:tmpl w:val="88E8C6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781"/>
    <w:rsid w:val="000D4057"/>
    <w:rsid w:val="000E4DBB"/>
    <w:rsid w:val="00104515"/>
    <w:rsid w:val="00154583"/>
    <w:rsid w:val="001B3EB1"/>
    <w:rsid w:val="001E70ED"/>
    <w:rsid w:val="0021248C"/>
    <w:rsid w:val="0021547B"/>
    <w:rsid w:val="002D2F5A"/>
    <w:rsid w:val="002D4B7F"/>
    <w:rsid w:val="002E584F"/>
    <w:rsid w:val="00312DA6"/>
    <w:rsid w:val="00334282"/>
    <w:rsid w:val="00345DEE"/>
    <w:rsid w:val="003776DB"/>
    <w:rsid w:val="003800CD"/>
    <w:rsid w:val="003A5650"/>
    <w:rsid w:val="003B7D1A"/>
    <w:rsid w:val="003D34F5"/>
    <w:rsid w:val="00425E34"/>
    <w:rsid w:val="004E15C4"/>
    <w:rsid w:val="004E46BA"/>
    <w:rsid w:val="00572C6A"/>
    <w:rsid w:val="00577474"/>
    <w:rsid w:val="005C2AB7"/>
    <w:rsid w:val="006248C8"/>
    <w:rsid w:val="006260DB"/>
    <w:rsid w:val="006337DA"/>
    <w:rsid w:val="00655A75"/>
    <w:rsid w:val="00662577"/>
    <w:rsid w:val="00687C4D"/>
    <w:rsid w:val="006952A0"/>
    <w:rsid w:val="006A286A"/>
    <w:rsid w:val="007170A6"/>
    <w:rsid w:val="007A1280"/>
    <w:rsid w:val="008047EE"/>
    <w:rsid w:val="00812A2D"/>
    <w:rsid w:val="008D4CAD"/>
    <w:rsid w:val="009715A2"/>
    <w:rsid w:val="009B2E48"/>
    <w:rsid w:val="00A21D2E"/>
    <w:rsid w:val="00A90A27"/>
    <w:rsid w:val="00AA02A4"/>
    <w:rsid w:val="00B368D9"/>
    <w:rsid w:val="00B640AE"/>
    <w:rsid w:val="00B72311"/>
    <w:rsid w:val="00BC406C"/>
    <w:rsid w:val="00C1560A"/>
    <w:rsid w:val="00CD25F1"/>
    <w:rsid w:val="00CF67BE"/>
    <w:rsid w:val="00D03119"/>
    <w:rsid w:val="00D962A0"/>
    <w:rsid w:val="00EC09B6"/>
    <w:rsid w:val="00F4614B"/>
    <w:rsid w:val="00F94776"/>
    <w:rsid w:val="00FA1509"/>
    <w:rsid w:val="00FA7942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282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334282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3776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76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6D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6D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6D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3E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EB1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282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334282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3776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76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6D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6D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6D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3E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EB1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78D24-0A2B-4ABE-A03B-3EAE0C2F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1080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4</cp:revision>
  <dcterms:created xsi:type="dcterms:W3CDTF">2016-05-11T08:29:00Z</dcterms:created>
  <dcterms:modified xsi:type="dcterms:W3CDTF">2016-05-13T13:00:00Z</dcterms:modified>
</cp:coreProperties>
</file>