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8AE" w:rsidRPr="00C27D00" w:rsidRDefault="009F58AE" w:rsidP="009F58AE">
      <w:pPr>
        <w:tabs>
          <w:tab w:val="right" w:pos="9360"/>
        </w:tabs>
        <w:spacing w:after="60"/>
        <w:jc w:val="both"/>
        <w:rPr>
          <w:rFonts w:ascii="Arial" w:hAnsi="Arial" w:cs="Arial"/>
          <w:b/>
          <w:i/>
          <w:sz w:val="24"/>
          <w:lang w:eastAsia="zh-CN"/>
        </w:rPr>
      </w:pPr>
      <w:bookmarkStart w:id="0" w:name="OLE_LINK6"/>
      <w:bookmarkStart w:id="1" w:name="OLE_LINK7"/>
      <w:r>
        <w:rPr>
          <w:rFonts w:ascii="Arial" w:hAnsi="Arial" w:cs="Arial"/>
          <w:b/>
          <w:sz w:val="24"/>
        </w:rPr>
        <w:t xml:space="preserve">3GPP TSG RAN WG1 Meeting #85                                                               </w:t>
      </w:r>
      <w:r w:rsidRPr="00932A88">
        <w:rPr>
          <w:rFonts w:ascii="Arial" w:hAnsi="Arial" w:cs="Arial"/>
          <w:b/>
          <w:sz w:val="24"/>
        </w:rPr>
        <w:tab/>
      </w:r>
      <w:r>
        <w:rPr>
          <w:rFonts w:ascii="Arial" w:hAnsi="Arial" w:cs="Arial"/>
          <w:b/>
          <w:sz w:val="24"/>
        </w:rPr>
        <w:t xml:space="preserve">     </w:t>
      </w:r>
      <w:r w:rsidRPr="000C7C01">
        <w:rPr>
          <w:rFonts w:ascii="Arial" w:hAnsi="Arial" w:cs="Arial"/>
          <w:b/>
          <w:sz w:val="24"/>
        </w:rPr>
        <w:t>R1-</w:t>
      </w:r>
      <w:r>
        <w:rPr>
          <w:rFonts w:ascii="Arial" w:hAnsi="Arial" w:cs="Arial"/>
          <w:b/>
          <w:sz w:val="24"/>
          <w:lang w:eastAsia="zh-CN"/>
        </w:rPr>
        <w:t>164183</w:t>
      </w:r>
    </w:p>
    <w:p w:rsidR="009F58AE" w:rsidRPr="00FC27AE" w:rsidRDefault="009F58AE" w:rsidP="009F58AE">
      <w:pPr>
        <w:rPr>
          <w:rFonts w:ascii="Arial" w:hAnsi="Arial" w:cs="Arial"/>
          <w:b/>
          <w:sz w:val="24"/>
        </w:rPr>
      </w:pPr>
      <w:r>
        <w:rPr>
          <w:rFonts w:ascii="Arial" w:hAnsi="Arial" w:cs="Arial"/>
          <w:b/>
          <w:sz w:val="24"/>
        </w:rPr>
        <w:t>Nanjing, China, 23-27 May 2016</w:t>
      </w:r>
      <w:r w:rsidRPr="001A5D6F">
        <w:rPr>
          <w:rFonts w:ascii="Arial" w:hAnsi="Arial" w:cs="Arial"/>
          <w:b/>
          <w:sz w:val="24"/>
        </w:rPr>
        <w:t> </w:t>
      </w:r>
      <w:r>
        <w:rPr>
          <w:rFonts w:ascii="Arial" w:hAnsi="Arial" w:cs="Arial"/>
          <w:b/>
          <w:sz w:val="24"/>
        </w:rPr>
        <w:t xml:space="preserve"> </w:t>
      </w:r>
    </w:p>
    <w:p w:rsidR="009F58AE" w:rsidRPr="00071477" w:rsidRDefault="009F58AE" w:rsidP="009F58AE">
      <w:pPr>
        <w:tabs>
          <w:tab w:val="left" w:pos="1985"/>
        </w:tabs>
        <w:spacing w:before="360" w:after="80"/>
        <w:rPr>
          <w:rFonts w:ascii="Arial" w:hAnsi="Arial"/>
          <w:b/>
          <w:sz w:val="24"/>
        </w:rPr>
      </w:pPr>
      <w:r w:rsidRPr="001A5D6F">
        <w:rPr>
          <w:rFonts w:ascii="Arial" w:hAnsi="Arial"/>
          <w:b/>
          <w:sz w:val="24"/>
        </w:rPr>
        <w:t>Agenda item:</w:t>
      </w:r>
      <w:r w:rsidRPr="00071477">
        <w:rPr>
          <w:rFonts w:ascii="Arial" w:hAnsi="Arial"/>
          <w:b/>
          <w:sz w:val="24"/>
        </w:rPr>
        <w:tab/>
      </w:r>
      <w:bookmarkStart w:id="2" w:name="Source"/>
      <w:bookmarkEnd w:id="2"/>
      <w:r>
        <w:rPr>
          <w:rFonts w:ascii="Arial" w:hAnsi="Arial"/>
          <w:b/>
          <w:sz w:val="24"/>
        </w:rPr>
        <w:t>7.1.5.1</w:t>
      </w:r>
    </w:p>
    <w:p w:rsidR="009F58AE" w:rsidRPr="00071477" w:rsidRDefault="009F58AE" w:rsidP="009F58AE">
      <w:pPr>
        <w:tabs>
          <w:tab w:val="left" w:pos="1985"/>
        </w:tabs>
        <w:spacing w:after="8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rsidR="009F58AE" w:rsidRPr="00E5750D" w:rsidRDefault="009F58AE" w:rsidP="009F58AE">
      <w:pPr>
        <w:spacing w:after="80"/>
        <w:ind w:left="1988" w:hanging="1988"/>
        <w:rPr>
          <w:rFonts w:ascii="Arial" w:hAnsi="Arial"/>
          <w:b/>
          <w:sz w:val="24"/>
          <w:lang w:val="en-US"/>
        </w:rPr>
      </w:pPr>
      <w:r w:rsidRPr="007726F2">
        <w:rPr>
          <w:rFonts w:ascii="Arial" w:hAnsi="Arial"/>
          <w:b/>
          <w:sz w:val="24"/>
        </w:rPr>
        <w:t xml:space="preserve">Title: </w:t>
      </w:r>
      <w:r w:rsidRPr="007726F2">
        <w:rPr>
          <w:rFonts w:ascii="Arial" w:hAnsi="Arial"/>
          <w:b/>
          <w:sz w:val="24"/>
        </w:rPr>
        <w:tab/>
      </w:r>
      <w:r>
        <w:rPr>
          <w:rFonts w:ascii="Arial" w:hAnsi="Arial"/>
          <w:b/>
          <w:sz w:val="24"/>
        </w:rPr>
        <w:t>LDPC code design for NR</w:t>
      </w:r>
    </w:p>
    <w:p w:rsidR="009F58AE" w:rsidRPr="00071477" w:rsidRDefault="009F58AE" w:rsidP="009F58AE">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3" w:name="DocumentFor"/>
      <w:bookmarkEnd w:id="3"/>
      <w:r>
        <w:rPr>
          <w:rFonts w:ascii="Arial" w:hAnsi="Arial"/>
          <w:b/>
          <w:sz w:val="24"/>
        </w:rPr>
        <w:t>Discussion</w:t>
      </w:r>
    </w:p>
    <w:p w:rsidR="009F58AE" w:rsidRPr="001A5D6F" w:rsidRDefault="009F58AE" w:rsidP="009F58AE">
      <w:pPr>
        <w:pBdr>
          <w:bottom w:val="single" w:sz="12" w:space="1" w:color="auto"/>
        </w:pBdr>
        <w:spacing w:after="240" w:line="360" w:lineRule="auto"/>
        <w:ind w:left="413" w:hangingChars="295" w:hanging="413"/>
        <w:rPr>
          <w:rFonts w:ascii="Arial" w:hAnsi="Arial" w:cs="Arial"/>
          <w:snapToGrid w:val="0"/>
          <w:sz w:val="14"/>
        </w:rPr>
      </w:pPr>
    </w:p>
    <w:p w:rsidR="009F58AE" w:rsidRPr="005E72BE" w:rsidRDefault="009F58AE" w:rsidP="009F58AE">
      <w:pPr>
        <w:pStyle w:val="LGTdoc1"/>
        <w:numPr>
          <w:ilvl w:val="0"/>
          <w:numId w:val="1"/>
        </w:numPr>
        <w:spacing w:beforeLines="0" w:before="60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rsidR="009F58AE" w:rsidRPr="009973FD" w:rsidRDefault="009F58AE" w:rsidP="009F58AE">
      <w:pPr>
        <w:tabs>
          <w:tab w:val="left" w:pos="-900"/>
          <w:tab w:val="left" w:pos="-300"/>
          <w:tab w:val="left" w:pos="720"/>
        </w:tabs>
        <w:spacing w:after="60"/>
        <w:jc w:val="both"/>
        <w:rPr>
          <w:spacing w:val="6"/>
        </w:rPr>
      </w:pPr>
      <w:r>
        <w:rPr>
          <w:spacing w:val="6"/>
        </w:rPr>
        <w:t xml:space="preserve">LDPC was identified as one of the potential channel coding candidates for NR in RAN1#84bis meeting. </w:t>
      </w:r>
      <w:r w:rsidRPr="009973FD">
        <w:rPr>
          <w:spacing w:val="6"/>
        </w:rPr>
        <w:t xml:space="preserve">In this contribution, we provide </w:t>
      </w:r>
      <w:r>
        <w:rPr>
          <w:spacing w:val="6"/>
        </w:rPr>
        <w:t xml:space="preserve">some </w:t>
      </w:r>
      <w:r w:rsidRPr="009973FD">
        <w:rPr>
          <w:spacing w:val="6"/>
        </w:rPr>
        <w:t xml:space="preserve">LDPC code design </w:t>
      </w:r>
      <w:r>
        <w:rPr>
          <w:spacing w:val="6"/>
        </w:rPr>
        <w:t xml:space="preserve">aspects as well as </w:t>
      </w:r>
      <w:r w:rsidRPr="009973FD">
        <w:rPr>
          <w:spacing w:val="6"/>
        </w:rPr>
        <w:t xml:space="preserve">parity-check matrices for </w:t>
      </w:r>
      <w:r>
        <w:rPr>
          <w:spacing w:val="6"/>
        </w:rPr>
        <w:t>evaluations</w:t>
      </w:r>
      <w:r w:rsidRPr="009973FD">
        <w:rPr>
          <w:spacing w:val="6"/>
        </w:rPr>
        <w:t xml:space="preserve">. </w:t>
      </w:r>
    </w:p>
    <w:p w:rsidR="009F58AE" w:rsidRPr="005E72BE" w:rsidRDefault="009F58AE" w:rsidP="009F58AE">
      <w:pPr>
        <w:pStyle w:val="LGTdoc1"/>
        <w:numPr>
          <w:ilvl w:val="0"/>
          <w:numId w:val="1"/>
        </w:numPr>
        <w:spacing w:beforeLines="0" w:before="600" w:after="120" w:afterAutospacing="0"/>
        <w:ind w:left="432" w:hanging="432"/>
        <w:rPr>
          <w:rFonts w:ascii="Arial" w:hAnsi="Arial" w:cs="Arial"/>
          <w:lang w:val="en-US"/>
        </w:rPr>
      </w:pPr>
      <w:r>
        <w:rPr>
          <w:rFonts w:ascii="Arial" w:hAnsi="Arial" w:cs="Arial"/>
          <w:lang w:val="en-US"/>
        </w:rPr>
        <w:t>LDPC code design aspects</w:t>
      </w:r>
    </w:p>
    <w:p w:rsidR="009F58AE" w:rsidRPr="009E3045" w:rsidRDefault="009F58AE" w:rsidP="009E3045">
      <w:pPr>
        <w:jc w:val="both"/>
      </w:pPr>
      <w:r w:rsidRPr="009E3045">
        <w:t xml:space="preserve">LDPC codes have been adopted in many different standards such as IEEE (802.11n/11ac/11ad, 802.3an, </w:t>
      </w:r>
      <w:proofErr w:type="spellStart"/>
      <w:r w:rsidRPr="009E3045">
        <w:t>etc</w:t>
      </w:r>
      <w:proofErr w:type="spellEnd"/>
      <w:r w:rsidRPr="009E3045">
        <w:t xml:space="preserve">), broadcasting standards (DVB, ATSC) as well as in disk drive industry. One key attractive feature of LDPC is that they lend themselves to higher degree of parallelism, which can lead to very high throughputs as well as reduced latency in both encoding and decoding. Structured LDPC codes based on shifted Identity matrices originally proposed by Tanner have been used as fundamental building blocks for several designs (such as 802.11n, 802.16e, etc.). </w:t>
      </w:r>
    </w:p>
    <w:p w:rsidR="009F58AE" w:rsidRDefault="009F58AE" w:rsidP="009F58AE">
      <w:pPr>
        <w:tabs>
          <w:tab w:val="left" w:pos="-900"/>
          <w:tab w:val="left" w:pos="-300"/>
        </w:tabs>
        <w:spacing w:after="60"/>
        <w:jc w:val="both"/>
        <w:rPr>
          <w:spacing w:val="6"/>
        </w:rPr>
      </w:pPr>
    </w:p>
    <w:p w:rsidR="009F58AE" w:rsidRDefault="009F58AE" w:rsidP="009F58AE">
      <w:pPr>
        <w:jc w:val="both"/>
      </w:pPr>
      <w:r>
        <w:t xml:space="preserve">A structured LDPC code with </w:t>
      </w:r>
      <w:proofErr w:type="spellStart"/>
      <w:r>
        <w:t>codeword</w:t>
      </w:r>
      <w:proofErr w:type="spellEnd"/>
      <w:r>
        <w:t xml:space="preserve"> length n = </w:t>
      </w:r>
      <w:proofErr w:type="spellStart"/>
      <w:r>
        <w:t>z∙n</w:t>
      </w:r>
      <w:r w:rsidRPr="00B01004">
        <w:rPr>
          <w:vertAlign w:val="subscript"/>
        </w:rPr>
        <w:t>b</w:t>
      </w:r>
      <w:proofErr w:type="spellEnd"/>
      <w:r>
        <w:t xml:space="preserve"> and information block k = </w:t>
      </w:r>
      <w:proofErr w:type="spellStart"/>
      <w:r>
        <w:t>z∙k</w:t>
      </w:r>
      <w:r w:rsidRPr="001277FC">
        <w:rPr>
          <w:vertAlign w:val="subscript"/>
        </w:rPr>
        <w:t>b</w:t>
      </w:r>
      <w:proofErr w:type="spellEnd"/>
      <w:r>
        <w:t>, and a shift size z (sub-block size or lift size), has code rate r = k/n = k</w:t>
      </w:r>
      <w:r w:rsidRPr="00B01004">
        <w:rPr>
          <w:vertAlign w:val="subscript"/>
        </w:rPr>
        <w:t>b</w:t>
      </w:r>
      <w:r>
        <w:t>/</w:t>
      </w:r>
      <w:proofErr w:type="spellStart"/>
      <w:r>
        <w:t>n</w:t>
      </w:r>
      <w:r w:rsidRPr="00B01004">
        <w:rPr>
          <w:vertAlign w:val="subscript"/>
        </w:rPr>
        <w:t>b</w:t>
      </w:r>
      <w:r>
        <w:t>.</w:t>
      </w:r>
      <w:proofErr w:type="spellEnd"/>
      <w:r>
        <w:t xml:space="preserve"> The LDPC encoder encodes an information block </w:t>
      </w:r>
      <w:proofErr w:type="spellStart"/>
      <w:r w:rsidRPr="00B01004">
        <w:rPr>
          <w:b/>
        </w:rPr>
        <w:t>i</w:t>
      </w:r>
      <w:proofErr w:type="spellEnd"/>
      <w:r>
        <w:t xml:space="preserve"> = i</w:t>
      </w:r>
      <w:r w:rsidRPr="00B01004">
        <w:rPr>
          <w:vertAlign w:val="subscript"/>
        </w:rPr>
        <w:t>0</w:t>
      </w:r>
      <w:r>
        <w:t>, i</w:t>
      </w:r>
      <w:r w:rsidRPr="00B01004">
        <w:rPr>
          <w:vertAlign w:val="subscript"/>
        </w:rPr>
        <w:t>1</w:t>
      </w:r>
      <w:proofErr w:type="gramStart"/>
      <w:r>
        <w:t>,i</w:t>
      </w:r>
      <w:r w:rsidRPr="00B01004">
        <w:rPr>
          <w:vertAlign w:val="subscript"/>
        </w:rPr>
        <w:t>2</w:t>
      </w:r>
      <w:proofErr w:type="gramEnd"/>
      <w:r>
        <w:t>…i</w:t>
      </w:r>
      <w:r w:rsidRPr="00B01004">
        <w:rPr>
          <w:vertAlign w:val="subscript"/>
        </w:rPr>
        <w:t>k</w:t>
      </w:r>
      <w:r>
        <w:rPr>
          <w:vertAlign w:val="subscript"/>
        </w:rPr>
        <w:t>-1</w:t>
      </w:r>
      <w:r>
        <w:t xml:space="preserve"> into a </w:t>
      </w:r>
      <w:proofErr w:type="spellStart"/>
      <w:r>
        <w:t>codeword</w:t>
      </w:r>
      <w:proofErr w:type="spellEnd"/>
      <w:r>
        <w:t xml:space="preserve"> </w:t>
      </w:r>
      <w:r w:rsidRPr="00B01004">
        <w:rPr>
          <w:b/>
        </w:rPr>
        <w:t>c</w:t>
      </w:r>
      <w:r>
        <w:t xml:space="preserve">, of size n, </w:t>
      </w:r>
      <w:r w:rsidRPr="00B01004">
        <w:rPr>
          <w:b/>
        </w:rPr>
        <w:t>c</w:t>
      </w:r>
      <w:r>
        <w:rPr>
          <w:b/>
        </w:rPr>
        <w:t xml:space="preserve"> </w:t>
      </w:r>
      <w:r w:rsidRPr="00B01004">
        <w:t>= (c</w:t>
      </w:r>
      <w:r w:rsidRPr="00B01004">
        <w:rPr>
          <w:vertAlign w:val="subscript"/>
        </w:rPr>
        <w:t>0</w:t>
      </w:r>
      <w:r w:rsidRPr="00B01004">
        <w:t xml:space="preserve">, </w:t>
      </w:r>
      <w:r>
        <w:t>c</w:t>
      </w:r>
      <w:r w:rsidRPr="00B01004">
        <w:rPr>
          <w:vertAlign w:val="subscript"/>
        </w:rPr>
        <w:t>1</w:t>
      </w:r>
      <w:r>
        <w:t>,….c</w:t>
      </w:r>
      <w:r w:rsidRPr="00B01004">
        <w:rPr>
          <w:vertAlign w:val="subscript"/>
        </w:rPr>
        <w:t>k-1</w:t>
      </w:r>
      <w:r>
        <w:t>,c</w:t>
      </w:r>
      <w:r w:rsidRPr="00B01004">
        <w:rPr>
          <w:vertAlign w:val="subscript"/>
        </w:rPr>
        <w:t>k</w:t>
      </w:r>
      <w:r>
        <w:t>….c</w:t>
      </w:r>
      <w:r w:rsidRPr="00B01004">
        <w:rPr>
          <w:vertAlign w:val="subscript"/>
        </w:rPr>
        <w:t>n-1</w:t>
      </w:r>
      <w:r>
        <w:t xml:space="preserve">). In systematic encoding, the first k bits of the </w:t>
      </w:r>
      <w:proofErr w:type="spellStart"/>
      <w:r>
        <w:t>codeword</w:t>
      </w:r>
      <w:proofErr w:type="spellEnd"/>
      <w:r>
        <w:t xml:space="preserve"> are typically the same as information bits i.e. </w:t>
      </w:r>
      <w:proofErr w:type="spellStart"/>
      <w:r>
        <w:t>c</w:t>
      </w:r>
      <w:r w:rsidRPr="00B01004">
        <w:rPr>
          <w:vertAlign w:val="subscript"/>
        </w:rPr>
        <w:t>j</w:t>
      </w:r>
      <w:proofErr w:type="spellEnd"/>
      <w:r>
        <w:t xml:space="preserve"> = </w:t>
      </w:r>
      <w:proofErr w:type="spellStart"/>
      <w:r>
        <w:t>i</w:t>
      </w:r>
      <w:r w:rsidRPr="00B01004">
        <w:rPr>
          <w:vertAlign w:val="subscript"/>
        </w:rPr>
        <w:t>j</w:t>
      </w:r>
      <w:proofErr w:type="spellEnd"/>
      <w:r>
        <w:t xml:space="preserve">, for j = 0 to k-1. The </w:t>
      </w:r>
      <w:proofErr w:type="spellStart"/>
      <w:r>
        <w:t>codeword</w:t>
      </w:r>
      <w:proofErr w:type="spellEnd"/>
      <w:r>
        <w:t xml:space="preserve"> </w:t>
      </w:r>
      <w:r w:rsidRPr="00B01004">
        <w:rPr>
          <w:b/>
        </w:rPr>
        <w:t>c</w:t>
      </w:r>
      <w:r>
        <w:rPr>
          <w:b/>
          <w:vertAlign w:val="subscript"/>
        </w:rPr>
        <w:t xml:space="preserve"> </w:t>
      </w:r>
      <w:r>
        <w:t xml:space="preserve">satisfies the parity-check equations </w:t>
      </w:r>
      <w:proofErr w:type="spellStart"/>
      <w:r w:rsidRPr="00B01004">
        <w:rPr>
          <w:b/>
        </w:rPr>
        <w:t>H</w:t>
      </w:r>
      <w:r>
        <w:t>∙</w:t>
      </w:r>
      <w:r w:rsidRPr="00B01004">
        <w:rPr>
          <w:b/>
        </w:rPr>
        <w:t>c</w:t>
      </w:r>
      <w:r w:rsidRPr="00B01004">
        <w:rPr>
          <w:b/>
          <w:vertAlign w:val="superscript"/>
        </w:rPr>
        <w:t>T</w:t>
      </w:r>
      <w:proofErr w:type="spellEnd"/>
      <w:r>
        <w:rPr>
          <w:b/>
          <w:vertAlign w:val="subscript"/>
        </w:rPr>
        <w:t xml:space="preserve"> </w:t>
      </w:r>
      <w:r w:rsidRPr="00B01004">
        <w:rPr>
          <w:b/>
        </w:rPr>
        <w:t>= 0</w:t>
      </w:r>
      <w:r>
        <w:rPr>
          <w:b/>
        </w:rPr>
        <w:t xml:space="preserve">, </w:t>
      </w:r>
      <w:r w:rsidRPr="00B01004">
        <w:t xml:space="preserve">where </w:t>
      </w:r>
      <w:r w:rsidRPr="00B01004">
        <w:rPr>
          <w:b/>
        </w:rPr>
        <w:t>H</w:t>
      </w:r>
      <w:r>
        <w:t xml:space="preserve"> is the m x n parity-check matrix, and m = n-k.</w:t>
      </w:r>
    </w:p>
    <w:p w:rsidR="009F58AE" w:rsidRPr="00FB6880" w:rsidRDefault="009F58AE" w:rsidP="009F58AE">
      <w:pPr>
        <w:jc w:val="both"/>
      </w:pPr>
      <w:r>
        <w:t>The parity-check matrix H can be partitioned into square blocks (submatrices) of size z x z. These submatrices are either cyclic-permutations of Identity matrix (or shifted Identity matrix) or null matrices. For instance, a cyclic permutation matrix P</w:t>
      </w:r>
      <w:r w:rsidRPr="00B01004">
        <w:rPr>
          <w:vertAlign w:val="subscript"/>
        </w:rPr>
        <w:t>i</w:t>
      </w:r>
      <w:r>
        <w:t xml:space="preserve"> is obtained from the </w:t>
      </w:r>
      <w:proofErr w:type="spellStart"/>
      <w:r>
        <w:t>zxz</w:t>
      </w:r>
      <w:proofErr w:type="spellEnd"/>
      <w:r>
        <w:t xml:space="preserve"> Identity matrix by cyclically shifting the columns to the right by </w:t>
      </w:r>
      <w:proofErr w:type="spellStart"/>
      <w:r>
        <w:t>i</w:t>
      </w:r>
      <w:proofErr w:type="spellEnd"/>
      <w:r>
        <w:t xml:space="preserve"> elements. The matrix P</w:t>
      </w:r>
      <w:r w:rsidRPr="00B01004">
        <w:rPr>
          <w:vertAlign w:val="subscript"/>
        </w:rPr>
        <w:t>0</w:t>
      </w:r>
      <w:r>
        <w:t xml:space="preserve"> is </w:t>
      </w:r>
      <w:proofErr w:type="spellStart"/>
      <w:r>
        <w:t>zxz</w:t>
      </w:r>
      <w:proofErr w:type="spellEnd"/>
      <w:r>
        <w:t xml:space="preserve"> Identity matrix. For convenience, P</w:t>
      </w:r>
      <w:r w:rsidRPr="00FB6880">
        <w:rPr>
          <w:vertAlign w:val="subscript"/>
        </w:rPr>
        <w:t>-1</w:t>
      </w:r>
      <w:r>
        <w:t xml:space="preserve"> may be used to denote the null matrix of size z </w:t>
      </w:r>
      <w:proofErr w:type="spellStart"/>
      <w:r>
        <w:t>xz</w:t>
      </w:r>
      <w:proofErr w:type="spellEnd"/>
      <w:r>
        <w:t xml:space="preserve">. </w:t>
      </w:r>
    </w:p>
    <w:p w:rsidR="009F58AE" w:rsidRDefault="009F58AE" w:rsidP="009F58AE">
      <w:pPr>
        <w:jc w:val="both"/>
      </w:pPr>
      <w:r>
        <w:t>For example, for z = 5, the following show example matrices,</w:t>
      </w:r>
    </w:p>
    <w:p w:rsidR="009F58AE" w:rsidRPr="00B01004" w:rsidRDefault="009F58AE" w:rsidP="009F58AE">
      <w:pPr>
        <w:jc w:val="both"/>
      </w:pPr>
      <w:r w:rsidRPr="001E6922">
        <w:t xml:space="preserve"> </w:t>
      </w:r>
      <w:r w:rsidRPr="00B01004">
        <w:rPr>
          <w:position w:val="-86"/>
          <w:sz w:val="22"/>
          <w:szCs w:val="22"/>
          <w:lang w:val="en-US"/>
        </w:rPr>
        <w:object w:dxaOrig="2439" w:dyaOrig="1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92.25pt" o:ole="">
            <v:imagedata r:id="rId7" o:title=""/>
          </v:shape>
          <o:OLEObject Type="Embed" ProgID="Equation.3" ShapeID="_x0000_i1025" DrawAspect="Content" ObjectID="_1524680776" r:id="rId8"/>
        </w:object>
      </w:r>
      <w:r>
        <w:t>,</w:t>
      </w:r>
      <w:r w:rsidRPr="001277FC">
        <w:rPr>
          <w:position w:val="-86"/>
          <w:sz w:val="22"/>
          <w:szCs w:val="22"/>
          <w:lang w:val="en-US"/>
        </w:rPr>
        <w:object w:dxaOrig="2439" w:dyaOrig="1840">
          <v:shape id="_x0000_i1026" type="#_x0000_t75" style="width:122.25pt;height:92.25pt" o:ole="">
            <v:imagedata r:id="rId9" o:title=""/>
          </v:shape>
          <o:OLEObject Type="Embed" ProgID="Equation.3" ShapeID="_x0000_i1026" DrawAspect="Content" ObjectID="_1524680777" r:id="rId10"/>
        </w:object>
      </w:r>
      <w:r>
        <w:t>,</w:t>
      </w:r>
      <w:r w:rsidRPr="00B01004">
        <w:rPr>
          <w:position w:val="-86"/>
          <w:sz w:val="22"/>
          <w:szCs w:val="22"/>
          <w:lang w:val="en-US"/>
        </w:rPr>
        <w:object w:dxaOrig="2500" w:dyaOrig="1840">
          <v:shape id="_x0000_i1027" type="#_x0000_t75" style="width:125.25pt;height:92.25pt" o:ole="">
            <v:imagedata r:id="rId11" o:title=""/>
          </v:shape>
          <o:OLEObject Type="Embed" ProgID="Equation.3" ShapeID="_x0000_i1027" DrawAspect="Content" ObjectID="_1524680778" r:id="rId12"/>
        </w:object>
      </w:r>
      <w:r>
        <w:rPr>
          <w:sz w:val="22"/>
          <w:szCs w:val="22"/>
          <w:lang w:val="en-US"/>
        </w:rPr>
        <w:t>.</w:t>
      </w:r>
    </w:p>
    <w:p w:rsidR="009F58AE" w:rsidRPr="006530F5" w:rsidRDefault="009F58AE" w:rsidP="009F58AE">
      <w:pPr>
        <w:tabs>
          <w:tab w:val="left" w:pos="-900"/>
          <w:tab w:val="left" w:pos="-300"/>
        </w:tabs>
        <w:spacing w:after="60"/>
        <w:jc w:val="both"/>
        <w:rPr>
          <w:spacing w:val="6"/>
        </w:rPr>
      </w:pPr>
      <w:r>
        <w:rPr>
          <w:spacing w:val="6"/>
        </w:rPr>
        <w:t xml:space="preserve">Using the above notation, parity-check matrices for large block sizes can be defined using a very compact notation. For example, an expanded matrix </w:t>
      </w:r>
      <w:r w:rsidRPr="006530F5">
        <w:rPr>
          <w:b/>
          <w:spacing w:val="6"/>
        </w:rPr>
        <w:t>H</w:t>
      </w:r>
      <w:r w:rsidRPr="006530F5">
        <w:rPr>
          <w:b/>
          <w:spacing w:val="6"/>
          <w:vertAlign w:val="subscript"/>
        </w:rPr>
        <w:t>M</w:t>
      </w:r>
      <w:r>
        <w:rPr>
          <w:b/>
          <w:spacing w:val="6"/>
        </w:rPr>
        <w:t xml:space="preserve"> </w:t>
      </w:r>
      <w:r w:rsidRPr="006530F5">
        <w:rPr>
          <w:spacing w:val="6"/>
        </w:rPr>
        <w:t>(</w:t>
      </w:r>
      <w:proofErr w:type="spellStart"/>
      <w:r w:rsidRPr="006530F5">
        <w:rPr>
          <w:spacing w:val="6"/>
        </w:rPr>
        <w:t>m</w:t>
      </w:r>
      <w:r w:rsidRPr="006530F5">
        <w:rPr>
          <w:spacing w:val="6"/>
          <w:vertAlign w:val="subscript"/>
        </w:rPr>
        <w:t>b</w:t>
      </w:r>
      <w:proofErr w:type="spellEnd"/>
      <w:r w:rsidRPr="006530F5">
        <w:rPr>
          <w:spacing w:val="6"/>
        </w:rPr>
        <w:t xml:space="preserve"> x </w:t>
      </w:r>
      <w:proofErr w:type="spellStart"/>
      <w:r w:rsidRPr="006530F5">
        <w:rPr>
          <w:spacing w:val="6"/>
        </w:rPr>
        <w:t>n</w:t>
      </w:r>
      <w:r w:rsidRPr="006530F5">
        <w:rPr>
          <w:spacing w:val="6"/>
          <w:vertAlign w:val="subscript"/>
        </w:rPr>
        <w:t>b</w:t>
      </w:r>
      <w:proofErr w:type="spellEnd"/>
      <w:r w:rsidRPr="006530F5">
        <w:rPr>
          <w:spacing w:val="6"/>
        </w:rPr>
        <w:t xml:space="preserve">) may be used to denote the </w:t>
      </w:r>
      <w:proofErr w:type="spellStart"/>
      <w:r w:rsidRPr="006530F5">
        <w:rPr>
          <w:spacing w:val="6"/>
        </w:rPr>
        <w:t>m</w:t>
      </w:r>
      <w:r w:rsidRPr="006530F5">
        <w:rPr>
          <w:spacing w:val="6"/>
          <w:vertAlign w:val="subscript"/>
        </w:rPr>
        <w:t>b</w:t>
      </w:r>
      <w:r w:rsidRPr="006530F5">
        <w:rPr>
          <w:spacing w:val="6"/>
        </w:rPr>
        <w:t>z</w:t>
      </w:r>
      <w:proofErr w:type="spellEnd"/>
      <w:r w:rsidRPr="006530F5">
        <w:rPr>
          <w:spacing w:val="6"/>
        </w:rPr>
        <w:t xml:space="preserve"> x </w:t>
      </w:r>
      <w:proofErr w:type="spellStart"/>
      <w:r w:rsidRPr="006530F5">
        <w:rPr>
          <w:spacing w:val="6"/>
        </w:rPr>
        <w:t>n</w:t>
      </w:r>
      <w:r w:rsidRPr="006530F5">
        <w:rPr>
          <w:spacing w:val="6"/>
          <w:vertAlign w:val="subscript"/>
        </w:rPr>
        <w:t>b</w:t>
      </w:r>
      <w:r w:rsidRPr="006530F5">
        <w:rPr>
          <w:spacing w:val="6"/>
        </w:rPr>
        <w:t>z</w:t>
      </w:r>
      <w:proofErr w:type="spellEnd"/>
      <w:r w:rsidRPr="006530F5">
        <w:rPr>
          <w:spacing w:val="6"/>
        </w:rPr>
        <w:t xml:space="preserve"> binary parity-check matrix obtained by using a compact base matrix </w:t>
      </w:r>
      <w:proofErr w:type="spellStart"/>
      <w:r>
        <w:rPr>
          <w:b/>
          <w:spacing w:val="6"/>
        </w:rPr>
        <w:t>H</w:t>
      </w:r>
      <w:r w:rsidRPr="006530F5">
        <w:rPr>
          <w:b/>
          <w:spacing w:val="6"/>
          <w:vertAlign w:val="subscript"/>
        </w:rPr>
        <w:t>bm</w:t>
      </w:r>
      <w:proofErr w:type="spellEnd"/>
      <w:r>
        <w:rPr>
          <w:b/>
          <w:spacing w:val="6"/>
        </w:rPr>
        <w:t xml:space="preserve"> </w:t>
      </w:r>
      <w:r w:rsidRPr="006530F5">
        <w:rPr>
          <w:spacing w:val="6"/>
        </w:rPr>
        <w:t>(</w:t>
      </w:r>
      <w:proofErr w:type="spellStart"/>
      <w:r w:rsidRPr="006530F5">
        <w:rPr>
          <w:spacing w:val="6"/>
        </w:rPr>
        <w:t>m</w:t>
      </w:r>
      <w:r w:rsidRPr="006530F5">
        <w:rPr>
          <w:spacing w:val="6"/>
          <w:vertAlign w:val="subscript"/>
        </w:rPr>
        <w:t>b</w:t>
      </w:r>
      <w:proofErr w:type="spellEnd"/>
      <w:r w:rsidRPr="006530F5">
        <w:rPr>
          <w:spacing w:val="6"/>
        </w:rPr>
        <w:t xml:space="preserve"> x </w:t>
      </w:r>
      <w:proofErr w:type="spellStart"/>
      <w:r w:rsidRPr="006530F5">
        <w:rPr>
          <w:spacing w:val="6"/>
        </w:rPr>
        <w:t>n</w:t>
      </w:r>
      <w:r w:rsidRPr="006530F5">
        <w:rPr>
          <w:spacing w:val="6"/>
          <w:vertAlign w:val="subscript"/>
        </w:rPr>
        <w:t>b</w:t>
      </w:r>
      <w:proofErr w:type="spellEnd"/>
      <w:r w:rsidRPr="006530F5">
        <w:rPr>
          <w:spacing w:val="6"/>
        </w:rPr>
        <w:t xml:space="preserve">) and a shift size value z. </w:t>
      </w:r>
    </w:p>
    <w:p w:rsidR="009F58AE" w:rsidRDefault="009F58AE" w:rsidP="009F58AE">
      <w:pPr>
        <w:tabs>
          <w:tab w:val="left" w:pos="-900"/>
          <w:tab w:val="left" w:pos="-300"/>
        </w:tabs>
        <w:spacing w:after="60"/>
        <w:jc w:val="both"/>
        <w:rPr>
          <w:spacing w:val="6"/>
        </w:rPr>
      </w:pPr>
    </w:p>
    <w:p w:rsidR="009F58AE" w:rsidRDefault="009F58AE" w:rsidP="009F58AE">
      <w:pPr>
        <w:tabs>
          <w:tab w:val="left" w:pos="-900"/>
          <w:tab w:val="left" w:pos="-300"/>
        </w:tabs>
        <w:spacing w:after="60"/>
        <w:jc w:val="both"/>
        <w:rPr>
          <w:b/>
          <w:spacing w:val="6"/>
        </w:rPr>
      </w:pPr>
    </w:p>
    <w:p w:rsidR="009F58AE" w:rsidRDefault="009F58AE" w:rsidP="009F58AE">
      <w:pPr>
        <w:tabs>
          <w:tab w:val="left" w:pos="-900"/>
          <w:tab w:val="left" w:pos="-300"/>
        </w:tabs>
        <w:spacing w:after="60"/>
        <w:jc w:val="both"/>
        <w:rPr>
          <w:b/>
          <w:spacing w:val="6"/>
        </w:rPr>
      </w:pPr>
    </w:p>
    <w:p w:rsidR="009F58AE" w:rsidRPr="007828DC" w:rsidRDefault="009F58AE" w:rsidP="009F58AE">
      <w:pPr>
        <w:tabs>
          <w:tab w:val="left" w:pos="-900"/>
          <w:tab w:val="left" w:pos="-300"/>
        </w:tabs>
        <w:spacing w:after="60"/>
        <w:jc w:val="both"/>
        <w:rPr>
          <w:b/>
          <w:spacing w:val="6"/>
          <w:sz w:val="24"/>
        </w:rPr>
      </w:pPr>
      <w:r w:rsidRPr="007828DC">
        <w:rPr>
          <w:b/>
          <w:spacing w:val="6"/>
          <w:sz w:val="24"/>
        </w:rPr>
        <w:lastRenderedPageBreak/>
        <w:t>Encoding</w:t>
      </w:r>
    </w:p>
    <w:p w:rsidR="009F58AE" w:rsidRDefault="009F58AE" w:rsidP="009F58AE">
      <w:pPr>
        <w:tabs>
          <w:tab w:val="left" w:pos="-900"/>
          <w:tab w:val="left" w:pos="-300"/>
        </w:tabs>
        <w:spacing w:after="60"/>
        <w:jc w:val="both"/>
        <w:rPr>
          <w:spacing w:val="6"/>
        </w:rPr>
      </w:pPr>
      <w:r>
        <w:rPr>
          <w:spacing w:val="6"/>
        </w:rPr>
        <w:t xml:space="preserve">Linear time encoding is facilitated through the adoption of a parity-check matrix that has dual-diagonal parity-check portion. This enables a repeat accumulate like structure for determining the parity-check bits [9]. The repeat accumulate structure can be applied at block level to enable efficient high-speed encoding. </w:t>
      </w:r>
    </w:p>
    <w:p w:rsidR="009F58AE" w:rsidRDefault="009F58AE" w:rsidP="009F58AE">
      <w:pPr>
        <w:tabs>
          <w:tab w:val="left" w:pos="-900"/>
          <w:tab w:val="left" w:pos="-300"/>
        </w:tabs>
        <w:spacing w:after="60"/>
        <w:jc w:val="both"/>
        <w:rPr>
          <w:spacing w:val="6"/>
        </w:rPr>
      </w:pPr>
    </w:p>
    <w:p w:rsidR="009F58AE" w:rsidRPr="007828DC" w:rsidRDefault="009F58AE" w:rsidP="009F58AE">
      <w:pPr>
        <w:tabs>
          <w:tab w:val="left" w:pos="-900"/>
          <w:tab w:val="left" w:pos="-300"/>
        </w:tabs>
        <w:spacing w:after="60"/>
        <w:jc w:val="both"/>
        <w:rPr>
          <w:b/>
          <w:spacing w:val="6"/>
          <w:sz w:val="24"/>
        </w:rPr>
      </w:pPr>
      <w:r w:rsidRPr="007828DC">
        <w:rPr>
          <w:b/>
          <w:spacing w:val="6"/>
          <w:sz w:val="24"/>
        </w:rPr>
        <w:t>Decoding</w:t>
      </w:r>
    </w:p>
    <w:p w:rsidR="009F58AE" w:rsidRDefault="009F58AE" w:rsidP="009F58AE">
      <w:pPr>
        <w:tabs>
          <w:tab w:val="left" w:pos="-900"/>
          <w:tab w:val="left" w:pos="-300"/>
        </w:tabs>
        <w:spacing w:after="60"/>
        <w:jc w:val="both"/>
        <w:rPr>
          <w:spacing w:val="6"/>
        </w:rPr>
      </w:pPr>
      <w:r>
        <w:rPr>
          <w:spacing w:val="6"/>
        </w:rPr>
        <w:t xml:space="preserve">Structured LDPC codes also support layered belief propagation decoding algorithm which can converge faster (in number of iterations) relative to standard belief propagation decoder. In the decoder, the check node update (CNU) can be performed on each layer (or a block row) at a time. If further reduced latency is desired, the CNU can be performed on multiple layers simultaneously. Thus, the LDPC code design should be flexible enough to allow the decoder to choose the desired amount of parallelism based on the desired throughput/latency requirements. This would be analogous to LTE turbo code </w:t>
      </w:r>
      <w:proofErr w:type="spellStart"/>
      <w:r>
        <w:rPr>
          <w:spacing w:val="6"/>
        </w:rPr>
        <w:t>interleaver</w:t>
      </w:r>
      <w:proofErr w:type="spellEnd"/>
      <w:r>
        <w:rPr>
          <w:spacing w:val="6"/>
        </w:rPr>
        <w:t xml:space="preserve"> that enables different levels of parallelism based on the target data rate/latency. </w:t>
      </w:r>
    </w:p>
    <w:p w:rsidR="009F58AE" w:rsidRDefault="009F58AE" w:rsidP="009F58AE">
      <w:pPr>
        <w:tabs>
          <w:tab w:val="left" w:pos="-900"/>
          <w:tab w:val="left" w:pos="-300"/>
        </w:tabs>
        <w:spacing w:after="60"/>
        <w:jc w:val="both"/>
        <w:rPr>
          <w:b/>
          <w:spacing w:val="6"/>
        </w:rPr>
      </w:pPr>
    </w:p>
    <w:p w:rsidR="009F58AE" w:rsidRPr="007828DC" w:rsidRDefault="009F58AE" w:rsidP="009F58AE">
      <w:pPr>
        <w:tabs>
          <w:tab w:val="left" w:pos="-900"/>
          <w:tab w:val="left" w:pos="-300"/>
        </w:tabs>
        <w:spacing w:after="60"/>
        <w:jc w:val="both"/>
        <w:rPr>
          <w:b/>
          <w:spacing w:val="6"/>
          <w:sz w:val="24"/>
        </w:rPr>
      </w:pPr>
      <w:r w:rsidRPr="007828DC">
        <w:rPr>
          <w:b/>
          <w:spacing w:val="6"/>
          <w:sz w:val="24"/>
        </w:rPr>
        <w:t>Block size support</w:t>
      </w:r>
    </w:p>
    <w:p w:rsidR="009F58AE" w:rsidRDefault="009F58AE" w:rsidP="009F58AE">
      <w:pPr>
        <w:tabs>
          <w:tab w:val="left" w:pos="-900"/>
          <w:tab w:val="left" w:pos="-300"/>
        </w:tabs>
        <w:spacing w:after="60"/>
        <w:jc w:val="both"/>
        <w:rPr>
          <w:spacing w:val="6"/>
        </w:rPr>
      </w:pPr>
      <w:r>
        <w:rPr>
          <w:spacing w:val="6"/>
        </w:rPr>
        <w:t xml:space="preserve">Similar to the LTE turbo codes, the block size selection needs to consider underlying code structure. For example, in LTE, the block sizes were byte-aligned and cover the range 40-6144 with different step sizes, starting with step size of 8 at lower end and growing to a step size of 64 bits at the higher end. This was done to enable LTE to support windowed turbo decoding with up to 64 parallel MAP processors at the higher block sizes. </w:t>
      </w:r>
    </w:p>
    <w:p w:rsidR="009F58AE" w:rsidRDefault="009F58AE" w:rsidP="009F58AE">
      <w:pPr>
        <w:tabs>
          <w:tab w:val="left" w:pos="-900"/>
          <w:tab w:val="left" w:pos="-300"/>
        </w:tabs>
        <w:spacing w:after="60"/>
        <w:jc w:val="both"/>
        <w:rPr>
          <w:spacing w:val="6"/>
        </w:rPr>
      </w:pPr>
    </w:p>
    <w:p w:rsidR="009F58AE" w:rsidRDefault="009F58AE" w:rsidP="009F58AE">
      <w:pPr>
        <w:tabs>
          <w:tab w:val="left" w:pos="-900"/>
          <w:tab w:val="left" w:pos="-300"/>
        </w:tabs>
        <w:spacing w:after="60"/>
        <w:jc w:val="both"/>
        <w:rPr>
          <w:spacing w:val="6"/>
        </w:rPr>
      </w:pPr>
      <w:r>
        <w:rPr>
          <w:spacing w:val="6"/>
        </w:rPr>
        <w:t xml:space="preserve">In principle, LDPC codes can be designed to support any arbitrary information/code block size. However, considering efficient encoding/decoding, it is desirable to support a limited set of block sizes that can be natively designed for LDPC. The other block sizes in between can be supported via zero-padding operation (similar to the LTE turbo code). </w:t>
      </w:r>
    </w:p>
    <w:p w:rsidR="009F58AE" w:rsidRDefault="009F58AE" w:rsidP="009F58AE">
      <w:pPr>
        <w:tabs>
          <w:tab w:val="left" w:pos="-900"/>
          <w:tab w:val="left" w:pos="-300"/>
        </w:tabs>
        <w:spacing w:after="60"/>
        <w:jc w:val="both"/>
        <w:rPr>
          <w:spacing w:val="6"/>
        </w:rPr>
      </w:pPr>
      <w:r>
        <w:rPr>
          <w:spacing w:val="6"/>
        </w:rPr>
        <w:t xml:space="preserve">For example, assume a rate-1/2 design based on 12 x 24 base matrix (i.e. </w:t>
      </w:r>
      <w:proofErr w:type="spellStart"/>
      <w:r>
        <w:rPr>
          <w:spacing w:val="6"/>
        </w:rPr>
        <w:t>m</w:t>
      </w:r>
      <w:r w:rsidRPr="00767C83">
        <w:rPr>
          <w:spacing w:val="6"/>
          <w:vertAlign w:val="subscript"/>
        </w:rPr>
        <w:t>b</w:t>
      </w:r>
      <w:proofErr w:type="spellEnd"/>
      <w:r>
        <w:rPr>
          <w:spacing w:val="6"/>
        </w:rPr>
        <w:t xml:space="preserve"> = 12, </w:t>
      </w:r>
      <w:proofErr w:type="spellStart"/>
      <w:r>
        <w:rPr>
          <w:spacing w:val="6"/>
        </w:rPr>
        <w:t>n</w:t>
      </w:r>
      <w:r w:rsidRPr="00767C83">
        <w:rPr>
          <w:spacing w:val="6"/>
          <w:vertAlign w:val="subscript"/>
        </w:rPr>
        <w:t>b</w:t>
      </w:r>
      <w:proofErr w:type="spellEnd"/>
      <w:r>
        <w:rPr>
          <w:spacing w:val="6"/>
        </w:rPr>
        <w:t xml:space="preserve"> = 24). Now the expansion of this using different shift size values z yields parity-check matrices that support information block size of 12.z. </w:t>
      </w:r>
    </w:p>
    <w:p w:rsidR="009F58AE" w:rsidRDefault="009F58AE" w:rsidP="009F58AE">
      <w:pPr>
        <w:tabs>
          <w:tab w:val="left" w:pos="-900"/>
          <w:tab w:val="left" w:pos="-300"/>
        </w:tabs>
        <w:spacing w:after="60"/>
        <w:jc w:val="both"/>
        <w:rPr>
          <w:spacing w:val="6"/>
        </w:rPr>
      </w:pPr>
      <w:r>
        <w:rPr>
          <w:spacing w:val="6"/>
        </w:rPr>
        <w:t>For example if z = {1</w:t>
      </w:r>
      <w:proofErr w:type="gramStart"/>
      <w:r>
        <w:rPr>
          <w:spacing w:val="6"/>
        </w:rPr>
        <w:t>,2</w:t>
      </w:r>
      <w:proofErr w:type="gramEnd"/>
      <w:r>
        <w:rPr>
          <w:spacing w:val="6"/>
        </w:rPr>
        <w:t>….512}, the support information block sizes are {12, 24, 36…..6144}. In principle, each expanded matrix can be designed independently, but compact techniques to derive expanded matrices for different z values from one expanded matrix are also feasible. For example, modulo or scaling techniques can used as in [10].</w:t>
      </w:r>
    </w:p>
    <w:p w:rsidR="009F58AE" w:rsidRDefault="009F58AE" w:rsidP="009F58AE">
      <w:pPr>
        <w:tabs>
          <w:tab w:val="left" w:pos="-900"/>
          <w:tab w:val="left" w:pos="-300"/>
        </w:tabs>
        <w:spacing w:after="60"/>
        <w:jc w:val="both"/>
        <w:rPr>
          <w:spacing w:val="6"/>
        </w:rPr>
      </w:pPr>
    </w:p>
    <w:p w:rsidR="009F58AE" w:rsidRPr="00EC43A8" w:rsidRDefault="009F58AE" w:rsidP="009F58AE">
      <w:pPr>
        <w:tabs>
          <w:tab w:val="left" w:pos="-900"/>
          <w:tab w:val="left" w:pos="-300"/>
        </w:tabs>
        <w:spacing w:after="60"/>
        <w:jc w:val="both"/>
        <w:rPr>
          <w:spacing w:val="6"/>
          <w:vertAlign w:val="subscript"/>
        </w:rPr>
      </w:pPr>
      <w:r>
        <w:rPr>
          <w:spacing w:val="6"/>
        </w:rPr>
        <w:t>From a decoder perspective, additional features may be desirable when considering the set of shift values to be supported. For example, the set of z = {1</w:t>
      </w:r>
      <w:proofErr w:type="gramStart"/>
      <w:r>
        <w:rPr>
          <w:spacing w:val="6"/>
        </w:rPr>
        <w:t>,2</w:t>
      </w:r>
      <w:proofErr w:type="gramEnd"/>
      <w:r>
        <w:rPr>
          <w:spacing w:val="6"/>
        </w:rPr>
        <w:t xml:space="preserve">….512} may be too fine granular compared to LTE (where there are only ~200 QPP </w:t>
      </w:r>
      <w:proofErr w:type="spellStart"/>
      <w:r>
        <w:rPr>
          <w:spacing w:val="6"/>
        </w:rPr>
        <w:t>interleaver</w:t>
      </w:r>
      <w:proofErr w:type="spellEnd"/>
      <w:r>
        <w:rPr>
          <w:spacing w:val="6"/>
        </w:rPr>
        <w:t xml:space="preserve"> sizes). Thus, some decimation in the set of z values can be considered if it can provide benefits in decoder implementations. </w:t>
      </w:r>
    </w:p>
    <w:p w:rsidR="009F58AE" w:rsidRDefault="009F58AE" w:rsidP="009F58AE">
      <w:pPr>
        <w:tabs>
          <w:tab w:val="left" w:pos="-900"/>
          <w:tab w:val="left" w:pos="-300"/>
        </w:tabs>
        <w:spacing w:after="60"/>
        <w:jc w:val="both"/>
        <w:rPr>
          <w:b/>
          <w:spacing w:val="6"/>
        </w:rPr>
      </w:pPr>
    </w:p>
    <w:p w:rsidR="009F58AE" w:rsidRPr="00C839D4" w:rsidRDefault="009F58AE" w:rsidP="009F58AE">
      <w:pPr>
        <w:tabs>
          <w:tab w:val="left" w:pos="-900"/>
          <w:tab w:val="left" w:pos="-300"/>
        </w:tabs>
        <w:spacing w:after="60"/>
        <w:jc w:val="both"/>
        <w:rPr>
          <w:b/>
          <w:spacing w:val="6"/>
        </w:rPr>
      </w:pPr>
      <w:r>
        <w:rPr>
          <w:b/>
          <w:spacing w:val="6"/>
        </w:rPr>
        <w:t>Proposal 1: S</w:t>
      </w:r>
      <w:r w:rsidRPr="00C839D4">
        <w:rPr>
          <w:b/>
          <w:spacing w:val="6"/>
        </w:rPr>
        <w:t xml:space="preserve">tudy </w:t>
      </w:r>
      <w:r>
        <w:rPr>
          <w:b/>
          <w:spacing w:val="6"/>
        </w:rPr>
        <w:t>techniques</w:t>
      </w:r>
      <w:r w:rsidRPr="00C839D4">
        <w:rPr>
          <w:b/>
          <w:spacing w:val="6"/>
        </w:rPr>
        <w:t xml:space="preserve"> for </w:t>
      </w:r>
      <w:r>
        <w:rPr>
          <w:b/>
          <w:spacing w:val="6"/>
        </w:rPr>
        <w:t>efficient support of flexible block sizes with LDPC codes.</w:t>
      </w:r>
    </w:p>
    <w:p w:rsidR="009F58AE" w:rsidRDefault="009F58AE" w:rsidP="009F58AE">
      <w:pPr>
        <w:tabs>
          <w:tab w:val="left" w:pos="-900"/>
          <w:tab w:val="left" w:pos="-300"/>
        </w:tabs>
        <w:spacing w:after="60"/>
        <w:jc w:val="both"/>
        <w:rPr>
          <w:spacing w:val="6"/>
        </w:rPr>
      </w:pPr>
    </w:p>
    <w:p w:rsidR="009F58AE" w:rsidRPr="007828DC" w:rsidRDefault="009F58AE" w:rsidP="009F58AE">
      <w:pPr>
        <w:tabs>
          <w:tab w:val="left" w:pos="-900"/>
          <w:tab w:val="left" w:pos="-300"/>
        </w:tabs>
        <w:spacing w:after="60"/>
        <w:jc w:val="both"/>
        <w:rPr>
          <w:b/>
          <w:spacing w:val="6"/>
          <w:sz w:val="24"/>
        </w:rPr>
      </w:pPr>
      <w:r w:rsidRPr="007828DC">
        <w:rPr>
          <w:b/>
          <w:spacing w:val="6"/>
          <w:sz w:val="24"/>
        </w:rPr>
        <w:t>HARQ/Code rate support</w:t>
      </w:r>
    </w:p>
    <w:p w:rsidR="00DC5CF7" w:rsidRDefault="00DC5CF7" w:rsidP="009F58AE">
      <w:pPr>
        <w:tabs>
          <w:tab w:val="left" w:pos="-900"/>
          <w:tab w:val="left" w:pos="-300"/>
        </w:tabs>
        <w:spacing w:after="60"/>
        <w:jc w:val="both"/>
        <w:rPr>
          <w:spacing w:val="6"/>
        </w:rPr>
      </w:pPr>
    </w:p>
    <w:p w:rsidR="009F58AE" w:rsidRDefault="009F58AE" w:rsidP="009F58AE">
      <w:pPr>
        <w:tabs>
          <w:tab w:val="left" w:pos="-900"/>
          <w:tab w:val="left" w:pos="-300"/>
        </w:tabs>
        <w:spacing w:after="60"/>
        <w:jc w:val="both"/>
        <w:rPr>
          <w:spacing w:val="6"/>
        </w:rPr>
      </w:pPr>
      <w:r w:rsidRPr="00933995">
        <w:rPr>
          <w:spacing w:val="6"/>
        </w:rPr>
        <w:t>LDPC codes are typically designed for a particular code</w:t>
      </w:r>
      <w:r>
        <w:rPr>
          <w:spacing w:val="6"/>
        </w:rPr>
        <w:t>-</w:t>
      </w:r>
      <w:r w:rsidRPr="00933995">
        <w:rPr>
          <w:spacing w:val="6"/>
        </w:rPr>
        <w:t>rate/block</w:t>
      </w:r>
      <w:r>
        <w:rPr>
          <w:spacing w:val="6"/>
        </w:rPr>
        <w:t>-</w:t>
      </w:r>
      <w:r w:rsidRPr="00933995">
        <w:rPr>
          <w:spacing w:val="6"/>
        </w:rPr>
        <w:t xml:space="preserve">size combination and similar to LTE turbo codes, puncturing/shortening can be used </w:t>
      </w:r>
      <w:r>
        <w:rPr>
          <w:spacing w:val="6"/>
        </w:rPr>
        <w:t xml:space="preserve">to </w:t>
      </w:r>
      <w:r w:rsidRPr="00933995">
        <w:rPr>
          <w:spacing w:val="6"/>
        </w:rPr>
        <w:t>achieve different codes rates. However, if puncturing is used to obtain a higher rate code</w:t>
      </w:r>
      <w:r>
        <w:rPr>
          <w:spacing w:val="6"/>
        </w:rPr>
        <w:t xml:space="preserve"> from a very low mother code rate (lot more parity-checks with punctured variable nodes), then from decoder perspective, mode operations may be required (similar to turbo code where ops count is same irrespective if the code is operating at 1/3 or 5/6)</w:t>
      </w:r>
      <w:r w:rsidRPr="00933995">
        <w:rPr>
          <w:spacing w:val="6"/>
        </w:rPr>
        <w:t xml:space="preserve">. </w:t>
      </w:r>
      <w:r>
        <w:rPr>
          <w:spacing w:val="6"/>
        </w:rPr>
        <w:t>Thus, a</w:t>
      </w:r>
      <w:r w:rsidRPr="00933995">
        <w:rPr>
          <w:spacing w:val="6"/>
        </w:rPr>
        <w:t xml:space="preserve">nother option to support HARQ-IR is to </w:t>
      </w:r>
      <w:r>
        <w:rPr>
          <w:spacing w:val="6"/>
        </w:rPr>
        <w:t>try to</w:t>
      </w:r>
      <w:r w:rsidRPr="00933995">
        <w:rPr>
          <w:spacing w:val="6"/>
        </w:rPr>
        <w:t xml:space="preserve"> achiev</w:t>
      </w:r>
      <w:r>
        <w:rPr>
          <w:spacing w:val="6"/>
        </w:rPr>
        <w:t>e</w:t>
      </w:r>
      <w:r w:rsidRPr="00933995">
        <w:rPr>
          <w:spacing w:val="6"/>
        </w:rPr>
        <w:t xml:space="preserve"> lower code rates by parity-check matrix extension. For example, </w:t>
      </w:r>
      <w:r>
        <w:rPr>
          <w:spacing w:val="6"/>
        </w:rPr>
        <w:t xml:space="preserve">assume the parity-check matrix </w:t>
      </w:r>
      <w:r w:rsidRPr="00933995">
        <w:rPr>
          <w:b/>
          <w:spacing w:val="6"/>
        </w:rPr>
        <w:t>H</w:t>
      </w:r>
      <w:r w:rsidRPr="00933995">
        <w:rPr>
          <w:b/>
          <w:spacing w:val="6"/>
          <w:vertAlign w:val="subscript"/>
        </w:rPr>
        <w:t>Tx1</w:t>
      </w:r>
      <w:r>
        <w:rPr>
          <w:spacing w:val="6"/>
        </w:rPr>
        <w:t xml:space="preserve"> is used to encode an information block to generate parity-bits for 1</w:t>
      </w:r>
      <w:r w:rsidRPr="002E1BDB">
        <w:rPr>
          <w:spacing w:val="6"/>
          <w:vertAlign w:val="superscript"/>
        </w:rPr>
        <w:t>st</w:t>
      </w:r>
      <w:r>
        <w:rPr>
          <w:spacing w:val="6"/>
        </w:rPr>
        <w:t xml:space="preserve"> transmission (as shown below). Thus the </w:t>
      </w:r>
      <w:proofErr w:type="spellStart"/>
      <w:r>
        <w:rPr>
          <w:spacing w:val="6"/>
        </w:rPr>
        <w:t>codeword</w:t>
      </w:r>
      <w:proofErr w:type="spellEnd"/>
      <w:r>
        <w:rPr>
          <w:spacing w:val="6"/>
        </w:rPr>
        <w:t xml:space="preserve"> in the first transmission can be [</w:t>
      </w:r>
      <w:proofErr w:type="spellStart"/>
      <w:r w:rsidRPr="002E1BDB">
        <w:rPr>
          <w:b/>
          <w:i/>
          <w:spacing w:val="6"/>
        </w:rPr>
        <w:t>i</w:t>
      </w:r>
      <w:proofErr w:type="spellEnd"/>
      <w:r>
        <w:rPr>
          <w:spacing w:val="6"/>
        </w:rPr>
        <w:t xml:space="preserve"> </w:t>
      </w:r>
      <w:r w:rsidRPr="002E1BDB">
        <w:rPr>
          <w:b/>
          <w:i/>
          <w:spacing w:val="6"/>
        </w:rPr>
        <w:t>p</w:t>
      </w:r>
      <w:r>
        <w:rPr>
          <w:spacing w:val="6"/>
        </w:rPr>
        <w:t xml:space="preserve">], where </w:t>
      </w:r>
      <w:proofErr w:type="spellStart"/>
      <w:r w:rsidRPr="002E1BDB">
        <w:rPr>
          <w:b/>
          <w:i/>
          <w:spacing w:val="6"/>
        </w:rPr>
        <w:t>i</w:t>
      </w:r>
      <w:proofErr w:type="spellEnd"/>
      <w:r>
        <w:rPr>
          <w:spacing w:val="6"/>
        </w:rPr>
        <w:t xml:space="preserve"> denotes systematic bits and </w:t>
      </w:r>
      <w:r w:rsidRPr="002E1BDB">
        <w:rPr>
          <w:b/>
          <w:i/>
          <w:spacing w:val="6"/>
        </w:rPr>
        <w:t>p</w:t>
      </w:r>
      <w:r>
        <w:rPr>
          <w:spacing w:val="6"/>
        </w:rPr>
        <w:t xml:space="preserve"> denotes the parity-bits. </w:t>
      </w:r>
    </w:p>
    <w:p w:rsidR="009F58AE" w:rsidRPr="00933995" w:rsidRDefault="00DC5CF7" w:rsidP="009F58AE">
      <w:pPr>
        <w:tabs>
          <w:tab w:val="left" w:pos="-900"/>
          <w:tab w:val="left" w:pos="-300"/>
        </w:tabs>
        <w:spacing w:after="60"/>
        <w:jc w:val="center"/>
        <w:rPr>
          <w:spacing w:val="6"/>
        </w:rPr>
      </w:pPr>
      <w:r w:rsidRPr="00933995">
        <w:rPr>
          <w:position w:val="-14"/>
        </w:rPr>
        <w:object w:dxaOrig="1800" w:dyaOrig="380">
          <v:shape id="_x0000_i1028" type="#_x0000_t75" style="width:87.75pt;height:18.75pt" o:ole="">
            <v:imagedata r:id="rId13" o:title=""/>
          </v:shape>
          <o:OLEObject Type="Embed" ProgID="Equation.3" ShapeID="_x0000_i1028" DrawAspect="Content" ObjectID="_1524680779" r:id="rId14"/>
        </w:object>
      </w:r>
    </w:p>
    <w:p w:rsidR="009F58AE" w:rsidRDefault="009F58AE" w:rsidP="009F58AE">
      <w:pPr>
        <w:tabs>
          <w:tab w:val="left" w:pos="-900"/>
          <w:tab w:val="left" w:pos="-300"/>
        </w:tabs>
        <w:spacing w:after="60"/>
        <w:jc w:val="both"/>
        <w:rPr>
          <w:b/>
          <w:spacing w:val="6"/>
        </w:rPr>
      </w:pPr>
    </w:p>
    <w:p w:rsidR="009F58AE" w:rsidRDefault="00DC5CF7" w:rsidP="009F58AE">
      <w:pPr>
        <w:tabs>
          <w:tab w:val="left" w:pos="-900"/>
          <w:tab w:val="left" w:pos="-300"/>
        </w:tabs>
        <w:spacing w:after="60"/>
        <w:jc w:val="center"/>
        <w:rPr>
          <w:b/>
          <w:spacing w:val="6"/>
        </w:rPr>
      </w:pPr>
      <w:r w:rsidRPr="00740171">
        <w:rPr>
          <w:position w:val="-32"/>
        </w:rPr>
        <w:object w:dxaOrig="2600" w:dyaOrig="760">
          <v:shape id="_x0000_i1029" type="#_x0000_t75" style="width:129pt;height:38.25pt" o:ole="">
            <v:imagedata r:id="rId15" o:title=""/>
          </v:shape>
          <o:OLEObject Type="Embed" ProgID="Equation.3" ShapeID="_x0000_i1029" DrawAspect="Content" ObjectID="_1524680780" r:id="rId16"/>
        </w:object>
      </w:r>
    </w:p>
    <w:p w:rsidR="009F58AE" w:rsidRDefault="009F58AE" w:rsidP="009F58AE">
      <w:pPr>
        <w:tabs>
          <w:tab w:val="left" w:pos="-900"/>
          <w:tab w:val="left" w:pos="-300"/>
        </w:tabs>
        <w:spacing w:after="60"/>
        <w:jc w:val="both"/>
        <w:rPr>
          <w:spacing w:val="6"/>
        </w:rPr>
      </w:pPr>
    </w:p>
    <w:p w:rsidR="009F58AE" w:rsidRDefault="009F58AE" w:rsidP="009F58AE">
      <w:pPr>
        <w:tabs>
          <w:tab w:val="left" w:pos="-900"/>
          <w:tab w:val="left" w:pos="-300"/>
        </w:tabs>
        <w:spacing w:after="60"/>
        <w:jc w:val="both"/>
        <w:rPr>
          <w:spacing w:val="6"/>
        </w:rPr>
      </w:pPr>
      <w:r>
        <w:rPr>
          <w:spacing w:val="6"/>
        </w:rPr>
        <w:t xml:space="preserve">If a retransmission based on IR is desired, then the parity-check matrix </w:t>
      </w:r>
      <w:r w:rsidRPr="00933995">
        <w:rPr>
          <w:b/>
          <w:spacing w:val="6"/>
        </w:rPr>
        <w:t>H</w:t>
      </w:r>
      <w:r w:rsidRPr="00933995">
        <w:rPr>
          <w:b/>
          <w:spacing w:val="6"/>
          <w:vertAlign w:val="subscript"/>
        </w:rPr>
        <w:t>Tx1</w:t>
      </w:r>
      <w:r>
        <w:rPr>
          <w:b/>
          <w:spacing w:val="6"/>
          <w:vertAlign w:val="subscript"/>
        </w:rPr>
        <w:t xml:space="preserve"> </w:t>
      </w:r>
      <w:r w:rsidRPr="002E1BDB">
        <w:rPr>
          <w:spacing w:val="6"/>
        </w:rPr>
        <w:t>can be</w:t>
      </w:r>
      <w:r>
        <w:rPr>
          <w:spacing w:val="6"/>
        </w:rPr>
        <w:t xml:space="preserve"> extended by adding sub codes (or additional parity-check rows) to generate a new set of parity-bits for the second transmission. This extension is shown below. Thus, the </w:t>
      </w:r>
      <w:proofErr w:type="spellStart"/>
      <w:r>
        <w:rPr>
          <w:spacing w:val="6"/>
        </w:rPr>
        <w:t>codeword</w:t>
      </w:r>
      <w:proofErr w:type="spellEnd"/>
      <w:r>
        <w:rPr>
          <w:spacing w:val="6"/>
        </w:rPr>
        <w:t xml:space="preserve"> in the second transmission can be [</w:t>
      </w:r>
      <w:proofErr w:type="spellStart"/>
      <w:r w:rsidRPr="002E1BDB">
        <w:rPr>
          <w:b/>
          <w:spacing w:val="6"/>
        </w:rPr>
        <w:t>i</w:t>
      </w:r>
      <w:proofErr w:type="spellEnd"/>
      <w:r>
        <w:rPr>
          <w:spacing w:val="6"/>
        </w:rPr>
        <w:t xml:space="preserve"> </w:t>
      </w:r>
      <w:r w:rsidRPr="002E1BDB">
        <w:rPr>
          <w:b/>
          <w:spacing w:val="6"/>
        </w:rPr>
        <w:t>p</w:t>
      </w:r>
      <w:r>
        <w:rPr>
          <w:b/>
          <w:spacing w:val="6"/>
        </w:rPr>
        <w:t xml:space="preserve"> q</w:t>
      </w:r>
      <w:r>
        <w:rPr>
          <w:spacing w:val="6"/>
        </w:rPr>
        <w:t xml:space="preserve">], where </w:t>
      </w:r>
      <w:r>
        <w:rPr>
          <w:b/>
          <w:i/>
          <w:spacing w:val="6"/>
        </w:rPr>
        <w:t>q</w:t>
      </w:r>
      <w:r>
        <w:rPr>
          <w:spacing w:val="6"/>
        </w:rPr>
        <w:t xml:space="preserve"> denotes the additional parity-bits available for transmission. One benefit of such IR based extension is that the amount of extension can be controlled by design. For example, consider the peak rate-like scenario with large packet sizes/very high data/MCS (1</w:t>
      </w:r>
      <w:r w:rsidRPr="002E1BDB">
        <w:rPr>
          <w:spacing w:val="6"/>
          <w:vertAlign w:val="superscript"/>
        </w:rPr>
        <w:t>st</w:t>
      </w:r>
      <w:r>
        <w:rPr>
          <w:spacing w:val="6"/>
        </w:rPr>
        <w:t xml:space="preserve"> transmission rate close to 0.9). It may be possible to support only small extensions (e.g. to rate-2/3) to maintain throughput/latency target in the decoders compared to a typical scenario (e.g. low-to-medium MCS), where extension can be supported to code rates such as 1/3 (as in LTE) or even lower. Thus, we propose to </w:t>
      </w:r>
      <w:r w:rsidR="00DC5CF7">
        <w:rPr>
          <w:spacing w:val="6"/>
        </w:rPr>
        <w:t>study</w:t>
      </w:r>
      <w:r>
        <w:rPr>
          <w:spacing w:val="6"/>
        </w:rPr>
        <w:t xml:space="preserve"> parity-check matrix extension techniques for supporting IR-HARQ</w:t>
      </w:r>
    </w:p>
    <w:p w:rsidR="009F58AE" w:rsidRDefault="009F58AE" w:rsidP="009F58AE">
      <w:pPr>
        <w:tabs>
          <w:tab w:val="left" w:pos="-900"/>
          <w:tab w:val="left" w:pos="-300"/>
        </w:tabs>
        <w:spacing w:after="60"/>
        <w:jc w:val="both"/>
        <w:rPr>
          <w:b/>
          <w:spacing w:val="6"/>
        </w:rPr>
      </w:pPr>
    </w:p>
    <w:p w:rsidR="009F58AE" w:rsidRPr="00C839D4" w:rsidRDefault="009F58AE" w:rsidP="009F58AE">
      <w:pPr>
        <w:tabs>
          <w:tab w:val="left" w:pos="-900"/>
          <w:tab w:val="left" w:pos="-300"/>
        </w:tabs>
        <w:spacing w:after="60"/>
        <w:jc w:val="both"/>
        <w:rPr>
          <w:b/>
          <w:spacing w:val="6"/>
        </w:rPr>
      </w:pPr>
      <w:r>
        <w:rPr>
          <w:b/>
          <w:spacing w:val="6"/>
        </w:rPr>
        <w:t>Proposal 2: S</w:t>
      </w:r>
      <w:r w:rsidRPr="00C839D4">
        <w:rPr>
          <w:b/>
          <w:spacing w:val="6"/>
        </w:rPr>
        <w:t xml:space="preserve">tudy parity-check matrix extension </w:t>
      </w:r>
      <w:r>
        <w:rPr>
          <w:b/>
          <w:spacing w:val="6"/>
        </w:rPr>
        <w:t>techniques</w:t>
      </w:r>
      <w:r w:rsidRPr="00C839D4">
        <w:rPr>
          <w:b/>
          <w:spacing w:val="6"/>
        </w:rPr>
        <w:t xml:space="preserve"> for </w:t>
      </w:r>
      <w:r>
        <w:rPr>
          <w:b/>
          <w:spacing w:val="6"/>
        </w:rPr>
        <w:t>supporting Incremental redundancy with LDPC codes</w:t>
      </w:r>
      <w:r w:rsidRPr="00C839D4">
        <w:rPr>
          <w:b/>
          <w:spacing w:val="6"/>
        </w:rPr>
        <w:t>.</w:t>
      </w:r>
    </w:p>
    <w:p w:rsidR="009F58AE" w:rsidRPr="007828DC" w:rsidRDefault="009F58AE" w:rsidP="00D35817">
      <w:pPr>
        <w:pStyle w:val="LGTdoc"/>
        <w:numPr>
          <w:ilvl w:val="0"/>
          <w:numId w:val="1"/>
        </w:numPr>
        <w:spacing w:before="240" w:afterLines="0" w:after="120" w:line="240" w:lineRule="auto"/>
        <w:ind w:left="432" w:hanging="432"/>
        <w:rPr>
          <w:rFonts w:ascii="Arial" w:hAnsi="Arial" w:cs="Arial"/>
          <w:b/>
          <w:snapToGrid w:val="0"/>
          <w:kern w:val="0"/>
          <w:sz w:val="28"/>
          <w:szCs w:val="20"/>
          <w:lang w:val="en-US"/>
        </w:rPr>
      </w:pPr>
      <w:r w:rsidRPr="007828DC">
        <w:rPr>
          <w:rFonts w:ascii="Arial" w:hAnsi="Arial" w:cs="Arial"/>
          <w:b/>
          <w:snapToGrid w:val="0"/>
          <w:kern w:val="0"/>
          <w:sz w:val="28"/>
          <w:szCs w:val="20"/>
          <w:lang w:val="en-US"/>
        </w:rPr>
        <w:t xml:space="preserve">Code designs for evaluations </w:t>
      </w:r>
    </w:p>
    <w:p w:rsidR="00D35817" w:rsidRDefault="009F58AE" w:rsidP="009F58AE">
      <w:pPr>
        <w:tabs>
          <w:tab w:val="left" w:pos="-900"/>
          <w:tab w:val="left" w:pos="-300"/>
          <w:tab w:val="left" w:pos="720"/>
        </w:tabs>
        <w:spacing w:after="60"/>
        <w:jc w:val="both"/>
        <w:rPr>
          <w:spacing w:val="6"/>
        </w:rPr>
      </w:pPr>
      <w:r w:rsidRPr="00171527">
        <w:rPr>
          <w:spacing w:val="6"/>
        </w:rPr>
        <w:t xml:space="preserve">RAN1 agreed for initial evaluations </w:t>
      </w:r>
      <w:r>
        <w:rPr>
          <w:spacing w:val="6"/>
        </w:rPr>
        <w:t xml:space="preserve">of different channel coding schemes in RAN1#84bis. </w:t>
      </w:r>
    </w:p>
    <w:p w:rsidR="009F58AE" w:rsidRDefault="009F58AE" w:rsidP="009F58AE">
      <w:pPr>
        <w:tabs>
          <w:tab w:val="left" w:pos="-900"/>
          <w:tab w:val="left" w:pos="-300"/>
          <w:tab w:val="left" w:pos="720"/>
        </w:tabs>
        <w:spacing w:after="60"/>
        <w:jc w:val="both"/>
        <w:rPr>
          <w:spacing w:val="6"/>
        </w:rPr>
      </w:pPr>
      <w:r>
        <w:rPr>
          <w:spacing w:val="6"/>
        </w:rPr>
        <w:t>In the attached text file (</w:t>
      </w:r>
      <w:bookmarkStart w:id="4" w:name="_GoBack"/>
      <w:r w:rsidRPr="00CA7E69">
        <w:rPr>
          <w:b/>
          <w:color w:val="0070C0"/>
          <w:spacing w:val="6"/>
        </w:rPr>
        <w:t>intelLDPC1.txt</w:t>
      </w:r>
      <w:bookmarkEnd w:id="4"/>
      <w:r>
        <w:rPr>
          <w:spacing w:val="6"/>
        </w:rPr>
        <w:t xml:space="preserve">), we provide LDPC parity-check matrices capable of supporting </w:t>
      </w:r>
      <w:r>
        <w:t xml:space="preserve">coding parameters applicable to </w:t>
      </w:r>
      <w:proofErr w:type="spellStart"/>
      <w:r>
        <w:t>eMBB</w:t>
      </w:r>
      <w:proofErr w:type="spellEnd"/>
      <w:r>
        <w:t xml:space="preserve"> scenarios and evaluation are presented in the companion contribution [6]</w:t>
      </w:r>
      <w:r>
        <w:rPr>
          <w:spacing w:val="6"/>
        </w:rPr>
        <w:t xml:space="preserve">. </w:t>
      </w:r>
    </w:p>
    <w:p w:rsidR="009F58AE" w:rsidRDefault="009F58AE" w:rsidP="009F58AE">
      <w:pPr>
        <w:tabs>
          <w:tab w:val="left" w:pos="-900"/>
          <w:tab w:val="left" w:pos="-300"/>
          <w:tab w:val="left" w:pos="720"/>
        </w:tabs>
        <w:spacing w:after="60"/>
        <w:jc w:val="both"/>
        <w:rPr>
          <w:spacing w:val="6"/>
        </w:rPr>
      </w:pPr>
      <w:r>
        <w:rPr>
          <w:spacing w:val="6"/>
        </w:rPr>
        <w:t xml:space="preserve">For a given code rate, one base matrix is used with different shift size values (z) to support the block sizes closest to those selected for evaluations – the base matrices selected for some code rates (1/2,2/3,3/4 and 5/6) have similar properties (degree distributions, </w:t>
      </w:r>
      <w:proofErr w:type="spellStart"/>
      <w:r>
        <w:rPr>
          <w:spacing w:val="6"/>
        </w:rPr>
        <w:t>etc</w:t>
      </w:r>
      <w:proofErr w:type="spellEnd"/>
      <w:r>
        <w:rPr>
          <w:spacing w:val="6"/>
        </w:rPr>
        <w:t xml:space="preserve">) as </w:t>
      </w:r>
      <w:proofErr w:type="spellStart"/>
      <w:r>
        <w:rPr>
          <w:spacing w:val="6"/>
        </w:rPr>
        <w:t>WiFi</w:t>
      </w:r>
      <w:proofErr w:type="spellEnd"/>
      <w:r>
        <w:rPr>
          <w:spacing w:val="6"/>
        </w:rPr>
        <w:t xml:space="preserve"> matrices. Different base matrices are used for different code rates. The design does not assume any modulo or scaling techniques for now but these can be addressed later (e.g. when further progress is made on coding scheme selection).</w:t>
      </w:r>
    </w:p>
    <w:p w:rsidR="009F58AE" w:rsidRDefault="009F58AE" w:rsidP="009F58AE">
      <w:pPr>
        <w:tabs>
          <w:tab w:val="left" w:pos="-900"/>
          <w:tab w:val="left" w:pos="-300"/>
          <w:tab w:val="left" w:pos="720"/>
        </w:tabs>
        <w:spacing w:after="60"/>
        <w:jc w:val="both"/>
        <w:rPr>
          <w:spacing w:val="6"/>
        </w:rPr>
      </w:pPr>
      <w:r>
        <w:rPr>
          <w:spacing w:val="6"/>
        </w:rPr>
        <w:t xml:space="preserve">The performance results are shown in the companion contribution [6]. </w:t>
      </w:r>
    </w:p>
    <w:p w:rsidR="009F58AE" w:rsidRDefault="009F58AE" w:rsidP="009F58A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of the proposed parity-check matrices for evaluations.</w:t>
      </w:r>
    </w:p>
    <w:tbl>
      <w:tblPr>
        <w:tblW w:w="892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2"/>
        <w:gridCol w:w="1422"/>
        <w:gridCol w:w="2534"/>
        <w:gridCol w:w="4100"/>
      </w:tblGrid>
      <w:tr w:rsidR="009F58AE" w:rsidTr="0032170B">
        <w:trPr>
          <w:trHeight w:val="300"/>
          <w:jc w:val="center"/>
        </w:trPr>
        <w:tc>
          <w:tcPr>
            <w:tcW w:w="872" w:type="dxa"/>
            <w:noWrap/>
            <w:tcMar>
              <w:top w:w="0" w:type="dxa"/>
              <w:left w:w="108" w:type="dxa"/>
              <w:bottom w:w="0" w:type="dxa"/>
              <w:right w:w="108" w:type="dxa"/>
            </w:tcMar>
            <w:vAlign w:val="bottom"/>
            <w:hideMark/>
          </w:tcPr>
          <w:p w:rsidR="009F58AE" w:rsidRPr="00FF7775" w:rsidRDefault="009F58AE" w:rsidP="0032170B">
            <w:pPr>
              <w:rPr>
                <w:rFonts w:eastAsia="Calibri"/>
                <w:color w:val="000000"/>
                <w:lang w:val="en-US"/>
              </w:rPr>
            </w:pPr>
            <w:r>
              <w:rPr>
                <w:color w:val="000000"/>
              </w:rPr>
              <w:t>Code rate</w:t>
            </w:r>
          </w:p>
        </w:tc>
        <w:tc>
          <w:tcPr>
            <w:tcW w:w="1422" w:type="dxa"/>
            <w:vAlign w:val="bottom"/>
          </w:tcPr>
          <w:p w:rsidR="009F58AE" w:rsidRDefault="009F58AE" w:rsidP="0032170B">
            <w:pPr>
              <w:rPr>
                <w:color w:val="000000"/>
              </w:rPr>
            </w:pPr>
            <w:r>
              <w:rPr>
                <w:color w:val="000000"/>
              </w:rPr>
              <w:t>Base matrix size</w:t>
            </w:r>
          </w:p>
        </w:tc>
        <w:tc>
          <w:tcPr>
            <w:tcW w:w="2534" w:type="dxa"/>
            <w:vAlign w:val="bottom"/>
          </w:tcPr>
          <w:p w:rsidR="009F58AE" w:rsidRDefault="009F58AE" w:rsidP="0032170B">
            <w:pPr>
              <w:rPr>
                <w:color w:val="000000"/>
              </w:rPr>
            </w:pPr>
            <w:r>
              <w:rPr>
                <w:color w:val="000000"/>
              </w:rPr>
              <w:t>Shift size values</w:t>
            </w:r>
          </w:p>
        </w:tc>
        <w:tc>
          <w:tcPr>
            <w:tcW w:w="4100" w:type="dxa"/>
            <w:noWrap/>
            <w:tcMar>
              <w:top w:w="0" w:type="dxa"/>
              <w:left w:w="108" w:type="dxa"/>
              <w:bottom w:w="0" w:type="dxa"/>
              <w:right w:w="108" w:type="dxa"/>
            </w:tcMar>
            <w:vAlign w:val="bottom"/>
            <w:hideMark/>
          </w:tcPr>
          <w:p w:rsidR="009F58AE" w:rsidRDefault="009F58AE" w:rsidP="0032170B">
            <w:pPr>
              <w:rPr>
                <w:color w:val="000000"/>
              </w:rPr>
            </w:pPr>
            <w:r>
              <w:rPr>
                <w:color w:val="000000"/>
              </w:rPr>
              <w:t>Info  sizes</w:t>
            </w:r>
          </w:p>
        </w:tc>
      </w:tr>
      <w:tr w:rsidR="009F58AE" w:rsidTr="0032170B">
        <w:trPr>
          <w:trHeight w:val="300"/>
          <w:jc w:val="center"/>
        </w:trPr>
        <w:tc>
          <w:tcPr>
            <w:tcW w:w="872" w:type="dxa"/>
            <w:noWrap/>
            <w:tcMar>
              <w:top w:w="0" w:type="dxa"/>
              <w:left w:w="108" w:type="dxa"/>
              <w:bottom w:w="0" w:type="dxa"/>
              <w:right w:w="108" w:type="dxa"/>
            </w:tcMar>
            <w:vAlign w:val="bottom"/>
            <w:hideMark/>
          </w:tcPr>
          <w:p w:rsidR="009F58AE" w:rsidRDefault="009F58AE" w:rsidP="0032170B">
            <w:pPr>
              <w:rPr>
                <w:color w:val="000000"/>
              </w:rPr>
            </w:pPr>
            <w:r>
              <w:rPr>
                <w:color w:val="000000"/>
              </w:rPr>
              <w:t>1/2</w:t>
            </w:r>
          </w:p>
        </w:tc>
        <w:tc>
          <w:tcPr>
            <w:tcW w:w="1422" w:type="dxa"/>
            <w:vAlign w:val="bottom"/>
          </w:tcPr>
          <w:p w:rsidR="009F58AE" w:rsidRDefault="009F58AE" w:rsidP="0032170B">
            <w:pPr>
              <w:rPr>
                <w:color w:val="000000"/>
              </w:rPr>
            </w:pPr>
            <w:r>
              <w:rPr>
                <w:color w:val="000000"/>
              </w:rPr>
              <w:t>12x24</w:t>
            </w:r>
          </w:p>
        </w:tc>
        <w:tc>
          <w:tcPr>
            <w:tcW w:w="2534" w:type="dxa"/>
            <w:vAlign w:val="bottom"/>
          </w:tcPr>
          <w:p w:rsidR="009F58AE" w:rsidRDefault="009F58AE" w:rsidP="0032170B">
            <w:pPr>
              <w:rPr>
                <w:color w:val="000000"/>
              </w:rPr>
            </w:pPr>
            <w:r>
              <w:rPr>
                <w:color w:val="000000"/>
              </w:rPr>
              <w:t>[9, 36, 84, 168, 336]</w:t>
            </w:r>
          </w:p>
        </w:tc>
        <w:tc>
          <w:tcPr>
            <w:tcW w:w="4100" w:type="dxa"/>
            <w:noWrap/>
            <w:tcMar>
              <w:top w:w="0" w:type="dxa"/>
              <w:left w:w="108" w:type="dxa"/>
              <w:bottom w:w="0" w:type="dxa"/>
              <w:right w:w="108" w:type="dxa"/>
            </w:tcMar>
            <w:vAlign w:val="bottom"/>
            <w:hideMark/>
          </w:tcPr>
          <w:p w:rsidR="009F58AE" w:rsidRPr="007828DC" w:rsidRDefault="009F58AE" w:rsidP="0032170B">
            <w:pPr>
              <w:rPr>
                <w:color w:val="000000"/>
              </w:rPr>
            </w:pPr>
            <w:r w:rsidRPr="007828DC">
              <w:rPr>
                <w:color w:val="000000"/>
              </w:rPr>
              <w:t>[</w:t>
            </w:r>
            <w:r w:rsidRPr="007828DC">
              <w:rPr>
                <w:rFonts w:eastAsia="Times New Roman"/>
                <w:color w:val="000000"/>
              </w:rPr>
              <w:t>108, 432, 1008, 2016, 4032</w:t>
            </w:r>
            <w:r w:rsidRPr="007828DC">
              <w:rPr>
                <w:color w:val="000000"/>
              </w:rPr>
              <w:t>]</w:t>
            </w:r>
          </w:p>
        </w:tc>
      </w:tr>
      <w:tr w:rsidR="009F58AE" w:rsidTr="0032170B">
        <w:trPr>
          <w:trHeight w:val="300"/>
          <w:jc w:val="center"/>
        </w:trPr>
        <w:tc>
          <w:tcPr>
            <w:tcW w:w="872" w:type="dxa"/>
            <w:noWrap/>
            <w:tcMar>
              <w:top w:w="0" w:type="dxa"/>
              <w:left w:w="108" w:type="dxa"/>
              <w:bottom w:w="0" w:type="dxa"/>
              <w:right w:w="108" w:type="dxa"/>
            </w:tcMar>
            <w:vAlign w:val="bottom"/>
            <w:hideMark/>
          </w:tcPr>
          <w:p w:rsidR="009F58AE" w:rsidRDefault="009F58AE" w:rsidP="0032170B">
            <w:pPr>
              <w:rPr>
                <w:color w:val="000000"/>
              </w:rPr>
            </w:pPr>
            <w:r>
              <w:rPr>
                <w:color w:val="000000"/>
              </w:rPr>
              <w:t>2/3</w:t>
            </w:r>
          </w:p>
        </w:tc>
        <w:tc>
          <w:tcPr>
            <w:tcW w:w="1422" w:type="dxa"/>
            <w:vAlign w:val="bottom"/>
          </w:tcPr>
          <w:p w:rsidR="009F58AE" w:rsidRDefault="009F58AE" w:rsidP="0032170B">
            <w:pPr>
              <w:rPr>
                <w:color w:val="000000"/>
              </w:rPr>
            </w:pPr>
            <w:r>
              <w:rPr>
                <w:color w:val="000000"/>
              </w:rPr>
              <w:t>8x24</w:t>
            </w:r>
          </w:p>
        </w:tc>
        <w:tc>
          <w:tcPr>
            <w:tcW w:w="2534" w:type="dxa"/>
            <w:vAlign w:val="bottom"/>
          </w:tcPr>
          <w:p w:rsidR="009F58AE" w:rsidRDefault="009F58AE" w:rsidP="0032170B">
            <w:pPr>
              <w:rPr>
                <w:color w:val="000000"/>
              </w:rPr>
            </w:pPr>
            <w:r>
              <w:rPr>
                <w:color w:val="000000"/>
              </w:rPr>
              <w:t>[7, 25, 63, 125, 250, 375, 500]</w:t>
            </w:r>
          </w:p>
        </w:tc>
        <w:tc>
          <w:tcPr>
            <w:tcW w:w="4100" w:type="dxa"/>
            <w:noWrap/>
            <w:tcMar>
              <w:top w:w="0" w:type="dxa"/>
              <w:left w:w="108" w:type="dxa"/>
              <w:bottom w:w="0" w:type="dxa"/>
              <w:right w:w="108" w:type="dxa"/>
            </w:tcMar>
            <w:vAlign w:val="bottom"/>
            <w:hideMark/>
          </w:tcPr>
          <w:p w:rsidR="009F58AE" w:rsidRPr="007828DC" w:rsidRDefault="009F58AE" w:rsidP="0032170B">
            <w:pPr>
              <w:rPr>
                <w:color w:val="000000"/>
              </w:rPr>
            </w:pPr>
            <w:r w:rsidRPr="007828DC">
              <w:rPr>
                <w:color w:val="000000"/>
              </w:rPr>
              <w:t>[112, 400, 1008,</w:t>
            </w:r>
            <w:r w:rsidRPr="007828DC">
              <w:rPr>
                <w:color w:val="000000"/>
              </w:rPr>
              <w:tab/>
              <w:t>2000, 4000, 6000, 8000]</w:t>
            </w:r>
          </w:p>
        </w:tc>
      </w:tr>
      <w:tr w:rsidR="009F58AE" w:rsidTr="0032170B">
        <w:trPr>
          <w:trHeight w:val="300"/>
          <w:jc w:val="center"/>
        </w:trPr>
        <w:tc>
          <w:tcPr>
            <w:tcW w:w="872" w:type="dxa"/>
            <w:noWrap/>
            <w:tcMar>
              <w:top w:w="0" w:type="dxa"/>
              <w:left w:w="108" w:type="dxa"/>
              <w:bottom w:w="0" w:type="dxa"/>
              <w:right w:w="108" w:type="dxa"/>
            </w:tcMar>
            <w:vAlign w:val="bottom"/>
            <w:hideMark/>
          </w:tcPr>
          <w:p w:rsidR="009F58AE" w:rsidRDefault="009F58AE" w:rsidP="0032170B">
            <w:pPr>
              <w:rPr>
                <w:color w:val="000000"/>
              </w:rPr>
            </w:pPr>
            <w:r>
              <w:rPr>
                <w:color w:val="000000"/>
              </w:rPr>
              <w:t>3/4</w:t>
            </w:r>
          </w:p>
        </w:tc>
        <w:tc>
          <w:tcPr>
            <w:tcW w:w="1422" w:type="dxa"/>
            <w:vAlign w:val="bottom"/>
          </w:tcPr>
          <w:p w:rsidR="009F58AE" w:rsidRDefault="009F58AE" w:rsidP="0032170B">
            <w:pPr>
              <w:rPr>
                <w:color w:val="000000"/>
              </w:rPr>
            </w:pPr>
            <w:r>
              <w:rPr>
                <w:color w:val="000000"/>
              </w:rPr>
              <w:t>6x24</w:t>
            </w:r>
          </w:p>
        </w:tc>
        <w:tc>
          <w:tcPr>
            <w:tcW w:w="2534" w:type="dxa"/>
            <w:vAlign w:val="bottom"/>
          </w:tcPr>
          <w:p w:rsidR="009F58AE" w:rsidRDefault="009F58AE" w:rsidP="0032170B">
            <w:pPr>
              <w:rPr>
                <w:color w:val="000000"/>
              </w:rPr>
            </w:pPr>
            <w:r>
              <w:rPr>
                <w:color w:val="000000"/>
              </w:rPr>
              <w:t>[6, 23, 56, 112, 223, 334, 445]</w:t>
            </w:r>
          </w:p>
        </w:tc>
        <w:tc>
          <w:tcPr>
            <w:tcW w:w="4100" w:type="dxa"/>
            <w:noWrap/>
            <w:tcMar>
              <w:top w:w="0" w:type="dxa"/>
              <w:left w:w="108" w:type="dxa"/>
              <w:bottom w:w="0" w:type="dxa"/>
              <w:right w:w="108" w:type="dxa"/>
            </w:tcMar>
            <w:vAlign w:val="bottom"/>
            <w:hideMark/>
          </w:tcPr>
          <w:p w:rsidR="009F58AE" w:rsidRPr="007828DC" w:rsidRDefault="009F58AE" w:rsidP="0032170B">
            <w:pPr>
              <w:rPr>
                <w:color w:val="000000"/>
              </w:rPr>
            </w:pPr>
            <w:r w:rsidRPr="007828DC">
              <w:rPr>
                <w:color w:val="000000"/>
              </w:rPr>
              <w:t>[108, 414, 1008, 2016, 4014, 6012,8010]</w:t>
            </w:r>
          </w:p>
        </w:tc>
      </w:tr>
      <w:tr w:rsidR="009F58AE" w:rsidTr="0032170B">
        <w:trPr>
          <w:trHeight w:val="300"/>
          <w:jc w:val="center"/>
        </w:trPr>
        <w:tc>
          <w:tcPr>
            <w:tcW w:w="872" w:type="dxa"/>
            <w:noWrap/>
            <w:tcMar>
              <w:top w:w="0" w:type="dxa"/>
              <w:left w:w="108" w:type="dxa"/>
              <w:bottom w:w="0" w:type="dxa"/>
              <w:right w:w="108" w:type="dxa"/>
            </w:tcMar>
            <w:vAlign w:val="bottom"/>
            <w:hideMark/>
          </w:tcPr>
          <w:p w:rsidR="009F58AE" w:rsidRDefault="009F58AE" w:rsidP="0032170B">
            <w:pPr>
              <w:rPr>
                <w:color w:val="000000"/>
              </w:rPr>
            </w:pPr>
            <w:r>
              <w:rPr>
                <w:color w:val="000000"/>
              </w:rPr>
              <w:t>5/6</w:t>
            </w:r>
          </w:p>
        </w:tc>
        <w:tc>
          <w:tcPr>
            <w:tcW w:w="1422" w:type="dxa"/>
            <w:vAlign w:val="bottom"/>
          </w:tcPr>
          <w:p w:rsidR="009F58AE" w:rsidRDefault="009F58AE" w:rsidP="0032170B">
            <w:pPr>
              <w:rPr>
                <w:color w:val="000000"/>
              </w:rPr>
            </w:pPr>
            <w:r>
              <w:rPr>
                <w:color w:val="000000"/>
              </w:rPr>
              <w:t>4x24</w:t>
            </w:r>
          </w:p>
        </w:tc>
        <w:tc>
          <w:tcPr>
            <w:tcW w:w="2534" w:type="dxa"/>
            <w:vAlign w:val="bottom"/>
          </w:tcPr>
          <w:p w:rsidR="009F58AE" w:rsidRDefault="009F58AE" w:rsidP="0032170B">
            <w:pPr>
              <w:rPr>
                <w:color w:val="000000"/>
              </w:rPr>
            </w:pPr>
            <w:r>
              <w:rPr>
                <w:color w:val="000000"/>
              </w:rPr>
              <w:t>[5, 20, 50, 100, 200, 300, 400]</w:t>
            </w:r>
          </w:p>
        </w:tc>
        <w:tc>
          <w:tcPr>
            <w:tcW w:w="4100" w:type="dxa"/>
            <w:noWrap/>
            <w:tcMar>
              <w:top w:w="0" w:type="dxa"/>
              <w:left w:w="108" w:type="dxa"/>
              <w:bottom w:w="0" w:type="dxa"/>
              <w:right w:w="108" w:type="dxa"/>
            </w:tcMar>
            <w:vAlign w:val="bottom"/>
            <w:hideMark/>
          </w:tcPr>
          <w:p w:rsidR="009F58AE" w:rsidRPr="007828DC" w:rsidRDefault="009F58AE" w:rsidP="0032170B">
            <w:pPr>
              <w:rPr>
                <w:color w:val="000000"/>
              </w:rPr>
            </w:pPr>
            <w:r w:rsidRPr="007828DC">
              <w:rPr>
                <w:color w:val="000000"/>
              </w:rPr>
              <w:t>[</w:t>
            </w:r>
            <w:r w:rsidRPr="007828DC">
              <w:rPr>
                <w:rFonts w:eastAsia="Times New Roman"/>
                <w:color w:val="000000"/>
                <w:lang w:val="en-US"/>
              </w:rPr>
              <w:t>100, 400, 1000, 2000, 4000, 6000,8000</w:t>
            </w:r>
            <w:r w:rsidRPr="007828DC">
              <w:rPr>
                <w:color w:val="000000"/>
              </w:rPr>
              <w:t>]</w:t>
            </w:r>
          </w:p>
        </w:tc>
      </w:tr>
      <w:tr w:rsidR="009F58AE" w:rsidTr="0032170B">
        <w:trPr>
          <w:trHeight w:val="300"/>
          <w:jc w:val="center"/>
        </w:trPr>
        <w:tc>
          <w:tcPr>
            <w:tcW w:w="872" w:type="dxa"/>
            <w:noWrap/>
            <w:tcMar>
              <w:top w:w="0" w:type="dxa"/>
              <w:left w:w="108" w:type="dxa"/>
              <w:bottom w:w="0" w:type="dxa"/>
              <w:right w:w="108" w:type="dxa"/>
            </w:tcMar>
            <w:vAlign w:val="bottom"/>
            <w:hideMark/>
          </w:tcPr>
          <w:p w:rsidR="009F58AE" w:rsidRDefault="009F58AE" w:rsidP="0032170B">
            <w:pPr>
              <w:rPr>
                <w:color w:val="000000"/>
              </w:rPr>
            </w:pPr>
            <w:r>
              <w:rPr>
                <w:color w:val="000000"/>
              </w:rPr>
              <w:t>8/9</w:t>
            </w:r>
          </w:p>
        </w:tc>
        <w:tc>
          <w:tcPr>
            <w:tcW w:w="1422" w:type="dxa"/>
            <w:vAlign w:val="bottom"/>
          </w:tcPr>
          <w:p w:rsidR="009F58AE" w:rsidRDefault="009F58AE" w:rsidP="0032170B">
            <w:pPr>
              <w:rPr>
                <w:color w:val="000000"/>
              </w:rPr>
            </w:pPr>
            <w:r>
              <w:rPr>
                <w:color w:val="000000"/>
              </w:rPr>
              <w:t>4x36</w:t>
            </w:r>
          </w:p>
        </w:tc>
        <w:tc>
          <w:tcPr>
            <w:tcW w:w="2534" w:type="dxa"/>
            <w:vAlign w:val="bottom"/>
          </w:tcPr>
          <w:p w:rsidR="009F58AE" w:rsidRDefault="009F58AE" w:rsidP="0032170B">
            <w:pPr>
              <w:rPr>
                <w:color w:val="000000"/>
              </w:rPr>
            </w:pPr>
            <w:r>
              <w:rPr>
                <w:color w:val="000000"/>
              </w:rPr>
              <w:t>[13, 32, 63, 125, 188, 250]</w:t>
            </w:r>
          </w:p>
        </w:tc>
        <w:tc>
          <w:tcPr>
            <w:tcW w:w="4100" w:type="dxa"/>
            <w:noWrap/>
            <w:tcMar>
              <w:top w:w="0" w:type="dxa"/>
              <w:left w:w="108" w:type="dxa"/>
              <w:bottom w:w="0" w:type="dxa"/>
              <w:right w:w="108" w:type="dxa"/>
            </w:tcMar>
            <w:vAlign w:val="bottom"/>
            <w:hideMark/>
          </w:tcPr>
          <w:p w:rsidR="009F58AE" w:rsidRPr="007828DC" w:rsidRDefault="009F58AE" w:rsidP="0032170B">
            <w:pPr>
              <w:rPr>
                <w:color w:val="000000"/>
              </w:rPr>
            </w:pPr>
            <w:r w:rsidRPr="007828DC">
              <w:rPr>
                <w:color w:val="000000"/>
              </w:rPr>
              <w:t>[416, 1024, 2016, 4000, 6016,8000]</w:t>
            </w:r>
          </w:p>
        </w:tc>
      </w:tr>
    </w:tbl>
    <w:p w:rsidR="009F58AE" w:rsidRPr="007828DC" w:rsidRDefault="009F58AE" w:rsidP="009F58AE">
      <w:pPr>
        <w:pStyle w:val="LGTdoc"/>
        <w:numPr>
          <w:ilvl w:val="0"/>
          <w:numId w:val="1"/>
        </w:numPr>
        <w:spacing w:before="480" w:afterLines="0" w:after="120" w:line="240" w:lineRule="auto"/>
        <w:ind w:left="432" w:hanging="432"/>
        <w:rPr>
          <w:rFonts w:ascii="Arial" w:hAnsi="Arial" w:cs="Arial"/>
          <w:b/>
          <w:snapToGrid w:val="0"/>
          <w:kern w:val="0"/>
          <w:sz w:val="28"/>
          <w:szCs w:val="20"/>
          <w:lang w:val="en-US"/>
        </w:rPr>
      </w:pPr>
      <w:r w:rsidRPr="007828DC">
        <w:rPr>
          <w:rFonts w:ascii="Arial" w:hAnsi="Arial" w:cs="Arial"/>
          <w:b/>
          <w:snapToGrid w:val="0"/>
          <w:kern w:val="0"/>
          <w:sz w:val="28"/>
          <w:szCs w:val="20"/>
          <w:lang w:val="en-US"/>
        </w:rPr>
        <w:t>Conclusion</w:t>
      </w:r>
    </w:p>
    <w:p w:rsidR="009F58AE" w:rsidRDefault="009F58AE" w:rsidP="009F58AE">
      <w:pPr>
        <w:pStyle w:val="ListParagraph"/>
        <w:spacing w:after="160" w:line="254" w:lineRule="auto"/>
        <w:ind w:left="0"/>
        <w:contextualSpacing/>
        <w:jc w:val="both"/>
        <w:rPr>
          <w:rFonts w:ascii="Times New Roman" w:hAnsi="Times New Roman"/>
          <w:sz w:val="20"/>
          <w:szCs w:val="20"/>
          <w:lang w:val="en-GB"/>
        </w:rPr>
      </w:pPr>
      <w:r>
        <w:rPr>
          <w:rFonts w:ascii="Times New Roman" w:hAnsi="Times New Roman"/>
          <w:sz w:val="20"/>
          <w:szCs w:val="20"/>
          <w:lang w:val="en-GB"/>
        </w:rPr>
        <w:t xml:space="preserve">In this contribution, we provide an overview of structured LDPC codes, including the aspects related to encoding/decoding/flexibility in terms of block-sizes/code-rate/IR-HARQ support. We also provide some parity-check matrices for performance evaluations. We propose further study LDPC code for NR, including the following aspects: </w:t>
      </w:r>
    </w:p>
    <w:p w:rsidR="009F58AE" w:rsidRDefault="009F58AE" w:rsidP="009F58AE">
      <w:pPr>
        <w:pStyle w:val="ListParagraph"/>
        <w:spacing w:after="160" w:line="254" w:lineRule="auto"/>
        <w:ind w:left="0"/>
        <w:contextualSpacing/>
        <w:jc w:val="both"/>
        <w:rPr>
          <w:rFonts w:ascii="Times New Roman" w:hAnsi="Times New Roman"/>
          <w:sz w:val="20"/>
          <w:szCs w:val="20"/>
        </w:rPr>
      </w:pPr>
    </w:p>
    <w:p w:rsidR="009F58AE" w:rsidRPr="00C839D4" w:rsidRDefault="009F58AE" w:rsidP="009F58AE">
      <w:pPr>
        <w:tabs>
          <w:tab w:val="left" w:pos="-900"/>
          <w:tab w:val="left" w:pos="-300"/>
        </w:tabs>
        <w:spacing w:after="60"/>
        <w:jc w:val="both"/>
        <w:rPr>
          <w:b/>
          <w:spacing w:val="6"/>
        </w:rPr>
      </w:pPr>
      <w:r>
        <w:rPr>
          <w:b/>
          <w:spacing w:val="6"/>
        </w:rPr>
        <w:t>Proposal 1: S</w:t>
      </w:r>
      <w:r w:rsidRPr="00C839D4">
        <w:rPr>
          <w:b/>
          <w:spacing w:val="6"/>
        </w:rPr>
        <w:t xml:space="preserve">tudy </w:t>
      </w:r>
      <w:r>
        <w:rPr>
          <w:b/>
          <w:spacing w:val="6"/>
        </w:rPr>
        <w:t>techniques</w:t>
      </w:r>
      <w:r w:rsidRPr="00C839D4">
        <w:rPr>
          <w:b/>
          <w:spacing w:val="6"/>
        </w:rPr>
        <w:t xml:space="preserve"> for </w:t>
      </w:r>
      <w:r>
        <w:rPr>
          <w:b/>
          <w:spacing w:val="6"/>
        </w:rPr>
        <w:t>efficient support of flexible block sizes with LDPC codes.</w:t>
      </w:r>
    </w:p>
    <w:p w:rsidR="009F58AE" w:rsidRPr="00C839D4" w:rsidRDefault="009F58AE" w:rsidP="009F58AE">
      <w:pPr>
        <w:tabs>
          <w:tab w:val="left" w:pos="-900"/>
          <w:tab w:val="left" w:pos="-300"/>
        </w:tabs>
        <w:spacing w:after="60"/>
        <w:jc w:val="both"/>
        <w:rPr>
          <w:b/>
          <w:spacing w:val="6"/>
        </w:rPr>
      </w:pPr>
      <w:r>
        <w:rPr>
          <w:b/>
          <w:spacing w:val="6"/>
        </w:rPr>
        <w:t>Proposal 2: S</w:t>
      </w:r>
      <w:r w:rsidRPr="00C839D4">
        <w:rPr>
          <w:b/>
          <w:spacing w:val="6"/>
        </w:rPr>
        <w:t xml:space="preserve">tudy parity-check matrix extension </w:t>
      </w:r>
      <w:r>
        <w:rPr>
          <w:b/>
          <w:spacing w:val="6"/>
        </w:rPr>
        <w:t>techniques</w:t>
      </w:r>
      <w:r w:rsidRPr="00C839D4">
        <w:rPr>
          <w:b/>
          <w:spacing w:val="6"/>
        </w:rPr>
        <w:t xml:space="preserve"> for </w:t>
      </w:r>
      <w:r>
        <w:rPr>
          <w:b/>
          <w:spacing w:val="6"/>
        </w:rPr>
        <w:t>supporting Incremental Redundancy (IR) with LDPC codes</w:t>
      </w:r>
      <w:r w:rsidRPr="00C839D4">
        <w:rPr>
          <w:b/>
          <w:spacing w:val="6"/>
        </w:rPr>
        <w:t>.</w:t>
      </w:r>
    </w:p>
    <w:p w:rsidR="009F58AE" w:rsidRPr="007828DC" w:rsidRDefault="009F58AE" w:rsidP="009F58AE">
      <w:pPr>
        <w:pStyle w:val="LGTdoc"/>
        <w:spacing w:before="480" w:afterLines="0" w:after="120" w:line="240" w:lineRule="auto"/>
        <w:rPr>
          <w:rFonts w:ascii="Arial" w:hAnsi="Arial" w:cs="Arial"/>
          <w:b/>
          <w:snapToGrid w:val="0"/>
          <w:kern w:val="0"/>
          <w:sz w:val="28"/>
          <w:szCs w:val="20"/>
          <w:lang w:val="en-US"/>
        </w:rPr>
      </w:pPr>
      <w:r w:rsidRPr="007828DC">
        <w:rPr>
          <w:rFonts w:ascii="Arial" w:hAnsi="Arial" w:cs="Arial"/>
          <w:b/>
          <w:snapToGrid w:val="0"/>
          <w:kern w:val="0"/>
          <w:sz w:val="28"/>
          <w:szCs w:val="20"/>
          <w:lang w:val="en-US"/>
        </w:rPr>
        <w:lastRenderedPageBreak/>
        <w:t>References</w:t>
      </w:r>
      <w:bookmarkEnd w:id="0"/>
      <w:bookmarkEnd w:id="1"/>
    </w:p>
    <w:p w:rsidR="009F58AE" w:rsidRDefault="009F58AE" w:rsidP="009F58AE">
      <w:pPr>
        <w:pStyle w:val="LGTdoc1"/>
        <w:numPr>
          <w:ilvl w:val="0"/>
          <w:numId w:val="2"/>
        </w:numPr>
        <w:spacing w:before="120" w:after="120"/>
        <w:contextualSpacing/>
        <w:rPr>
          <w:rFonts w:eastAsia="SimSun"/>
          <w:b w:val="0"/>
          <w:snapToGrid/>
          <w:sz w:val="20"/>
          <w:szCs w:val="18"/>
          <w:lang w:eastAsia="en-US"/>
        </w:rPr>
      </w:pPr>
      <w:r>
        <w:rPr>
          <w:rFonts w:eastAsia="SimSun"/>
          <w:b w:val="0"/>
          <w:snapToGrid/>
          <w:sz w:val="20"/>
          <w:szCs w:val="18"/>
          <w:lang w:eastAsia="en-US"/>
        </w:rPr>
        <w:t>R1-162387</w:t>
      </w:r>
      <w:r>
        <w:rPr>
          <w:rFonts w:eastAsia="SimSun"/>
          <w:b w:val="0"/>
          <w:snapToGrid/>
          <w:sz w:val="20"/>
          <w:szCs w:val="18"/>
          <w:lang w:eastAsia="en-US"/>
        </w:rPr>
        <w:tab/>
        <w:t>Intel, Channel coding for new radio interface, RAN1#84bis</w:t>
      </w:r>
    </w:p>
    <w:p w:rsidR="009F58AE" w:rsidRPr="00A441B7" w:rsidRDefault="009F58AE" w:rsidP="009F58AE">
      <w:pPr>
        <w:pStyle w:val="LGTdoc1"/>
        <w:numPr>
          <w:ilvl w:val="0"/>
          <w:numId w:val="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R1-164182</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Comparison of coding schemes for NR</w:t>
      </w:r>
      <w:r>
        <w:rPr>
          <w:rFonts w:eastAsia="SimSun"/>
          <w:b w:val="0"/>
          <w:snapToGrid/>
          <w:sz w:val="20"/>
          <w:szCs w:val="18"/>
          <w:lang w:eastAsia="en-US"/>
        </w:rPr>
        <w:t xml:space="preserve">,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#85</w:t>
      </w:r>
    </w:p>
    <w:p w:rsidR="009F58AE" w:rsidRPr="00A441B7" w:rsidRDefault="009F58AE" w:rsidP="009F58AE">
      <w:pPr>
        <w:pStyle w:val="LGTdoc1"/>
        <w:numPr>
          <w:ilvl w:val="0"/>
          <w:numId w:val="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R1-164183</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LDPC code design for NR</w:t>
      </w:r>
      <w:r>
        <w:rPr>
          <w:rFonts w:eastAsia="SimSun"/>
          <w:b w:val="0"/>
          <w:snapToGrid/>
          <w:sz w:val="20"/>
          <w:szCs w:val="18"/>
          <w:lang w:eastAsia="en-US"/>
        </w:rPr>
        <w:t xml:space="preserve">,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#85</w:t>
      </w:r>
    </w:p>
    <w:p w:rsidR="009F58AE" w:rsidRPr="00A441B7" w:rsidRDefault="009F58AE" w:rsidP="009F58AE">
      <w:pPr>
        <w:pStyle w:val="LGTdoc1"/>
        <w:numPr>
          <w:ilvl w:val="0"/>
          <w:numId w:val="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R1-164184</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Polar code design for NR, RAN1#85</w:t>
      </w:r>
    </w:p>
    <w:p w:rsidR="009F58AE" w:rsidRDefault="009F58AE" w:rsidP="009F58AE">
      <w:pPr>
        <w:pStyle w:val="LGTdoc1"/>
        <w:numPr>
          <w:ilvl w:val="0"/>
          <w:numId w:val="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R1-164185</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Polar cod</w:t>
      </w:r>
      <w:r>
        <w:rPr>
          <w:rFonts w:eastAsia="SimSun"/>
          <w:b w:val="0"/>
          <w:snapToGrid/>
          <w:sz w:val="20"/>
          <w:szCs w:val="18"/>
          <w:lang w:eastAsia="en-US"/>
        </w:rPr>
        <w:t xml:space="preserve">e constructions for evaluations,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#85</w:t>
      </w:r>
    </w:p>
    <w:p w:rsidR="009F58AE" w:rsidRDefault="009F58AE" w:rsidP="009F58AE">
      <w:pPr>
        <w:pStyle w:val="LGTdoc1"/>
        <w:numPr>
          <w:ilvl w:val="0"/>
          <w:numId w:val="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R1-164186</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Performance evaluation of coding schemes for NR</w:t>
      </w:r>
      <w:r>
        <w:rPr>
          <w:rFonts w:eastAsia="SimSun"/>
          <w:b w:val="0"/>
          <w:snapToGrid/>
          <w:sz w:val="20"/>
          <w:szCs w:val="18"/>
          <w:lang w:eastAsia="en-US"/>
        </w:rPr>
        <w:t xml:space="preserve">,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#85</w:t>
      </w:r>
    </w:p>
    <w:p w:rsidR="009F58AE" w:rsidRDefault="009F58AE" w:rsidP="009F58AE">
      <w:pPr>
        <w:pStyle w:val="LGTdoc1"/>
        <w:numPr>
          <w:ilvl w:val="0"/>
          <w:numId w:val="2"/>
        </w:numPr>
        <w:spacing w:before="120" w:after="120"/>
        <w:contextualSpacing/>
        <w:rPr>
          <w:rFonts w:eastAsia="SimSun"/>
          <w:b w:val="0"/>
          <w:snapToGrid/>
          <w:sz w:val="20"/>
          <w:szCs w:val="18"/>
          <w:lang w:eastAsia="en-US"/>
        </w:rPr>
      </w:pPr>
      <w:r>
        <w:rPr>
          <w:rFonts w:eastAsia="SimSun"/>
          <w:b w:val="0"/>
          <w:snapToGrid/>
          <w:sz w:val="20"/>
          <w:szCs w:val="18"/>
          <w:lang w:eastAsia="en-US"/>
        </w:rPr>
        <w:t xml:space="preserve">Motorola, </w:t>
      </w:r>
      <w:r w:rsidRPr="00CE46ED">
        <w:rPr>
          <w:rFonts w:eastAsia="SimSun"/>
          <w:b w:val="0"/>
          <w:snapToGrid/>
          <w:sz w:val="20"/>
          <w:szCs w:val="18"/>
          <w:lang w:eastAsia="en-US"/>
        </w:rPr>
        <w:t>“LDPC Decoding for 802.</w:t>
      </w:r>
      <w:r>
        <w:rPr>
          <w:rFonts w:eastAsia="SimSun"/>
          <w:b w:val="0"/>
          <w:snapToGrid/>
          <w:sz w:val="20"/>
          <w:szCs w:val="18"/>
          <w:lang w:eastAsia="en-US"/>
        </w:rPr>
        <w:t>22 Standard” IEEE P802.22, 2007</w:t>
      </w:r>
    </w:p>
    <w:p w:rsidR="009F58AE" w:rsidRDefault="009F58AE" w:rsidP="009F58AE">
      <w:pPr>
        <w:pStyle w:val="NumberedList"/>
        <w:numPr>
          <w:ilvl w:val="0"/>
          <w:numId w:val="2"/>
        </w:numPr>
      </w:pPr>
      <w:bookmarkStart w:id="5" w:name="_Ref129768371"/>
      <w:bookmarkStart w:id="6" w:name="_Ref109034136"/>
      <w:r>
        <w:t>R1-060874, “Complexity Comparison of LDPC Codes and Turbo Codes”, 3GPP TSG RAN WG1#44bis, Athens, Greece. 27 - 31 Mar 2006.</w:t>
      </w:r>
      <w:bookmarkEnd w:id="5"/>
      <w:bookmarkEnd w:id="6"/>
    </w:p>
    <w:p w:rsidR="009F58AE" w:rsidRDefault="009F58AE" w:rsidP="009F58AE">
      <w:pPr>
        <w:pStyle w:val="NumberedList"/>
        <w:numPr>
          <w:ilvl w:val="0"/>
          <w:numId w:val="2"/>
        </w:numPr>
      </w:pPr>
      <w:r>
        <w:t xml:space="preserve">A. Nimbalker, Y. Blankenship and B. </w:t>
      </w:r>
      <w:proofErr w:type="spellStart"/>
      <w:r>
        <w:t>Classon</w:t>
      </w:r>
      <w:proofErr w:type="spellEnd"/>
      <w:r>
        <w:t>, “</w:t>
      </w:r>
      <w:r w:rsidRPr="00FB6880">
        <w:t>Turbo-like decoding algorithm for structured LDPC codes</w:t>
      </w:r>
      <w:r>
        <w:t>”, ISIT 2006.</w:t>
      </w:r>
    </w:p>
    <w:p w:rsidR="009F58AE" w:rsidRDefault="009F58AE" w:rsidP="009F58AE">
      <w:pPr>
        <w:pStyle w:val="NumberedList"/>
        <w:numPr>
          <w:ilvl w:val="0"/>
          <w:numId w:val="2"/>
        </w:numPr>
      </w:pPr>
      <w:r>
        <w:t>802.16e, LDPC design</w:t>
      </w:r>
    </w:p>
    <w:p w:rsidR="009F58AE" w:rsidRPr="00CE46ED" w:rsidRDefault="009F58AE" w:rsidP="009F58AE">
      <w:pPr>
        <w:pStyle w:val="NumberedList"/>
        <w:numPr>
          <w:ilvl w:val="0"/>
          <w:numId w:val="0"/>
        </w:numPr>
        <w:ind w:left="360"/>
      </w:pPr>
    </w:p>
    <w:p w:rsidR="002F3778" w:rsidRDefault="002F3778"/>
    <w:sectPr w:rsidR="002F3778" w:rsidSect="004D5EF1">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5B5" w:rsidRDefault="00CD05B5">
      <w:pPr>
        <w:spacing w:after="0"/>
      </w:pPr>
      <w:r>
        <w:separator/>
      </w:r>
    </w:p>
  </w:endnote>
  <w:endnote w:type="continuationSeparator" w:id="0">
    <w:p w:rsidR="00CD05B5" w:rsidRDefault="00CD05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D35817" w:rsidP="004D5E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5EF1" w:rsidRDefault="00CD05B5" w:rsidP="004D5E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D35817" w:rsidP="004D5EF1">
    <w:pPr>
      <w:pStyle w:val="Footer"/>
      <w:ind w:right="360"/>
    </w:pPr>
    <w:r>
      <w:rPr>
        <w:rStyle w:val="PageNumber"/>
      </w:rPr>
      <w:fldChar w:fldCharType="begin"/>
    </w:r>
    <w:r>
      <w:rPr>
        <w:rStyle w:val="PageNumber"/>
      </w:rPr>
      <w:instrText xml:space="preserve"> PAGE </w:instrText>
    </w:r>
    <w:r>
      <w:rPr>
        <w:rStyle w:val="PageNumber"/>
      </w:rPr>
      <w:fldChar w:fldCharType="separate"/>
    </w:r>
    <w:r w:rsidR="00CA7E6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7E6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5B5" w:rsidRDefault="00CD05B5">
      <w:pPr>
        <w:spacing w:after="0"/>
      </w:pPr>
      <w:r>
        <w:separator/>
      </w:r>
    </w:p>
  </w:footnote>
  <w:footnote w:type="continuationSeparator" w:id="0">
    <w:p w:rsidR="00CD05B5" w:rsidRDefault="00CD05B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D358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2"/>
  </w:num>
  <w:num w:numId="2">
    <w:abstractNumId w:val="0"/>
  </w:num>
  <w:num w:numId="3">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8AE"/>
    <w:rsid w:val="002F3778"/>
    <w:rsid w:val="003909EA"/>
    <w:rsid w:val="009E3045"/>
    <w:rsid w:val="009F58AE"/>
    <w:rsid w:val="00CA7E69"/>
    <w:rsid w:val="00CD05B5"/>
    <w:rsid w:val="00CF1D54"/>
    <w:rsid w:val="00D35817"/>
    <w:rsid w:val="00DC5CF7"/>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B4BE3C-076A-49A1-B0C9-643A89C87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58A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9F58AE"/>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9F58AE"/>
    <w:rPr>
      <w:rFonts w:ascii="Arial" w:eastAsia="SimSun" w:hAnsi="Arial" w:cs="Times New Roman"/>
      <w:b/>
      <w:i/>
      <w:noProof/>
      <w:sz w:val="18"/>
      <w:szCs w:val="20"/>
    </w:rPr>
  </w:style>
  <w:style w:type="paragraph" w:styleId="Caption">
    <w:name w:val="caption"/>
    <w:aliases w:val="cap,cap Char"/>
    <w:basedOn w:val="Normal"/>
    <w:next w:val="Normal"/>
    <w:link w:val="CaptionChar"/>
    <w:qFormat/>
    <w:rsid w:val="009F58AE"/>
    <w:pPr>
      <w:spacing w:before="120" w:after="120"/>
    </w:pPr>
    <w:rPr>
      <w:b/>
      <w:bCs/>
    </w:rPr>
  </w:style>
  <w:style w:type="character" w:styleId="PageNumber">
    <w:name w:val="page number"/>
    <w:rsid w:val="009F58AE"/>
  </w:style>
  <w:style w:type="paragraph" w:styleId="ListParagraph">
    <w:name w:val="List Paragraph"/>
    <w:basedOn w:val="Normal"/>
    <w:uiPriority w:val="34"/>
    <w:qFormat/>
    <w:rsid w:val="009F58AE"/>
    <w:pPr>
      <w:overflowPunct/>
      <w:autoSpaceDE/>
      <w:autoSpaceDN/>
      <w:adjustRightInd/>
      <w:spacing w:after="0"/>
      <w:ind w:left="720"/>
      <w:textAlignment w:val="auto"/>
    </w:pPr>
    <w:rPr>
      <w:rFonts w:ascii="Calibri" w:eastAsia="Calibri" w:hAnsi="Calibri"/>
      <w:sz w:val="22"/>
      <w:szCs w:val="22"/>
      <w:lang w:val="en-US"/>
    </w:rPr>
  </w:style>
  <w:style w:type="paragraph" w:customStyle="1" w:styleId="LGTdoc1">
    <w:name w:val="LGTdoc_제목1"/>
    <w:basedOn w:val="Normal"/>
    <w:rsid w:val="009F58AE"/>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9F58A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9F58AE"/>
    <w:rPr>
      <w:rFonts w:ascii="Times New Roman" w:eastAsia="SimSun" w:hAnsi="Times New Roman" w:cs="Times New Roman"/>
      <w:b/>
      <w:bCs/>
      <w:sz w:val="20"/>
      <w:szCs w:val="20"/>
      <w:lang w:val="en-GB"/>
    </w:rPr>
  </w:style>
  <w:style w:type="paragraph" w:customStyle="1" w:styleId="NumberedList">
    <w:name w:val="Numbered List"/>
    <w:basedOn w:val="Normal"/>
    <w:rsid w:val="009F58AE"/>
    <w:pPr>
      <w:numPr>
        <w:numId w:val="3"/>
      </w:numPr>
      <w:overflowPunct/>
      <w:autoSpaceDE/>
      <w:autoSpaceDN/>
      <w:adjustRightInd/>
      <w:spacing w:after="0"/>
      <w:jc w:val="both"/>
      <w:textAlignment w:val="auto"/>
    </w:pPr>
    <w:rPr>
      <w:rFonts w:eastAsia="MS Mincho"/>
    </w:rPr>
  </w:style>
  <w:style w:type="paragraph" w:styleId="Header">
    <w:name w:val="header"/>
    <w:basedOn w:val="Normal"/>
    <w:link w:val="HeaderChar"/>
    <w:uiPriority w:val="99"/>
    <w:semiHidden/>
    <w:unhideWhenUsed/>
    <w:rsid w:val="009F58AE"/>
    <w:pPr>
      <w:tabs>
        <w:tab w:val="center" w:pos="4680"/>
        <w:tab w:val="right" w:pos="9360"/>
      </w:tabs>
      <w:spacing w:after="0"/>
    </w:pPr>
  </w:style>
  <w:style w:type="character" w:customStyle="1" w:styleId="HeaderChar">
    <w:name w:val="Header Char"/>
    <w:basedOn w:val="DefaultParagraphFont"/>
    <w:link w:val="Header"/>
    <w:uiPriority w:val="99"/>
    <w:semiHidden/>
    <w:rsid w:val="009F58A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1595</Words>
  <Characters>8365</Characters>
  <Application>Microsoft Office Word</Application>
  <DocSecurity>0</DocSecurity>
  <Lines>153</Lines>
  <Paragraphs>75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Ajit</cp:lastModifiedBy>
  <cp:revision>7</cp:revision>
  <dcterms:created xsi:type="dcterms:W3CDTF">2016-05-14T03:42:00Z</dcterms:created>
  <dcterms:modified xsi:type="dcterms:W3CDTF">2016-05-14T04:40:00Z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04768546-ea5c-47ae-b76f-5962634a037a</vt:lpwstr>
  </property>
  <property fmtid="{D5CDD505-2E9C-101B-9397-08002B2CF9AE}" pid="3" name="CTP_TimeStamp">
    <vt:lpwstr>2016-05-14 04:40:01Z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