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06D" w:rsidRDefault="006D1BC2">
      <w:pPr>
        <w:pStyle w:val="a3"/>
        <w:tabs>
          <w:tab w:val="right" w:pos="9072"/>
          <w:tab w:val="right" w:pos="10206"/>
        </w:tabs>
        <w:jc w:val="distribute"/>
        <w:rPr>
          <w:i/>
          <w:noProof w:val="0"/>
          <w:sz w:val="28"/>
          <w:szCs w:val="28"/>
          <w:lang w:val="en-GB"/>
        </w:rPr>
      </w:pPr>
      <w:bookmarkStart w:id="0" w:name="OLE_LINK3"/>
      <w:bookmarkStart w:id="1" w:name="OLE_LINK1"/>
      <w:bookmarkStart w:id="2" w:name="OLE_LINK2"/>
      <w:r w:rsidRPr="00D530A5">
        <w:rPr>
          <w:rFonts w:eastAsia="ＭＳ ゴシック" w:cs="Arial"/>
          <w:noProof w:val="0"/>
          <w:sz w:val="28"/>
          <w:szCs w:val="28"/>
        </w:rPr>
        <w:t>3GPP TSG RAN WG1 Meeting #</w:t>
      </w:r>
      <w:r w:rsidRPr="00D530A5">
        <w:rPr>
          <w:rFonts w:eastAsia="ＭＳ ゴシック" w:cs="Arial" w:hint="eastAsia"/>
          <w:noProof w:val="0"/>
          <w:sz w:val="28"/>
          <w:szCs w:val="28"/>
        </w:rPr>
        <w:t>8</w:t>
      </w:r>
      <w:r>
        <w:rPr>
          <w:rFonts w:eastAsia="ＭＳ ゴシック" w:cs="Arial"/>
          <w:noProof w:val="0"/>
          <w:sz w:val="28"/>
          <w:szCs w:val="28"/>
        </w:rPr>
        <w:t>3</w:t>
      </w:r>
      <w:r w:rsidR="00E5406D">
        <w:rPr>
          <w:noProof w:val="0"/>
          <w:color w:val="000000"/>
          <w:sz w:val="28"/>
          <w:szCs w:val="28"/>
          <w:lang w:val="en-GB"/>
        </w:rPr>
        <w:t xml:space="preserve">                                   </w:t>
      </w:r>
      <w:r w:rsidR="00DF7E37" w:rsidRPr="00DF7E37">
        <w:rPr>
          <w:iCs/>
          <w:noProof w:val="0"/>
          <w:color w:val="000000"/>
          <w:sz w:val="28"/>
          <w:szCs w:val="28"/>
          <w:lang w:val="en-GB"/>
        </w:rPr>
        <w:t>R1-157442</w:t>
      </w:r>
    </w:p>
    <w:p w:rsidR="00E5406D" w:rsidRDefault="006D1BC2">
      <w:pPr>
        <w:tabs>
          <w:tab w:val="left" w:pos="1985"/>
        </w:tabs>
        <w:rPr>
          <w:rFonts w:ascii="Arial" w:eastAsia="ＭＳ 明朝" w:hAnsi="Arial"/>
          <w:b/>
          <w:sz w:val="28"/>
          <w:szCs w:val="28"/>
          <w:lang w:val="en-GB"/>
        </w:rPr>
      </w:pPr>
      <w:r w:rsidRPr="006D1BC2">
        <w:rPr>
          <w:rFonts w:ascii="Arial" w:eastAsia="ＭＳ 明朝" w:hAnsi="Arial"/>
          <w:b/>
          <w:sz w:val="28"/>
          <w:szCs w:val="28"/>
          <w:lang w:val="en-GB"/>
        </w:rPr>
        <w:t>Anaheim, USA, 15</w:t>
      </w:r>
      <w:r w:rsidR="00186F03" w:rsidRPr="00D00D55">
        <w:rPr>
          <w:rFonts w:ascii="Arial" w:eastAsia="ＭＳ 明朝" w:hAnsi="Arial"/>
          <w:b/>
          <w:sz w:val="28"/>
          <w:szCs w:val="28"/>
          <w:vertAlign w:val="superscript"/>
          <w:lang w:val="en-GB"/>
        </w:rPr>
        <w:t>th</w:t>
      </w:r>
      <w:r w:rsidRPr="006D1BC2">
        <w:rPr>
          <w:rFonts w:ascii="Arial" w:eastAsia="ＭＳ 明朝" w:hAnsi="Arial"/>
          <w:b/>
          <w:sz w:val="28"/>
          <w:szCs w:val="28"/>
          <w:lang w:val="en-GB"/>
        </w:rPr>
        <w:t xml:space="preserve"> – 22</w:t>
      </w:r>
      <w:r w:rsidR="00186F03" w:rsidRPr="00D00D55">
        <w:rPr>
          <w:rFonts w:ascii="Arial" w:eastAsia="ＭＳ 明朝" w:hAnsi="Arial"/>
          <w:b/>
          <w:sz w:val="28"/>
          <w:szCs w:val="28"/>
          <w:vertAlign w:val="superscript"/>
          <w:lang w:val="en-GB"/>
        </w:rPr>
        <w:t>nd</w:t>
      </w:r>
      <w:r w:rsidRPr="006D1BC2">
        <w:rPr>
          <w:rFonts w:ascii="Arial" w:eastAsia="ＭＳ 明朝" w:hAnsi="Arial"/>
          <w:b/>
          <w:sz w:val="28"/>
          <w:szCs w:val="28"/>
          <w:lang w:val="en-GB"/>
        </w:rPr>
        <w:t xml:space="preserve"> November, 2015</w:t>
      </w:r>
    </w:p>
    <w:p w:rsidR="006B0F17" w:rsidRPr="004951A7" w:rsidRDefault="006B0F17">
      <w:pPr>
        <w:tabs>
          <w:tab w:val="left" w:pos="1985"/>
        </w:tabs>
        <w:rPr>
          <w:rFonts w:ascii="Arial" w:hAnsi="Arial"/>
          <w:b/>
          <w:lang w:val="en-GB"/>
        </w:rPr>
      </w:pPr>
    </w:p>
    <w:p w:rsidR="00E5406D" w:rsidRDefault="00E5406D">
      <w:pPr>
        <w:tabs>
          <w:tab w:val="left" w:pos="1985"/>
        </w:tabs>
        <w:rPr>
          <w:b/>
          <w:sz w:val="28"/>
          <w:szCs w:val="28"/>
          <w:lang w:val="en-GB"/>
        </w:rPr>
      </w:pPr>
      <w:r>
        <w:rPr>
          <w:rFonts w:ascii="Arial" w:hAnsi="Arial"/>
          <w:b/>
          <w:sz w:val="28"/>
          <w:szCs w:val="28"/>
          <w:lang w:val="en-GB"/>
        </w:rPr>
        <w:t xml:space="preserve">Source: </w:t>
      </w:r>
      <w:r>
        <w:rPr>
          <w:rFonts w:ascii="Arial" w:hAnsi="Arial"/>
          <w:b/>
          <w:sz w:val="28"/>
          <w:szCs w:val="28"/>
          <w:lang w:val="en-GB"/>
        </w:rPr>
        <w:tab/>
      </w:r>
      <w:r>
        <w:rPr>
          <w:rFonts w:ascii="Arial" w:hAnsi="Arial"/>
          <w:b/>
          <w:sz w:val="28"/>
          <w:szCs w:val="28"/>
          <w:lang w:val="en-GB"/>
        </w:rPr>
        <w:tab/>
        <w:t>Sharp</w:t>
      </w:r>
    </w:p>
    <w:p w:rsidR="00E5406D" w:rsidRDefault="00E5406D" w:rsidP="00D00D55">
      <w:pPr>
        <w:tabs>
          <w:tab w:val="left" w:pos="2180"/>
        </w:tabs>
        <w:ind w:left="2198" w:right="-441" w:hangingChars="782" w:hanging="2198"/>
        <w:rPr>
          <w:rFonts w:ascii="Arial" w:hAnsi="Arial" w:cs="Arial"/>
          <w:b/>
          <w:color w:val="FF0000"/>
          <w:sz w:val="28"/>
          <w:szCs w:val="28"/>
          <w:lang w:val="en-GB"/>
        </w:rPr>
      </w:pPr>
      <w:r>
        <w:rPr>
          <w:rFonts w:ascii="Arial" w:hAnsi="Arial"/>
          <w:b/>
          <w:sz w:val="28"/>
          <w:szCs w:val="28"/>
          <w:lang w:val="en-GB"/>
        </w:rPr>
        <w:t>Title:</w:t>
      </w:r>
      <w:r>
        <w:rPr>
          <w:b/>
          <w:sz w:val="28"/>
          <w:szCs w:val="28"/>
          <w:lang w:val="en-GB"/>
        </w:rPr>
        <w:tab/>
      </w:r>
      <w:r w:rsidR="00932996">
        <w:rPr>
          <w:rFonts w:ascii="Arial" w:hAnsi="Arial" w:cs="Arial" w:hint="eastAsia"/>
          <w:b/>
          <w:sz w:val="28"/>
          <w:szCs w:val="28"/>
          <w:lang w:val="en-GB"/>
        </w:rPr>
        <w:t>Different CP length and different subcarrier spacing</w:t>
      </w:r>
      <w:r w:rsidR="00055453">
        <w:rPr>
          <w:rFonts w:ascii="Arial" w:hAnsi="Arial" w:cs="Arial"/>
          <w:b/>
          <w:sz w:val="28"/>
          <w:szCs w:val="28"/>
          <w:lang w:val="en-GB"/>
        </w:rPr>
        <w:t xml:space="preserve"> of in-band operation</w:t>
      </w:r>
      <w:bookmarkStart w:id="3" w:name="_GoBack"/>
      <w:bookmarkEnd w:id="3"/>
    </w:p>
    <w:p w:rsidR="00E5406D" w:rsidRDefault="00E5406D">
      <w:pPr>
        <w:tabs>
          <w:tab w:val="left" w:pos="1985"/>
          <w:tab w:val="left" w:pos="2160"/>
          <w:tab w:val="left" w:pos="3790"/>
        </w:tabs>
        <w:ind w:right="-441"/>
        <w:rPr>
          <w:rFonts w:ascii="Arial" w:hAnsi="Arial" w:cs="Arial"/>
          <w:b/>
          <w:sz w:val="28"/>
          <w:szCs w:val="28"/>
          <w:lang w:val="en-GB"/>
        </w:rPr>
      </w:pPr>
      <w:r>
        <w:rPr>
          <w:rFonts w:ascii="Arial" w:hAnsi="Arial"/>
          <w:b/>
          <w:sz w:val="28"/>
          <w:szCs w:val="28"/>
          <w:lang w:val="en-GB"/>
        </w:rPr>
        <w:t>Agenda Item:</w:t>
      </w:r>
      <w:r>
        <w:rPr>
          <w:rFonts w:ascii="Arial" w:hAnsi="Arial"/>
          <w:b/>
          <w:sz w:val="28"/>
          <w:szCs w:val="28"/>
          <w:lang w:val="en-GB"/>
        </w:rPr>
        <w:tab/>
      </w:r>
      <w:r>
        <w:rPr>
          <w:b/>
          <w:color w:val="000000"/>
          <w:sz w:val="28"/>
          <w:szCs w:val="28"/>
          <w:lang w:val="en-GB"/>
        </w:rPr>
        <w:tab/>
      </w:r>
      <w:r w:rsidR="007A3FD2">
        <w:rPr>
          <w:rFonts w:ascii="Arial" w:hAnsi="Arial" w:cs="Arial" w:hint="eastAsia"/>
          <w:b/>
          <w:color w:val="000000"/>
          <w:sz w:val="28"/>
          <w:szCs w:val="28"/>
          <w:lang w:val="en-GB"/>
        </w:rPr>
        <w:t>6.2.6.1.3</w:t>
      </w:r>
    </w:p>
    <w:p w:rsidR="00E5406D" w:rsidRDefault="00E5406D">
      <w:pPr>
        <w:pBdr>
          <w:bottom w:val="single" w:sz="6" w:space="2" w:color="auto"/>
        </w:pBdr>
        <w:rPr>
          <w:rFonts w:ascii="Arial" w:hAnsi="Arial" w:cs="Arial"/>
          <w:b/>
          <w:sz w:val="28"/>
          <w:szCs w:val="28"/>
          <w:lang w:val="en-GB"/>
        </w:rPr>
      </w:pPr>
      <w:r>
        <w:rPr>
          <w:rFonts w:ascii="Arial" w:hAnsi="Arial" w:cs="Arial"/>
          <w:b/>
          <w:sz w:val="28"/>
          <w:szCs w:val="28"/>
          <w:lang w:val="en-GB"/>
        </w:rPr>
        <w:t>Document for:</w:t>
      </w:r>
      <w:r>
        <w:rPr>
          <w:rFonts w:ascii="Arial" w:hAnsi="Arial" w:cs="Arial"/>
          <w:b/>
          <w:sz w:val="28"/>
          <w:szCs w:val="28"/>
          <w:lang w:val="en-GB"/>
        </w:rPr>
        <w:tab/>
        <w:t xml:space="preserve">Discussion and Decision </w:t>
      </w:r>
      <w:bookmarkStart w:id="4" w:name="DocumentFor"/>
      <w:bookmarkEnd w:id="0"/>
      <w:bookmarkEnd w:id="4"/>
    </w:p>
    <w:p w:rsidR="00E5406D" w:rsidRDefault="00E5406D">
      <w:pPr>
        <w:pStyle w:val="1"/>
        <w:tabs>
          <w:tab w:val="clear" w:pos="574"/>
          <w:tab w:val="num" w:pos="567"/>
        </w:tabs>
        <w:spacing w:after="120"/>
        <w:ind w:left="567" w:hanging="567"/>
        <w:rPr>
          <w:rFonts w:cs="Arial"/>
          <w:b/>
          <w:lang w:val="en-GB"/>
        </w:rPr>
      </w:pPr>
      <w:r>
        <w:rPr>
          <w:rFonts w:cs="Arial"/>
          <w:b/>
          <w:lang w:val="en-GB"/>
        </w:rPr>
        <w:t>Introduction</w:t>
      </w:r>
    </w:p>
    <w:p w:rsidR="00073A5D" w:rsidRDefault="00E5406D" w:rsidP="00D40197">
      <w:pPr>
        <w:jc w:val="both"/>
        <w:rPr>
          <w:lang w:val="en-GB"/>
        </w:rPr>
      </w:pPr>
      <w:r>
        <w:rPr>
          <w:lang w:val="en-GB"/>
        </w:rPr>
        <w:t xml:space="preserve">In this contribution, we discuss </w:t>
      </w:r>
      <w:r w:rsidR="00717EF7">
        <w:rPr>
          <w:lang w:val="en-GB"/>
        </w:rPr>
        <w:t>a</w:t>
      </w:r>
      <w:r w:rsidR="00932996">
        <w:rPr>
          <w:lang w:val="en-GB"/>
        </w:rPr>
        <w:t>ccommodation</w:t>
      </w:r>
      <w:r w:rsidR="00932996">
        <w:rPr>
          <w:rFonts w:hint="eastAsia"/>
          <w:lang w:val="en-GB"/>
        </w:rPr>
        <w:t xml:space="preserve"> of d</w:t>
      </w:r>
      <w:r w:rsidR="00932996" w:rsidRPr="000A1025">
        <w:rPr>
          <w:lang w:val="en-GB"/>
        </w:rPr>
        <w:t xml:space="preserve">ifferent CP </w:t>
      </w:r>
      <w:r w:rsidR="00932996">
        <w:rPr>
          <w:rFonts w:hint="eastAsia"/>
          <w:lang w:val="en-GB"/>
        </w:rPr>
        <w:t xml:space="preserve">length </w:t>
      </w:r>
      <w:r w:rsidR="00932996" w:rsidRPr="000A1025">
        <w:rPr>
          <w:lang w:val="en-GB"/>
        </w:rPr>
        <w:t>and different subcarrier spacing</w:t>
      </w:r>
      <w:r w:rsidR="007A3FD2">
        <w:rPr>
          <w:rFonts w:hint="eastAsia"/>
          <w:lang w:val="en-GB"/>
        </w:rPr>
        <w:t xml:space="preserve"> in a case of in-band operation</w:t>
      </w:r>
      <w:r w:rsidR="00D40197">
        <w:rPr>
          <w:rFonts w:hint="eastAsia"/>
          <w:lang w:val="en-GB"/>
        </w:rPr>
        <w:t>.</w:t>
      </w:r>
      <w:r w:rsidR="00D40197">
        <w:rPr>
          <w:lang w:val="en-GB"/>
        </w:rPr>
        <w:t xml:space="preserve"> </w:t>
      </w:r>
    </w:p>
    <w:p w:rsidR="00E5406D" w:rsidRDefault="00E5406D">
      <w:pPr>
        <w:pStyle w:val="1"/>
        <w:spacing w:after="120"/>
        <w:ind w:left="567" w:hanging="567"/>
        <w:rPr>
          <w:rFonts w:cs="Arial"/>
          <w:b/>
          <w:lang w:val="en-GB"/>
        </w:rPr>
      </w:pPr>
      <w:r>
        <w:rPr>
          <w:rFonts w:cs="Arial"/>
          <w:b/>
          <w:lang w:val="en-GB"/>
        </w:rPr>
        <w:t>Discussion</w:t>
      </w:r>
    </w:p>
    <w:p w:rsidR="00E5406D" w:rsidRDefault="007A3FD2">
      <w:pPr>
        <w:pStyle w:val="2"/>
        <w:tabs>
          <w:tab w:val="clear" w:pos="1994"/>
          <w:tab w:val="num" w:pos="540"/>
        </w:tabs>
        <w:spacing w:line="360" w:lineRule="auto"/>
        <w:ind w:left="1996" w:hanging="1996"/>
        <w:rPr>
          <w:b/>
          <w:lang w:val="en-GB"/>
        </w:rPr>
      </w:pPr>
      <w:r>
        <w:rPr>
          <w:b/>
          <w:lang w:val="en-GB"/>
        </w:rPr>
        <w:t>Accommodation</w:t>
      </w:r>
      <w:r>
        <w:rPr>
          <w:rFonts w:hint="eastAsia"/>
          <w:b/>
          <w:lang w:val="en-GB"/>
        </w:rPr>
        <w:t xml:space="preserve"> of different CP length NB-</w:t>
      </w:r>
      <w:r w:rsidR="00981013">
        <w:rPr>
          <w:rFonts w:hint="eastAsia"/>
          <w:b/>
          <w:lang w:val="en-GB"/>
        </w:rPr>
        <w:t>I</w:t>
      </w:r>
      <w:r w:rsidR="00981013">
        <w:rPr>
          <w:b/>
          <w:lang w:val="en-GB"/>
        </w:rPr>
        <w:t>o</w:t>
      </w:r>
      <w:r w:rsidR="00981013">
        <w:rPr>
          <w:rFonts w:hint="eastAsia"/>
          <w:b/>
          <w:lang w:val="en-GB"/>
        </w:rPr>
        <w:t>T</w:t>
      </w:r>
    </w:p>
    <w:p w:rsidR="00E92F3C" w:rsidRDefault="00451723" w:rsidP="00E92F3C">
      <w:pPr>
        <w:spacing w:after="120"/>
        <w:jc w:val="both"/>
        <w:rPr>
          <w:lang w:val="en-GB"/>
        </w:rPr>
      </w:pPr>
      <w:r>
        <w:rPr>
          <w:lang w:val="en-GB"/>
        </w:rPr>
        <w:t xml:space="preserve">In the last meeting, </w:t>
      </w:r>
      <w:r w:rsidR="002A692C">
        <w:rPr>
          <w:lang w:val="en-GB"/>
        </w:rPr>
        <w:t>quite a few</w:t>
      </w:r>
      <w:r>
        <w:rPr>
          <w:lang w:val="en-GB"/>
        </w:rPr>
        <w:t xml:space="preserve"> </w:t>
      </w:r>
      <w:r w:rsidR="004015EE">
        <w:rPr>
          <w:rFonts w:hint="eastAsia"/>
          <w:lang w:val="en-GB"/>
        </w:rPr>
        <w:t>companies</w:t>
      </w:r>
      <w:r>
        <w:rPr>
          <w:lang w:val="en-GB"/>
        </w:rPr>
        <w:t xml:space="preserve"> support 15 kHz subcarrier spacing in in-band operation. However, even if the same subcarrier spacing is assumed, we </w:t>
      </w:r>
      <w:r w:rsidR="00177E59">
        <w:rPr>
          <w:lang w:val="en-GB"/>
        </w:rPr>
        <w:t>didn’t</w:t>
      </w:r>
      <w:r>
        <w:rPr>
          <w:lang w:val="en-GB"/>
        </w:rPr>
        <w:t xml:space="preserve"> discussed assumption of different CP length because coverage requirements are different between LTE and NB-IoT. </w:t>
      </w:r>
    </w:p>
    <w:p w:rsidR="00177E59" w:rsidRDefault="00177E59" w:rsidP="00E92F3C">
      <w:pPr>
        <w:spacing w:after="120"/>
        <w:jc w:val="both"/>
        <w:rPr>
          <w:lang w:val="en-GB"/>
        </w:rPr>
      </w:pPr>
      <w:r>
        <w:rPr>
          <w:lang w:val="en-GB"/>
        </w:rPr>
        <w:t>As one typical case, i</w:t>
      </w:r>
      <w:r w:rsidR="007A3FD2">
        <w:rPr>
          <w:rFonts w:hint="eastAsia"/>
          <w:lang w:val="en-GB"/>
        </w:rPr>
        <w:t xml:space="preserve">f NB-IOT uses extended CP and LTE uses normal CP, available REs are limited due to interference between </w:t>
      </w:r>
      <w:r w:rsidR="007A3FD2">
        <w:rPr>
          <w:lang w:val="en-GB"/>
        </w:rPr>
        <w:t>different</w:t>
      </w:r>
      <w:r w:rsidR="007A3FD2">
        <w:rPr>
          <w:rFonts w:hint="eastAsia"/>
          <w:lang w:val="en-GB"/>
        </w:rPr>
        <w:t xml:space="preserve"> CP</w:t>
      </w:r>
      <w:r w:rsidR="007A3FD2">
        <w:rPr>
          <w:lang w:val="en-GB"/>
        </w:rPr>
        <w:t>’</w:t>
      </w:r>
      <w:r w:rsidR="007A3FD2">
        <w:rPr>
          <w:rFonts w:hint="eastAsia"/>
          <w:lang w:val="en-GB"/>
        </w:rPr>
        <w:t xml:space="preserve">s signals. MBSFN subframe can be configured in subframe 1, 2, 3, 6, 7, 8 in FDD, 3, 4, 7, 8, 9 in TDD. It is one option to limit different CP in MBSFN subframes. However, </w:t>
      </w:r>
      <w:r>
        <w:rPr>
          <w:lang w:val="en-GB"/>
        </w:rPr>
        <w:t xml:space="preserve">as mentioned in the online discussion in the last meeting, MBSFN subframes may not </w:t>
      </w:r>
      <w:r w:rsidR="00D11448">
        <w:rPr>
          <w:lang w:val="en-GB"/>
        </w:rPr>
        <w:t xml:space="preserve">be </w:t>
      </w:r>
      <w:r>
        <w:rPr>
          <w:lang w:val="en-GB"/>
        </w:rPr>
        <w:t>used for NB-IoT</w:t>
      </w:r>
      <w:r w:rsidR="00694C55">
        <w:rPr>
          <w:lang w:val="en-GB"/>
        </w:rPr>
        <w:t>.</w:t>
      </w:r>
      <w:r>
        <w:rPr>
          <w:lang w:val="en-GB"/>
        </w:rPr>
        <w:t xml:space="preserve"> Figure 1 shows three examples of accommodation of different CP length between LTE and NB-IoT, and we assume normal CP and extended CP are assumed for LTE and NB-IoT, respectively.</w:t>
      </w:r>
    </w:p>
    <w:p w:rsidR="00177E59" w:rsidRDefault="00177E59" w:rsidP="00E92F3C">
      <w:pPr>
        <w:spacing w:after="120"/>
        <w:jc w:val="both"/>
        <w:rPr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68"/>
      </w:tblGrid>
      <w:tr w:rsidR="00177E59" w:rsidRPr="00F1397A" w:rsidTr="00F1397A">
        <w:tc>
          <w:tcPr>
            <w:tcW w:w="10162" w:type="dxa"/>
            <w:shd w:val="clear" w:color="auto" w:fill="auto"/>
            <w:vAlign w:val="center"/>
          </w:tcPr>
          <w:p w:rsidR="00177E59" w:rsidRPr="00F1397A" w:rsidRDefault="00FB4A6A" w:rsidP="00F1397A">
            <w:pPr>
              <w:spacing w:after="120"/>
              <w:jc w:val="both"/>
              <w:rPr>
                <w:lang w:val="en-GB"/>
              </w:rPr>
            </w:pPr>
            <w:r>
              <w:object w:dxaOrig="17977" w:dyaOrig="9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8.05pt;height:255.55pt" o:ole="">
                  <v:imagedata r:id="rId8" o:title=""/>
                </v:shape>
                <o:OLEObject Type="Embed" ProgID="Visio.Drawing.15" ShapeID="_x0000_i1025" DrawAspect="Content" ObjectID="_1508755106" r:id="rId9"/>
              </w:object>
            </w:r>
          </w:p>
        </w:tc>
      </w:tr>
      <w:tr w:rsidR="00177E59" w:rsidRPr="00F1397A" w:rsidTr="00F1397A">
        <w:tc>
          <w:tcPr>
            <w:tcW w:w="10162" w:type="dxa"/>
            <w:shd w:val="clear" w:color="auto" w:fill="auto"/>
            <w:vAlign w:val="center"/>
          </w:tcPr>
          <w:p w:rsidR="00177E59" w:rsidRPr="00177E59" w:rsidRDefault="00177E59" w:rsidP="00F1397A">
            <w:pPr>
              <w:spacing w:after="120"/>
              <w:jc w:val="center"/>
            </w:pPr>
            <w:r>
              <w:rPr>
                <w:rFonts w:hint="eastAsia"/>
              </w:rPr>
              <w:lastRenderedPageBreak/>
              <w:t xml:space="preserve">Figure 1. Examples of </w:t>
            </w:r>
            <w:r>
              <w:t>accommodation</w:t>
            </w:r>
            <w:r>
              <w:rPr>
                <w:rFonts w:hint="eastAsia"/>
              </w:rPr>
              <w:t xml:space="preserve"> </w:t>
            </w:r>
            <w:r>
              <w:t xml:space="preserve">of </w:t>
            </w:r>
            <w:r w:rsidR="004B007C">
              <w:t>different CP length (normal CP: LTE, extended CP: NB-IoT)</w:t>
            </w:r>
          </w:p>
        </w:tc>
      </w:tr>
    </w:tbl>
    <w:p w:rsidR="00177E59" w:rsidRDefault="00177E59" w:rsidP="00E92F3C">
      <w:pPr>
        <w:spacing w:after="120"/>
        <w:jc w:val="both"/>
        <w:rPr>
          <w:lang w:val="en-GB"/>
        </w:rPr>
      </w:pPr>
    </w:p>
    <w:p w:rsidR="00902847" w:rsidRPr="00C1265A" w:rsidRDefault="00902847" w:rsidP="00E92F3C">
      <w:pPr>
        <w:spacing w:after="120"/>
        <w:jc w:val="both"/>
        <w:rPr>
          <w:lang w:val="en-GB"/>
        </w:rPr>
      </w:pPr>
      <w:r w:rsidRPr="00C1265A">
        <w:rPr>
          <w:rFonts w:hint="eastAsia"/>
          <w:lang w:val="en-GB"/>
        </w:rPr>
        <w:t>In (</w:t>
      </w:r>
      <w:r>
        <w:rPr>
          <w:rFonts w:hint="eastAsia"/>
          <w:lang w:val="en-GB"/>
        </w:rPr>
        <w:t>a</w:t>
      </w:r>
      <w:r w:rsidRPr="00C1265A">
        <w:rPr>
          <w:rFonts w:hint="eastAsia"/>
          <w:lang w:val="en-GB"/>
        </w:rPr>
        <w:t xml:space="preserve">), </w:t>
      </w:r>
      <w:r>
        <w:rPr>
          <w:rFonts w:hint="eastAsia"/>
          <w:lang w:val="en-GB"/>
        </w:rPr>
        <w:t>LTE extended CP RE</w:t>
      </w:r>
      <w:r>
        <w:rPr>
          <w:lang w:val="en-GB"/>
        </w:rPr>
        <w:t>’</w:t>
      </w:r>
      <w:r>
        <w:rPr>
          <w:rFonts w:hint="eastAsia"/>
          <w:lang w:val="en-GB"/>
        </w:rPr>
        <w:t>s positions and normal CP</w:t>
      </w:r>
      <w:r>
        <w:rPr>
          <w:lang w:val="en-GB"/>
        </w:rPr>
        <w:t>’</w:t>
      </w:r>
      <w:r>
        <w:rPr>
          <w:rFonts w:hint="eastAsia"/>
          <w:lang w:val="en-GB"/>
        </w:rPr>
        <w:t>s CRS REs are kept</w:t>
      </w:r>
      <w:r w:rsidRPr="00C1265A">
        <w:rPr>
          <w:rFonts w:hint="eastAsia"/>
          <w:lang w:val="en-GB"/>
        </w:rPr>
        <w:t>.</w:t>
      </w:r>
      <w:r>
        <w:rPr>
          <w:rFonts w:hint="eastAsia"/>
          <w:lang w:val="en-GB"/>
        </w:rPr>
        <w:t xml:space="preserve"> This causes severe </w:t>
      </w:r>
      <w:r>
        <w:rPr>
          <w:lang w:val="en-GB"/>
        </w:rPr>
        <w:t>interference</w:t>
      </w:r>
      <w:r>
        <w:rPr>
          <w:rFonts w:hint="eastAsia"/>
          <w:lang w:val="en-GB"/>
        </w:rPr>
        <w:t xml:space="preserve"> in NB-</w:t>
      </w:r>
      <w:r w:rsidR="00981013">
        <w:rPr>
          <w:rFonts w:hint="eastAsia"/>
          <w:lang w:val="en-GB"/>
        </w:rPr>
        <w:t>I</w:t>
      </w:r>
      <w:r w:rsidR="00981013">
        <w:rPr>
          <w:lang w:val="en-GB"/>
        </w:rPr>
        <w:t>o</w:t>
      </w:r>
      <w:r w:rsidR="00981013">
        <w:rPr>
          <w:rFonts w:hint="eastAsia"/>
          <w:lang w:val="en-GB"/>
        </w:rPr>
        <w:t xml:space="preserve">T </w:t>
      </w:r>
      <w:r>
        <w:rPr>
          <w:rFonts w:hint="eastAsia"/>
          <w:lang w:val="en-GB"/>
        </w:rPr>
        <w:t>UE and legacy LTE UE each other and CRS based channel estimation</w:t>
      </w:r>
      <w:r w:rsidRPr="00C1265A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in legacy LTE UEs. </w:t>
      </w:r>
    </w:p>
    <w:p w:rsidR="009D1BC2" w:rsidRPr="00C1265A" w:rsidRDefault="00C1265A" w:rsidP="00E92F3C">
      <w:pPr>
        <w:spacing w:after="120"/>
        <w:jc w:val="both"/>
        <w:rPr>
          <w:lang w:val="en-GB"/>
        </w:rPr>
      </w:pPr>
      <w:r w:rsidRPr="00C1265A">
        <w:rPr>
          <w:rFonts w:hint="eastAsia"/>
          <w:lang w:val="en-GB"/>
        </w:rPr>
        <w:t xml:space="preserve">In (b), </w:t>
      </w:r>
      <w:r>
        <w:rPr>
          <w:rFonts w:hint="eastAsia"/>
          <w:lang w:val="en-GB"/>
        </w:rPr>
        <w:t>LTE extended CP RE</w:t>
      </w:r>
      <w:r>
        <w:rPr>
          <w:lang w:val="en-GB"/>
        </w:rPr>
        <w:t>’</w:t>
      </w:r>
      <w:r>
        <w:rPr>
          <w:rFonts w:hint="eastAsia"/>
          <w:lang w:val="en-GB"/>
        </w:rPr>
        <w:t xml:space="preserve">s positions are kept and </w:t>
      </w:r>
      <w:r w:rsidRPr="00C1265A">
        <w:rPr>
          <w:rFonts w:hint="eastAsia"/>
          <w:lang w:val="en-GB"/>
        </w:rPr>
        <w:t xml:space="preserve">all extended CP causing </w:t>
      </w:r>
      <w:r w:rsidRPr="00C1265A">
        <w:rPr>
          <w:lang w:val="en-GB"/>
        </w:rPr>
        <w:t>interference</w:t>
      </w:r>
      <w:r w:rsidRPr="00C1265A">
        <w:rPr>
          <w:rFonts w:hint="eastAsia"/>
          <w:lang w:val="en-GB"/>
        </w:rPr>
        <w:t xml:space="preserve"> to normal CP</w:t>
      </w:r>
      <w:r w:rsidRPr="00C1265A">
        <w:rPr>
          <w:lang w:val="en-GB"/>
        </w:rPr>
        <w:t>’</w:t>
      </w:r>
      <w:r w:rsidRPr="00C1265A">
        <w:rPr>
          <w:rFonts w:hint="eastAsia"/>
          <w:lang w:val="en-GB"/>
        </w:rPr>
        <w:t xml:space="preserve">s CRS are </w:t>
      </w:r>
      <w:r w:rsidR="00017FA3">
        <w:rPr>
          <w:lang w:val="en-GB"/>
        </w:rPr>
        <w:t>not used</w:t>
      </w:r>
      <w:r w:rsidRPr="00C1265A">
        <w:rPr>
          <w:rFonts w:hint="eastAsia"/>
          <w:lang w:val="en-GB"/>
        </w:rPr>
        <w:t xml:space="preserve">. </w:t>
      </w:r>
      <w:r w:rsidR="00EC664F">
        <w:rPr>
          <w:rFonts w:hint="eastAsia"/>
          <w:lang w:val="en-GB"/>
        </w:rPr>
        <w:t xml:space="preserve">This can avoid </w:t>
      </w:r>
      <w:r w:rsidR="00EC664F">
        <w:rPr>
          <w:lang w:val="en-GB"/>
        </w:rPr>
        <w:t>interference</w:t>
      </w:r>
      <w:r w:rsidR="00EC664F">
        <w:rPr>
          <w:rFonts w:hint="eastAsia"/>
          <w:lang w:val="en-GB"/>
        </w:rPr>
        <w:t xml:space="preserve"> to normal CP</w:t>
      </w:r>
      <w:r w:rsidR="00EC664F">
        <w:rPr>
          <w:lang w:val="en-GB"/>
        </w:rPr>
        <w:t>’</w:t>
      </w:r>
      <w:r w:rsidR="00EC664F">
        <w:rPr>
          <w:rFonts w:hint="eastAsia"/>
          <w:lang w:val="en-GB"/>
        </w:rPr>
        <w:t>s CRSs for legacy LTE UEs but there are not so enough REs for NB-</w:t>
      </w:r>
      <w:r w:rsidR="00981013">
        <w:rPr>
          <w:rFonts w:hint="eastAsia"/>
          <w:lang w:val="en-GB"/>
        </w:rPr>
        <w:t>I</w:t>
      </w:r>
      <w:r w:rsidR="00981013">
        <w:rPr>
          <w:lang w:val="en-GB"/>
        </w:rPr>
        <w:t>o</w:t>
      </w:r>
      <w:r w:rsidR="00981013">
        <w:rPr>
          <w:rFonts w:hint="eastAsia"/>
          <w:lang w:val="en-GB"/>
        </w:rPr>
        <w:t xml:space="preserve">T </w:t>
      </w:r>
      <w:r w:rsidR="00EC664F">
        <w:rPr>
          <w:rFonts w:hint="eastAsia"/>
          <w:lang w:val="en-GB"/>
        </w:rPr>
        <w:t>UEs.</w:t>
      </w:r>
    </w:p>
    <w:p w:rsidR="00E20A17" w:rsidRPr="00075B9F" w:rsidRDefault="001E6183" w:rsidP="00D00D55">
      <w:pPr>
        <w:spacing w:before="120"/>
        <w:rPr>
          <w:lang w:val="en-GB"/>
        </w:rPr>
      </w:pPr>
      <w:r w:rsidRPr="001E6183">
        <w:rPr>
          <w:rFonts w:hint="eastAsia"/>
          <w:lang w:val="en-GB"/>
        </w:rPr>
        <w:t xml:space="preserve">In (c), </w:t>
      </w:r>
      <w:r>
        <w:rPr>
          <w:rFonts w:hint="eastAsia"/>
          <w:lang w:val="en-GB"/>
        </w:rPr>
        <w:t xml:space="preserve">a position of extended CP RE is adjusted to </w:t>
      </w:r>
      <w:r>
        <w:rPr>
          <w:lang w:val="en-GB"/>
        </w:rPr>
        <w:t>mitigate</w:t>
      </w:r>
      <w:r>
        <w:rPr>
          <w:rFonts w:hint="eastAsia"/>
          <w:lang w:val="en-GB"/>
        </w:rPr>
        <w:t xml:space="preserve"> interference each other. As shown in</w:t>
      </w:r>
      <w:r w:rsidRPr="001E6183">
        <w:rPr>
          <w:rFonts w:hint="eastAsia"/>
          <w:lang w:val="en-GB"/>
        </w:rPr>
        <w:t xml:space="preserve"> figure b</w:t>
      </w:r>
      <w:r>
        <w:rPr>
          <w:rFonts w:hint="eastAsia"/>
          <w:lang w:val="en-GB"/>
        </w:rPr>
        <w:t>elow, normal CP</w:t>
      </w:r>
      <w:r>
        <w:rPr>
          <w:lang w:val="en-GB"/>
        </w:rPr>
        <w:t>’</w:t>
      </w:r>
      <w:r>
        <w:rPr>
          <w:rFonts w:hint="eastAsia"/>
          <w:lang w:val="en-GB"/>
        </w:rPr>
        <w:t>s symbol #2, #5, #8, #9, and #12 are strongly affected by extended CP</w:t>
      </w:r>
      <w:r>
        <w:rPr>
          <w:lang w:val="en-GB"/>
        </w:rPr>
        <w:t>’</w:t>
      </w:r>
      <w:r>
        <w:rPr>
          <w:rFonts w:hint="eastAsia"/>
          <w:lang w:val="en-GB"/>
        </w:rPr>
        <w:t>s signals. Those normal CP REs are better to be punctured by scheduling. If so, normal CP RE</w:t>
      </w:r>
      <w:r>
        <w:rPr>
          <w:lang w:val="en-GB"/>
        </w:rPr>
        <w:t>’</w:t>
      </w:r>
      <w:r>
        <w:rPr>
          <w:rFonts w:hint="eastAsia"/>
          <w:lang w:val="en-GB"/>
        </w:rPr>
        <w:t>s except for un-punctured CRSs does not affect extended CP</w:t>
      </w:r>
      <w:r>
        <w:rPr>
          <w:lang w:val="en-GB"/>
        </w:rPr>
        <w:t>’</w:t>
      </w:r>
      <w:r>
        <w:rPr>
          <w:rFonts w:hint="eastAsia"/>
          <w:lang w:val="en-GB"/>
        </w:rPr>
        <w:t>s REs.</w:t>
      </w:r>
      <w:r w:rsidR="000707C0" w:rsidRPr="007A6761">
        <w:rPr>
          <w:rFonts w:hint="eastAsia"/>
          <w:lang w:val="en-GB"/>
        </w:rPr>
        <w:t xml:space="preserve"> </w:t>
      </w:r>
      <w:r w:rsidR="00E20A17" w:rsidRPr="00075B9F">
        <w:rPr>
          <w:lang w:val="en-GB"/>
        </w:rPr>
        <w:t>Our consideration on each mapping scheme is summarized in Table 1.</w:t>
      </w:r>
    </w:p>
    <w:p w:rsidR="00483C55" w:rsidRDefault="00483C55" w:rsidP="002A692C">
      <w:pPr>
        <w:spacing w:before="120"/>
        <w:ind w:left="1692" w:hangingChars="705" w:hanging="1692"/>
        <w:rPr>
          <w:u w:val="single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68"/>
      </w:tblGrid>
      <w:tr w:rsidR="00E20A17" w:rsidRPr="00F1397A" w:rsidTr="007551CA">
        <w:tc>
          <w:tcPr>
            <w:tcW w:w="10162" w:type="dxa"/>
            <w:shd w:val="clear" w:color="auto" w:fill="auto"/>
            <w:vAlign w:val="center"/>
          </w:tcPr>
          <w:p w:rsidR="00E20A17" w:rsidRPr="00F1397A" w:rsidRDefault="00483C55" w:rsidP="00D00D55">
            <w:pPr>
              <w:spacing w:after="120"/>
              <w:jc w:val="center"/>
              <w:rPr>
                <w:lang w:val="en-GB"/>
              </w:rPr>
            </w:pPr>
            <w:r>
              <w:t>Table 1</w:t>
            </w:r>
            <w:r>
              <w:rPr>
                <w:rFonts w:hint="eastAsia"/>
              </w:rPr>
              <w:t xml:space="preserve">. </w:t>
            </w:r>
            <w:r>
              <w:t>Consideration of each mapping scheme (normal CP: LTE, extended CP: NB-IoT)</w:t>
            </w:r>
          </w:p>
        </w:tc>
      </w:tr>
      <w:tr w:rsidR="00E20A17" w:rsidRPr="00F1397A" w:rsidTr="007551CA">
        <w:tc>
          <w:tcPr>
            <w:tcW w:w="10162" w:type="dxa"/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90"/>
              <w:gridCol w:w="1698"/>
              <w:gridCol w:w="1980"/>
              <w:gridCol w:w="1276"/>
              <w:gridCol w:w="2898"/>
            </w:tblGrid>
            <w:tr w:rsidR="00E20A17" w:rsidRPr="00E20A17" w:rsidTr="00D00D55">
              <w:trPr>
                <w:trHeight w:val="396"/>
                <w:jc w:val="center"/>
              </w:trPr>
              <w:tc>
                <w:tcPr>
                  <w:tcW w:w="1893" w:type="dxa"/>
                  <w:shd w:val="clear" w:color="auto" w:fill="C6D9F1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</w:p>
              </w:tc>
              <w:tc>
                <w:tcPr>
                  <w:tcW w:w="1701" w:type="dxa"/>
                  <w:shd w:val="clear" w:color="auto" w:fill="C6D9F1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The number of RE’s for NB-IOT</w:t>
                  </w:r>
                </w:p>
              </w:tc>
              <w:tc>
                <w:tcPr>
                  <w:tcW w:w="1984" w:type="dxa"/>
                  <w:shd w:val="clear" w:color="auto" w:fill="C6D9F1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Complexity for NB-IoT</w:t>
                  </w:r>
                </w:p>
              </w:tc>
              <w:tc>
                <w:tcPr>
                  <w:tcW w:w="1276" w:type="dxa"/>
                  <w:shd w:val="clear" w:color="auto" w:fill="C6D9F1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Interference to CRS</w:t>
                  </w:r>
                </w:p>
              </w:tc>
              <w:tc>
                <w:tcPr>
                  <w:tcW w:w="2907" w:type="dxa"/>
                  <w:shd w:val="clear" w:color="auto" w:fill="C6D9F1"/>
                </w:tcPr>
                <w:p w:rsidR="00E20A17" w:rsidRPr="00D00D55" w:rsidRDefault="00E20A17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 xml:space="preserve">Impact to </w:t>
                  </w:r>
                  <w:r w:rsidR="00483C55">
                    <w:rPr>
                      <w:sz w:val="20"/>
                      <w:lang w:val="en-GB"/>
                    </w:rPr>
                    <w:t>LTE</w:t>
                  </w:r>
                  <w:r w:rsidRPr="00D00D55">
                    <w:rPr>
                      <w:sz w:val="20"/>
                      <w:lang w:val="en-GB"/>
                    </w:rPr>
                    <w:t xml:space="preserve"> PRBs</w:t>
                  </w:r>
                </w:p>
              </w:tc>
            </w:tr>
            <w:tr w:rsidR="00E20A17" w:rsidRPr="00E20A17" w:rsidTr="00D00D55">
              <w:trPr>
                <w:trHeight w:val="504"/>
                <w:jc w:val="center"/>
              </w:trPr>
              <w:tc>
                <w:tcPr>
                  <w:tcW w:w="1893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(a) uncoordinated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Good</w:t>
                  </w:r>
                </w:p>
              </w:tc>
              <w:tc>
                <w:tcPr>
                  <w:tcW w:w="1984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Marginal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Bad</w:t>
                  </w:r>
                </w:p>
              </w:tc>
              <w:tc>
                <w:tcPr>
                  <w:tcW w:w="2907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All OFDM symbols are affected in neighbour PRBs</w:t>
                  </w:r>
                </w:p>
              </w:tc>
            </w:tr>
            <w:tr w:rsidR="00E20A17" w:rsidRPr="00E20A17" w:rsidTr="00D00D55">
              <w:trPr>
                <w:trHeight w:val="277"/>
                <w:jc w:val="center"/>
              </w:trPr>
              <w:tc>
                <w:tcPr>
                  <w:tcW w:w="1893" w:type="dxa"/>
                  <w:shd w:val="clear" w:color="auto" w:fill="FFFFFF"/>
                </w:tcPr>
                <w:p w:rsidR="00E20A17" w:rsidRPr="00D00D55" w:rsidRDefault="00E20A17" w:rsidP="007D14BC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 xml:space="preserve">(b) </w:t>
                  </w:r>
                  <w:r w:rsidR="00FB4A6A" w:rsidRPr="00FB4A6A">
                    <w:rPr>
                      <w:sz w:val="20"/>
                      <w:lang w:val="en-GB"/>
                    </w:rPr>
                    <w:t>Not mapped on REs of OFDM symbol with CRS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Bad</w:t>
                  </w:r>
                </w:p>
              </w:tc>
              <w:tc>
                <w:tcPr>
                  <w:tcW w:w="1984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Marginal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Good</w:t>
                  </w:r>
                </w:p>
              </w:tc>
              <w:tc>
                <w:tcPr>
                  <w:tcW w:w="2907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8 OFDM symbols are affected in neighbour PRBs</w:t>
                  </w:r>
                </w:p>
              </w:tc>
            </w:tr>
            <w:tr w:rsidR="00E20A17" w:rsidRPr="00E20A17" w:rsidTr="00D00D55">
              <w:trPr>
                <w:trHeight w:val="690"/>
                <w:jc w:val="center"/>
              </w:trPr>
              <w:tc>
                <w:tcPr>
                  <w:tcW w:w="1893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(c) symbol boundary alignment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Marginal</w:t>
                  </w:r>
                </w:p>
              </w:tc>
              <w:tc>
                <w:tcPr>
                  <w:tcW w:w="1984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High</w:t>
                  </w:r>
                  <w:r w:rsidR="00483C55">
                    <w:rPr>
                      <w:sz w:val="20"/>
                      <w:lang w:val="en-GB"/>
                    </w:rPr>
                    <w:t xml:space="preserve"> </w:t>
                  </w:r>
                  <w:r w:rsidRPr="00D00D55">
                    <w:rPr>
                      <w:sz w:val="20"/>
                      <w:lang w:val="en-GB"/>
                    </w:rPr>
                    <w:t>(multi</w:t>
                  </w:r>
                  <w:r w:rsidR="00483C55">
                    <w:rPr>
                      <w:rFonts w:hint="eastAsia"/>
                      <w:sz w:val="20"/>
                      <w:lang w:val="en-GB"/>
                    </w:rPr>
                    <w:t>-</w:t>
                  </w:r>
                  <w:r w:rsidRPr="00D00D55">
                    <w:rPr>
                      <w:sz w:val="20"/>
                      <w:lang w:val="en-GB"/>
                    </w:rPr>
                    <w:t>position of REs)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Good</w:t>
                  </w:r>
                </w:p>
              </w:tc>
              <w:tc>
                <w:tcPr>
                  <w:tcW w:w="2907" w:type="dxa"/>
                  <w:shd w:val="clear" w:color="auto" w:fill="FFFFFF"/>
                </w:tcPr>
                <w:p w:rsidR="00E20A17" w:rsidRPr="00D00D55" w:rsidRDefault="00E20A17" w:rsidP="00E20A17">
                  <w:pPr>
                    <w:spacing w:after="120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  <w:lang w:val="en-GB"/>
                    </w:rPr>
                    <w:t>5 OFDM symbols are affected in neighbour PRBs</w:t>
                  </w:r>
                </w:p>
              </w:tc>
            </w:tr>
          </w:tbl>
          <w:p w:rsidR="00E20A17" w:rsidRPr="00177E59" w:rsidRDefault="00E20A17" w:rsidP="00D00D55">
            <w:pPr>
              <w:spacing w:after="120"/>
            </w:pPr>
          </w:p>
        </w:tc>
      </w:tr>
    </w:tbl>
    <w:p w:rsidR="00F3151B" w:rsidRPr="00DF5684" w:rsidRDefault="00F3151B" w:rsidP="00F3151B">
      <w:pPr>
        <w:spacing w:before="120"/>
        <w:ind w:left="1699" w:hangingChars="705" w:hanging="1699"/>
        <w:rPr>
          <w:b/>
          <w:lang w:val="en-GB"/>
        </w:rPr>
      </w:pPr>
    </w:p>
    <w:p w:rsidR="009D1BC2" w:rsidRDefault="00CC7E25" w:rsidP="002C75EA">
      <w:pPr>
        <w:spacing w:before="120"/>
        <w:jc w:val="both"/>
        <w:rPr>
          <w:lang w:val="en-GB"/>
        </w:rPr>
      </w:pPr>
      <w:r>
        <w:rPr>
          <w:rFonts w:hint="eastAsia"/>
          <w:lang w:val="en-GB"/>
        </w:rPr>
        <w:t>H</w:t>
      </w:r>
      <w:r>
        <w:rPr>
          <w:lang w:val="en-GB"/>
        </w:rPr>
        <w:t xml:space="preserve">ere, from NB-IoT UE point of view, </w:t>
      </w:r>
      <w:r w:rsidR="002C75EA">
        <w:rPr>
          <w:rFonts w:hint="eastAsia"/>
          <w:lang w:val="en-GB"/>
        </w:rPr>
        <w:t xml:space="preserve">if we consider </w:t>
      </w:r>
      <w:r w:rsidR="002C75EA">
        <w:rPr>
          <w:lang w:val="en-GB"/>
        </w:rPr>
        <w:t>using</w:t>
      </w:r>
      <w:r w:rsidR="002C75EA">
        <w:rPr>
          <w:rFonts w:hint="eastAsia"/>
          <w:lang w:val="en-GB"/>
        </w:rPr>
        <w:t xml:space="preserve"> a mapping like </w:t>
      </w:r>
      <w:r w:rsidR="00483C55">
        <w:rPr>
          <w:lang w:val="en-GB"/>
        </w:rPr>
        <w:t xml:space="preserve">(b) or </w:t>
      </w:r>
      <w:r w:rsidR="002C75EA">
        <w:rPr>
          <w:rFonts w:hint="eastAsia"/>
          <w:lang w:val="en-GB"/>
        </w:rPr>
        <w:t xml:space="preserve">(c) for in-band operation, there would be a need to support extended CP with two </w:t>
      </w:r>
      <w:r w:rsidR="002C75EA">
        <w:rPr>
          <w:lang w:val="en-GB"/>
        </w:rPr>
        <w:t>different</w:t>
      </w:r>
      <w:r w:rsidR="002C75EA">
        <w:rPr>
          <w:rFonts w:hint="eastAsia"/>
          <w:lang w:val="en-GB"/>
        </w:rPr>
        <w:t xml:space="preserve"> </w:t>
      </w:r>
      <w:r w:rsidR="002C75EA">
        <w:rPr>
          <w:lang w:val="en-GB"/>
        </w:rPr>
        <w:t>behaviour</w:t>
      </w:r>
      <w:r w:rsidR="002C75EA">
        <w:rPr>
          <w:rFonts w:hint="eastAsia"/>
          <w:lang w:val="en-GB"/>
        </w:rPr>
        <w:t xml:space="preserve">s between in-band and guard/stand-alone operations. </w:t>
      </w:r>
      <w:r w:rsidR="002C75EA">
        <w:rPr>
          <w:lang w:val="en-GB"/>
        </w:rPr>
        <w:t>T</w:t>
      </w:r>
      <w:r w:rsidR="002C75EA">
        <w:rPr>
          <w:rFonts w:hint="eastAsia"/>
          <w:lang w:val="en-GB"/>
        </w:rPr>
        <w:t xml:space="preserve">he UE needs to adjust </w:t>
      </w:r>
      <w:r w:rsidR="002C75EA">
        <w:rPr>
          <w:lang w:val="en-GB"/>
        </w:rPr>
        <w:t>resource</w:t>
      </w:r>
      <w:r w:rsidR="002C75EA">
        <w:rPr>
          <w:rFonts w:hint="eastAsia"/>
          <w:lang w:val="en-GB"/>
        </w:rPr>
        <w:t xml:space="preserve"> element position for extended CP case by case. Therefore, we need to evaluate validity of scenarios and complexity to support such scenarios. </w:t>
      </w:r>
    </w:p>
    <w:p w:rsidR="00483C55" w:rsidRPr="00CC7E25" w:rsidRDefault="00483C55" w:rsidP="002C75EA">
      <w:pPr>
        <w:spacing w:before="120"/>
        <w:jc w:val="both"/>
        <w:rPr>
          <w:lang w:val="en-GB"/>
        </w:rPr>
      </w:pPr>
    </w:p>
    <w:p w:rsidR="0014645E" w:rsidRDefault="00483C55" w:rsidP="00075B9F">
      <w:pPr>
        <w:spacing w:before="120"/>
        <w:ind w:left="1699" w:hangingChars="705" w:hanging="1699"/>
        <w:rPr>
          <w:b/>
          <w:lang w:val="en-GB"/>
        </w:rPr>
      </w:pPr>
      <w:r>
        <w:rPr>
          <w:b/>
          <w:lang w:val="en-GB"/>
        </w:rPr>
        <w:t>Observation</w:t>
      </w:r>
      <w:r>
        <w:rPr>
          <w:rFonts w:hint="eastAsia"/>
          <w:b/>
          <w:lang w:val="en-GB"/>
        </w:rPr>
        <w:t xml:space="preserve"> </w:t>
      </w:r>
      <w:r>
        <w:rPr>
          <w:b/>
          <w:lang w:val="en-GB"/>
        </w:rPr>
        <w:t>1</w:t>
      </w:r>
      <w:r>
        <w:rPr>
          <w:rFonts w:hint="eastAsia"/>
          <w:b/>
          <w:lang w:val="en-GB"/>
        </w:rPr>
        <w:t xml:space="preserve">:  </w:t>
      </w:r>
      <w:r>
        <w:rPr>
          <w:rFonts w:hint="eastAsia"/>
          <w:b/>
          <w:lang w:val="en-GB"/>
        </w:rPr>
        <w:tab/>
      </w:r>
      <w:r w:rsidR="00797A46">
        <w:rPr>
          <w:b/>
          <w:lang w:val="en-GB"/>
        </w:rPr>
        <w:t>Accommodation of different CP between LTE and NB-IoT has the same issue as different subcarrier spacing</w:t>
      </w:r>
      <w:r w:rsidR="00543FB2">
        <w:rPr>
          <w:b/>
          <w:lang w:val="en-GB"/>
        </w:rPr>
        <w:t>.</w:t>
      </w:r>
    </w:p>
    <w:p w:rsidR="00E97E73" w:rsidRDefault="00E97E73" w:rsidP="00075B9F">
      <w:pPr>
        <w:spacing w:before="120"/>
        <w:ind w:left="1699" w:hangingChars="705" w:hanging="1699"/>
        <w:rPr>
          <w:b/>
          <w:lang w:val="en-GB"/>
        </w:rPr>
      </w:pPr>
    </w:p>
    <w:p w:rsidR="00E97E73" w:rsidRDefault="00E97E73" w:rsidP="00E97E73">
      <w:pPr>
        <w:spacing w:before="120"/>
        <w:ind w:left="1699" w:hangingChars="705" w:hanging="1699"/>
        <w:rPr>
          <w:b/>
          <w:lang w:val="en-GB"/>
        </w:rPr>
      </w:pPr>
      <w:r>
        <w:rPr>
          <w:b/>
          <w:lang w:val="en-GB"/>
        </w:rPr>
        <w:t>Observation</w:t>
      </w:r>
      <w:r>
        <w:rPr>
          <w:rFonts w:hint="eastAsia"/>
          <w:b/>
          <w:lang w:val="en-GB"/>
        </w:rPr>
        <w:t xml:space="preserve"> </w:t>
      </w:r>
      <w:r>
        <w:rPr>
          <w:b/>
          <w:lang w:val="en-GB"/>
        </w:rPr>
        <w:t>2</w:t>
      </w:r>
      <w:r>
        <w:rPr>
          <w:rFonts w:hint="eastAsia"/>
          <w:b/>
          <w:lang w:val="en-GB"/>
        </w:rPr>
        <w:t xml:space="preserve">:  </w:t>
      </w:r>
      <w:r>
        <w:rPr>
          <w:rFonts w:hint="eastAsia"/>
          <w:b/>
          <w:lang w:val="en-GB"/>
        </w:rPr>
        <w:tab/>
      </w:r>
      <w:r>
        <w:rPr>
          <w:b/>
          <w:lang w:val="en-GB"/>
        </w:rPr>
        <w:t xml:space="preserve">Dependent on the </w:t>
      </w:r>
      <w:r w:rsidR="002525FA">
        <w:rPr>
          <w:b/>
          <w:lang w:val="en-GB"/>
        </w:rPr>
        <w:t>CP length of LTE, UE behaviour may be different</w:t>
      </w:r>
      <w:r>
        <w:rPr>
          <w:b/>
          <w:lang w:val="en-GB"/>
        </w:rPr>
        <w:t>.</w:t>
      </w:r>
    </w:p>
    <w:p w:rsidR="00E97E73" w:rsidRPr="00E97E73" w:rsidRDefault="00E97E73" w:rsidP="00075B9F">
      <w:pPr>
        <w:spacing w:before="120"/>
        <w:ind w:left="1699" w:hangingChars="705" w:hanging="1699"/>
        <w:rPr>
          <w:b/>
          <w:lang w:val="en-GB"/>
        </w:rPr>
      </w:pPr>
    </w:p>
    <w:p w:rsidR="00F3452C" w:rsidRDefault="00F3452C" w:rsidP="002A692C">
      <w:pPr>
        <w:pStyle w:val="2"/>
        <w:tabs>
          <w:tab w:val="clear" w:pos="1994"/>
          <w:tab w:val="num" w:pos="540"/>
        </w:tabs>
        <w:spacing w:before="120" w:line="360" w:lineRule="auto"/>
        <w:ind w:left="1996" w:hanging="1996"/>
        <w:rPr>
          <w:b/>
          <w:lang w:val="en-GB"/>
        </w:rPr>
      </w:pPr>
      <w:r>
        <w:rPr>
          <w:b/>
          <w:lang w:val="en-GB"/>
        </w:rPr>
        <w:t>Accommodation</w:t>
      </w:r>
      <w:r>
        <w:rPr>
          <w:rFonts w:hint="eastAsia"/>
          <w:b/>
          <w:lang w:val="en-GB"/>
        </w:rPr>
        <w:t xml:space="preserve"> of different subcarrier spacing NB-</w:t>
      </w:r>
      <w:r w:rsidR="00981013">
        <w:rPr>
          <w:rFonts w:hint="eastAsia"/>
          <w:b/>
          <w:lang w:val="en-GB"/>
        </w:rPr>
        <w:t>I</w:t>
      </w:r>
      <w:r w:rsidR="00981013">
        <w:rPr>
          <w:b/>
          <w:lang w:val="en-GB"/>
        </w:rPr>
        <w:t>o</w:t>
      </w:r>
      <w:r w:rsidR="00981013">
        <w:rPr>
          <w:rFonts w:hint="eastAsia"/>
          <w:b/>
          <w:lang w:val="en-GB"/>
        </w:rPr>
        <w:t>T</w:t>
      </w:r>
    </w:p>
    <w:p w:rsidR="00A707C6" w:rsidRDefault="00BD5D3B" w:rsidP="002A692C">
      <w:pPr>
        <w:spacing w:before="120"/>
        <w:jc w:val="both"/>
        <w:rPr>
          <w:lang w:val="en-GB"/>
        </w:rPr>
      </w:pPr>
      <w:r>
        <w:rPr>
          <w:rFonts w:hint="eastAsia"/>
          <w:lang w:val="en-GB"/>
        </w:rPr>
        <w:t>If NB-</w:t>
      </w:r>
      <w:r w:rsidR="00981013">
        <w:rPr>
          <w:rFonts w:hint="eastAsia"/>
          <w:lang w:val="en-GB"/>
        </w:rPr>
        <w:t>I</w:t>
      </w:r>
      <w:r w:rsidR="00981013">
        <w:rPr>
          <w:lang w:val="en-GB"/>
        </w:rPr>
        <w:t>o</w:t>
      </w:r>
      <w:r w:rsidR="00981013">
        <w:rPr>
          <w:rFonts w:hint="eastAsia"/>
          <w:lang w:val="en-GB"/>
        </w:rPr>
        <w:t xml:space="preserve">T </w:t>
      </w:r>
      <w:r>
        <w:rPr>
          <w:rFonts w:hint="eastAsia"/>
          <w:lang w:val="en-GB"/>
        </w:rPr>
        <w:t xml:space="preserve">uses 3.75 kHz subcarrier spacing and LTE uses 15 kHz subcarrier spacing, similar problem to </w:t>
      </w:r>
      <w:r>
        <w:rPr>
          <w:lang w:val="en-GB"/>
        </w:rPr>
        <w:t>above</w:t>
      </w:r>
      <w:r>
        <w:rPr>
          <w:rFonts w:hint="eastAsia"/>
          <w:lang w:val="en-GB"/>
        </w:rPr>
        <w:t xml:space="preserve"> can occur. </w:t>
      </w:r>
      <w:r w:rsidR="00981013">
        <w:rPr>
          <w:lang w:val="en-GB"/>
        </w:rPr>
        <w:t>Figu</w:t>
      </w:r>
      <w:r w:rsidR="0096197C">
        <w:rPr>
          <w:lang w:val="en-GB"/>
        </w:rPr>
        <w:t xml:space="preserve">re </w:t>
      </w:r>
      <w:r w:rsidR="001C46F9">
        <w:rPr>
          <w:lang w:val="en-GB"/>
        </w:rPr>
        <w:t>2</w:t>
      </w:r>
      <w:r w:rsidR="0096197C">
        <w:rPr>
          <w:lang w:val="en-GB"/>
        </w:rPr>
        <w:t xml:space="preserve"> shows two examples of accommodation of different subcarrier spacing between LTE and NB-IoT</w:t>
      </w:r>
    </w:p>
    <w:p w:rsidR="0096197C" w:rsidRPr="00BD5D3B" w:rsidRDefault="0096197C" w:rsidP="002A692C">
      <w:pPr>
        <w:spacing w:before="120"/>
        <w:jc w:val="both"/>
        <w:rPr>
          <w:lang w:val="en-GB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68"/>
      </w:tblGrid>
      <w:tr w:rsidR="0096197C" w:rsidRPr="00F1397A" w:rsidTr="00D00D55">
        <w:trPr>
          <w:jc w:val="center"/>
        </w:trPr>
        <w:tc>
          <w:tcPr>
            <w:tcW w:w="10162" w:type="dxa"/>
            <w:shd w:val="clear" w:color="auto" w:fill="auto"/>
            <w:vAlign w:val="center"/>
          </w:tcPr>
          <w:p w:rsidR="00361EB4" w:rsidRDefault="0096197C" w:rsidP="00D00D55">
            <w:pPr>
              <w:spacing w:after="120"/>
              <w:jc w:val="center"/>
              <w:rPr>
                <w:lang w:val="en-GB"/>
              </w:rPr>
            </w:pPr>
            <w:r>
              <w:object w:dxaOrig="24601" w:dyaOrig="11086">
                <v:shape id="_x0000_i1026" type="#_x0000_t75" style="width:498.05pt;height:224.3pt" o:ole="">
                  <v:imagedata r:id="rId10" o:title=""/>
                </v:shape>
                <o:OLEObject Type="Embed" ProgID="Visio.Drawing.15" ShapeID="_x0000_i1026" DrawAspect="Content" ObjectID="_1508755107" r:id="rId11"/>
              </w:object>
            </w:r>
          </w:p>
        </w:tc>
      </w:tr>
      <w:tr w:rsidR="0096197C" w:rsidRPr="00F1397A" w:rsidTr="00D00D55">
        <w:trPr>
          <w:jc w:val="center"/>
        </w:trPr>
        <w:tc>
          <w:tcPr>
            <w:tcW w:w="10162" w:type="dxa"/>
            <w:shd w:val="clear" w:color="auto" w:fill="auto"/>
            <w:vAlign w:val="center"/>
          </w:tcPr>
          <w:p w:rsidR="0096197C" w:rsidRPr="00177E59" w:rsidRDefault="0096197C" w:rsidP="001C46F9">
            <w:pPr>
              <w:spacing w:after="120"/>
              <w:jc w:val="center"/>
            </w:pPr>
            <w:r>
              <w:rPr>
                <w:rFonts w:hint="eastAsia"/>
              </w:rPr>
              <w:t xml:space="preserve">Figure </w:t>
            </w:r>
            <w:r w:rsidR="001C46F9">
              <w:t>2</w:t>
            </w:r>
            <w:r>
              <w:rPr>
                <w:rFonts w:hint="eastAsia"/>
              </w:rPr>
              <w:t xml:space="preserve">. Examples of </w:t>
            </w:r>
            <w:r>
              <w:t>accommodation</w:t>
            </w:r>
            <w:r>
              <w:rPr>
                <w:rFonts w:hint="eastAsia"/>
              </w:rPr>
              <w:t xml:space="preserve"> </w:t>
            </w:r>
            <w:r>
              <w:t>of different CP length (15 kHz: LTE, 3.75 kHz: NB-IoT)</w:t>
            </w:r>
          </w:p>
        </w:tc>
      </w:tr>
    </w:tbl>
    <w:p w:rsidR="00087FE9" w:rsidRDefault="00087FE9" w:rsidP="002A692C">
      <w:pPr>
        <w:spacing w:before="120"/>
        <w:ind w:left="1699" w:hangingChars="705" w:hanging="1699"/>
        <w:rPr>
          <w:b/>
          <w:lang w:val="en-GB"/>
        </w:rPr>
      </w:pPr>
    </w:p>
    <w:p w:rsidR="00487717" w:rsidRPr="00BD1170" w:rsidRDefault="001733A8" w:rsidP="00BD1170">
      <w:pPr>
        <w:spacing w:before="120"/>
        <w:jc w:val="both"/>
        <w:rPr>
          <w:lang w:val="en-GB"/>
        </w:rPr>
      </w:pPr>
      <w:r w:rsidRPr="00C1265A">
        <w:rPr>
          <w:rFonts w:hint="eastAsia"/>
          <w:lang w:val="en-GB"/>
        </w:rPr>
        <w:t>In (</w:t>
      </w:r>
      <w:r>
        <w:rPr>
          <w:rFonts w:hint="eastAsia"/>
          <w:lang w:val="en-GB"/>
        </w:rPr>
        <w:t>a</w:t>
      </w:r>
      <w:r w:rsidRPr="00C1265A">
        <w:rPr>
          <w:rFonts w:hint="eastAsia"/>
          <w:lang w:val="en-GB"/>
        </w:rPr>
        <w:t xml:space="preserve">), </w:t>
      </w:r>
      <w:r>
        <w:rPr>
          <w:rFonts w:hint="eastAsia"/>
          <w:lang w:val="en-GB"/>
        </w:rPr>
        <w:t>NB-IOT 3.75</w:t>
      </w:r>
      <w:r w:rsidR="0047570E">
        <w:rPr>
          <w:lang w:val="en-GB"/>
        </w:rPr>
        <w:t xml:space="preserve"> </w:t>
      </w:r>
      <w:r>
        <w:rPr>
          <w:rFonts w:hint="eastAsia"/>
          <w:lang w:val="en-GB"/>
        </w:rPr>
        <w:t>kHz RE</w:t>
      </w:r>
      <w:r>
        <w:rPr>
          <w:lang w:val="en-GB"/>
        </w:rPr>
        <w:t>’</w:t>
      </w:r>
      <w:r>
        <w:rPr>
          <w:rFonts w:hint="eastAsia"/>
          <w:lang w:val="en-GB"/>
        </w:rPr>
        <w:t>s and normal CP</w:t>
      </w:r>
      <w:r>
        <w:rPr>
          <w:lang w:val="en-GB"/>
        </w:rPr>
        <w:t>’</w:t>
      </w:r>
      <w:r>
        <w:rPr>
          <w:rFonts w:hint="eastAsia"/>
          <w:lang w:val="en-GB"/>
        </w:rPr>
        <w:t xml:space="preserve">s CRS REs are fully </w:t>
      </w:r>
      <w:r>
        <w:rPr>
          <w:lang w:val="en-GB"/>
        </w:rPr>
        <w:t>overlapped</w:t>
      </w:r>
      <w:r w:rsidRPr="00C1265A">
        <w:rPr>
          <w:rFonts w:hint="eastAsia"/>
          <w:lang w:val="en-GB"/>
        </w:rPr>
        <w:t>.</w:t>
      </w:r>
      <w:r>
        <w:rPr>
          <w:rFonts w:hint="eastAsia"/>
          <w:lang w:val="en-GB"/>
        </w:rPr>
        <w:t xml:space="preserve"> This </w:t>
      </w:r>
      <w:r w:rsidR="00404C85">
        <w:rPr>
          <w:lang w:val="en-GB"/>
        </w:rPr>
        <w:t xml:space="preserve">of course </w:t>
      </w:r>
      <w:r>
        <w:rPr>
          <w:rFonts w:hint="eastAsia"/>
          <w:lang w:val="en-GB"/>
        </w:rPr>
        <w:t xml:space="preserve">causes severe </w:t>
      </w:r>
      <w:r>
        <w:rPr>
          <w:lang w:val="en-GB"/>
        </w:rPr>
        <w:t>interference</w:t>
      </w:r>
      <w:r>
        <w:rPr>
          <w:rFonts w:hint="eastAsia"/>
          <w:lang w:val="en-GB"/>
        </w:rPr>
        <w:t xml:space="preserve"> in NB-</w:t>
      </w:r>
      <w:r w:rsidR="009527D1">
        <w:rPr>
          <w:rFonts w:hint="eastAsia"/>
          <w:lang w:val="en-GB"/>
        </w:rPr>
        <w:t>I</w:t>
      </w:r>
      <w:r w:rsidR="009527D1">
        <w:rPr>
          <w:lang w:val="en-GB"/>
        </w:rPr>
        <w:t>o</w:t>
      </w:r>
      <w:r w:rsidR="009527D1">
        <w:rPr>
          <w:rFonts w:hint="eastAsia"/>
          <w:lang w:val="en-GB"/>
        </w:rPr>
        <w:t xml:space="preserve">T </w:t>
      </w:r>
      <w:r>
        <w:rPr>
          <w:rFonts w:hint="eastAsia"/>
          <w:lang w:val="en-GB"/>
        </w:rPr>
        <w:t>UE and legacy LTE UE each other and CRS based channel estimation</w:t>
      </w:r>
      <w:r w:rsidRPr="00C1265A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in legacy LTE UEs. </w:t>
      </w:r>
    </w:p>
    <w:p w:rsidR="005206B8" w:rsidRDefault="00F2688C" w:rsidP="002A692C">
      <w:pPr>
        <w:spacing w:before="120"/>
        <w:jc w:val="both"/>
        <w:rPr>
          <w:lang w:val="en-GB"/>
        </w:rPr>
      </w:pPr>
      <w:r w:rsidRPr="001E6183">
        <w:rPr>
          <w:rFonts w:hint="eastAsia"/>
          <w:lang w:val="en-GB"/>
        </w:rPr>
        <w:t>In (</w:t>
      </w:r>
      <w:r>
        <w:rPr>
          <w:rFonts w:hint="eastAsia"/>
          <w:lang w:val="en-GB"/>
        </w:rPr>
        <w:t>b</w:t>
      </w:r>
      <w:r w:rsidRPr="001E6183">
        <w:rPr>
          <w:rFonts w:hint="eastAsia"/>
          <w:lang w:val="en-GB"/>
        </w:rPr>
        <w:t xml:space="preserve">), </w:t>
      </w:r>
      <w:r>
        <w:rPr>
          <w:lang w:val="en-GB"/>
        </w:rPr>
        <w:t>subcarriers</w:t>
      </w:r>
      <w:r>
        <w:rPr>
          <w:rFonts w:hint="eastAsia"/>
          <w:lang w:val="en-GB"/>
        </w:rPr>
        <w:t xml:space="preserve"> which include CRS are not used for NB-</w:t>
      </w:r>
      <w:r w:rsidR="009527D1">
        <w:rPr>
          <w:rFonts w:hint="eastAsia"/>
          <w:lang w:val="en-GB"/>
        </w:rPr>
        <w:t>I</w:t>
      </w:r>
      <w:r w:rsidR="009527D1">
        <w:rPr>
          <w:lang w:val="en-GB"/>
        </w:rPr>
        <w:t>o</w:t>
      </w:r>
      <w:r w:rsidR="009527D1">
        <w:rPr>
          <w:rFonts w:hint="eastAsia"/>
          <w:lang w:val="en-GB"/>
        </w:rPr>
        <w:t xml:space="preserve">T </w:t>
      </w:r>
      <w:r>
        <w:rPr>
          <w:rFonts w:hint="eastAsia"/>
          <w:lang w:val="en-GB"/>
        </w:rPr>
        <w:t>and some protection signal</w:t>
      </w:r>
      <w:r w:rsidR="001733A8">
        <w:rPr>
          <w:rFonts w:hint="eastAsia"/>
          <w:lang w:val="en-GB"/>
        </w:rPr>
        <w:t>s</w:t>
      </w:r>
      <w:r>
        <w:rPr>
          <w:rFonts w:hint="eastAsia"/>
          <w:lang w:val="en-GB"/>
        </w:rPr>
        <w:t xml:space="preserve"> </w:t>
      </w:r>
      <w:r w:rsidR="001733A8">
        <w:rPr>
          <w:rFonts w:hint="eastAsia"/>
          <w:lang w:val="en-GB"/>
        </w:rPr>
        <w:t>for NB-</w:t>
      </w:r>
      <w:r w:rsidR="009527D1">
        <w:rPr>
          <w:rFonts w:hint="eastAsia"/>
          <w:lang w:val="en-GB"/>
        </w:rPr>
        <w:t>I</w:t>
      </w:r>
      <w:r w:rsidR="009527D1">
        <w:rPr>
          <w:lang w:val="en-GB"/>
        </w:rPr>
        <w:t>o</w:t>
      </w:r>
      <w:r w:rsidR="009527D1">
        <w:rPr>
          <w:rFonts w:hint="eastAsia"/>
          <w:lang w:val="en-GB"/>
        </w:rPr>
        <w:t xml:space="preserve">T </w:t>
      </w:r>
      <w:r>
        <w:rPr>
          <w:rFonts w:hint="eastAsia"/>
          <w:lang w:val="en-GB"/>
        </w:rPr>
        <w:t xml:space="preserve">are added. </w:t>
      </w:r>
      <w:r w:rsidR="004757C7">
        <w:rPr>
          <w:rFonts w:hint="eastAsia"/>
          <w:lang w:val="en-GB"/>
        </w:rPr>
        <w:t>Also, 3.75</w:t>
      </w:r>
      <w:r w:rsidR="0047570E">
        <w:rPr>
          <w:lang w:val="en-GB"/>
        </w:rPr>
        <w:t xml:space="preserve"> </w:t>
      </w:r>
      <w:r w:rsidR="004757C7">
        <w:rPr>
          <w:rFonts w:hint="eastAsia"/>
          <w:lang w:val="en-GB"/>
        </w:rPr>
        <w:t xml:space="preserve">kHz </w:t>
      </w:r>
      <w:r w:rsidR="004757C7">
        <w:rPr>
          <w:lang w:val="en-GB"/>
        </w:rPr>
        <w:t>subcarriers</w:t>
      </w:r>
      <w:r w:rsidR="004757C7">
        <w:rPr>
          <w:rFonts w:hint="eastAsia"/>
          <w:lang w:val="en-GB"/>
        </w:rPr>
        <w:t xml:space="preserve"> next to 15</w:t>
      </w:r>
      <w:r w:rsidR="0047570E">
        <w:rPr>
          <w:lang w:val="en-GB"/>
        </w:rPr>
        <w:t xml:space="preserve"> </w:t>
      </w:r>
      <w:r w:rsidR="004757C7">
        <w:rPr>
          <w:rFonts w:hint="eastAsia"/>
          <w:lang w:val="en-GB"/>
        </w:rPr>
        <w:t xml:space="preserve">kHz subcarriers are punctured. </w:t>
      </w:r>
      <w:r w:rsidR="001733A8">
        <w:rPr>
          <w:rFonts w:hint="eastAsia"/>
          <w:lang w:val="en-GB"/>
        </w:rPr>
        <w:t xml:space="preserve">This may still cause some </w:t>
      </w:r>
      <w:r w:rsidR="001733A8">
        <w:rPr>
          <w:lang w:val="en-GB"/>
        </w:rPr>
        <w:t>interference</w:t>
      </w:r>
      <w:r w:rsidR="001733A8">
        <w:rPr>
          <w:rFonts w:hint="eastAsia"/>
          <w:lang w:val="en-GB"/>
        </w:rPr>
        <w:t xml:space="preserve"> to LTE CRS REs and need to be evaluated </w:t>
      </w:r>
      <w:r w:rsidR="001733A8">
        <w:rPr>
          <w:lang w:val="en-GB"/>
        </w:rPr>
        <w:t>further</w:t>
      </w:r>
      <w:r w:rsidR="001733A8">
        <w:rPr>
          <w:rFonts w:hint="eastAsia"/>
          <w:lang w:val="en-GB"/>
        </w:rPr>
        <w:t>.</w:t>
      </w:r>
      <w:r w:rsidR="00BD1170" w:rsidRPr="00BD1170">
        <w:rPr>
          <w:rFonts w:hint="eastAsia"/>
          <w:lang w:val="en-GB"/>
        </w:rPr>
        <w:t xml:space="preserve"> </w:t>
      </w:r>
      <w:r w:rsidR="00BD1170">
        <w:rPr>
          <w:rFonts w:hint="eastAsia"/>
          <w:lang w:val="en-GB"/>
        </w:rPr>
        <w:t xml:space="preserve">For protecting 3.75 kHz </w:t>
      </w:r>
      <w:r w:rsidR="00BD1170">
        <w:rPr>
          <w:lang w:val="en-GB"/>
        </w:rPr>
        <w:t>subcarriers</w:t>
      </w:r>
      <w:r w:rsidR="00BD1170">
        <w:rPr>
          <w:rFonts w:hint="eastAsia"/>
          <w:lang w:val="en-GB"/>
        </w:rPr>
        <w:t xml:space="preserve">, eNB can apply some </w:t>
      </w:r>
      <w:r w:rsidR="00BD1170">
        <w:rPr>
          <w:lang w:val="en-GB"/>
        </w:rPr>
        <w:t>scheduling</w:t>
      </w:r>
      <w:r w:rsidR="00BD1170">
        <w:rPr>
          <w:rFonts w:hint="eastAsia"/>
          <w:lang w:val="en-GB"/>
        </w:rPr>
        <w:t xml:space="preserve"> solution (e.g., not to schedule neighbour </w:t>
      </w:r>
      <w:r w:rsidR="00BD1170">
        <w:rPr>
          <w:lang w:val="en-GB"/>
        </w:rPr>
        <w:t>resource</w:t>
      </w:r>
      <w:r w:rsidR="00BD1170">
        <w:rPr>
          <w:rFonts w:hint="eastAsia"/>
          <w:lang w:val="en-GB"/>
        </w:rPr>
        <w:t xml:space="preserve"> blocks to NB-</w:t>
      </w:r>
      <w:r w:rsidR="009527D1">
        <w:rPr>
          <w:rFonts w:hint="eastAsia"/>
          <w:lang w:val="en-GB"/>
        </w:rPr>
        <w:t>I</w:t>
      </w:r>
      <w:r w:rsidR="009527D1">
        <w:rPr>
          <w:lang w:val="en-GB"/>
        </w:rPr>
        <w:t>o</w:t>
      </w:r>
      <w:r w:rsidR="009527D1">
        <w:rPr>
          <w:rFonts w:hint="eastAsia"/>
          <w:lang w:val="en-GB"/>
        </w:rPr>
        <w:t xml:space="preserve">T </w:t>
      </w:r>
      <w:r w:rsidR="00BD1170">
        <w:rPr>
          <w:lang w:val="en-GB"/>
        </w:rPr>
        <w:t>resource</w:t>
      </w:r>
      <w:r w:rsidR="00BD1170">
        <w:rPr>
          <w:rFonts w:hint="eastAsia"/>
          <w:lang w:val="en-GB"/>
        </w:rPr>
        <w:t xml:space="preserve"> blocks). </w:t>
      </w:r>
    </w:p>
    <w:p w:rsidR="005206B8" w:rsidRDefault="005206B8" w:rsidP="00404C85">
      <w:pPr>
        <w:spacing w:before="120"/>
        <w:jc w:val="both"/>
        <w:rPr>
          <w:lang w:val="en-GB"/>
        </w:rPr>
      </w:pPr>
      <w:r>
        <w:rPr>
          <w:rFonts w:hint="eastAsia"/>
          <w:lang w:val="en-GB"/>
        </w:rPr>
        <w:t xml:space="preserve">Figure </w:t>
      </w:r>
      <w:r w:rsidR="001C46F9">
        <w:rPr>
          <w:lang w:val="en-GB"/>
        </w:rPr>
        <w:t>3</w:t>
      </w:r>
      <w:r w:rsidR="00BB6136">
        <w:rPr>
          <w:lang w:val="en-GB"/>
        </w:rPr>
        <w:t xml:space="preserve"> shows the power spectrum density of NB-IoT signal in case (b) </w:t>
      </w:r>
      <w:r w:rsidR="00404C85">
        <w:rPr>
          <w:lang w:val="en-GB"/>
        </w:rPr>
        <w:t>where the number of punctured subcarriers is 0</w:t>
      </w:r>
      <w:r w:rsidR="002004EA">
        <w:rPr>
          <w:lang w:val="en-GB"/>
        </w:rPr>
        <w:t>,</w:t>
      </w:r>
      <w:r w:rsidR="00404C85">
        <w:rPr>
          <w:lang w:val="en-GB"/>
        </w:rPr>
        <w:t xml:space="preserve"> 1</w:t>
      </w:r>
      <w:r w:rsidR="002004EA">
        <w:rPr>
          <w:lang w:val="en-GB"/>
        </w:rPr>
        <w:t>, and 2</w:t>
      </w:r>
      <w:r w:rsidR="00404C85">
        <w:rPr>
          <w:lang w:val="en-GB"/>
        </w:rPr>
        <w:t xml:space="preserve"> NB-IoT subcarrier next to CRS subcarrier. In this evaluation, </w:t>
      </w:r>
      <w:r w:rsidR="00BB616B">
        <w:rPr>
          <w:lang w:val="en-GB"/>
        </w:rPr>
        <w:t>we evaluate that</w:t>
      </w:r>
      <w:r w:rsidR="00404C85">
        <w:rPr>
          <w:lang w:val="en-GB"/>
        </w:rPr>
        <w:t xml:space="preserve"> LTE UEs apply FFT window to OFDM symbols with normal CP</w:t>
      </w:r>
      <w:r w:rsidR="00BB616B">
        <w:rPr>
          <w:lang w:val="en-GB"/>
        </w:rPr>
        <w:t>,</w:t>
      </w:r>
      <w:r w:rsidR="00404C85">
        <w:rPr>
          <w:lang w:val="en-GB"/>
        </w:rPr>
        <w:t xml:space="preserve"> </w:t>
      </w:r>
      <w:r w:rsidR="00BB616B">
        <w:rPr>
          <w:lang w:val="en-GB"/>
        </w:rPr>
        <w:t xml:space="preserve">and </w:t>
      </w:r>
      <w:r w:rsidR="00404C85">
        <w:rPr>
          <w:lang w:val="en-GB"/>
        </w:rPr>
        <w:t>power spectr</w:t>
      </w:r>
      <w:r w:rsidR="00182DA8">
        <w:rPr>
          <w:lang w:val="en-GB"/>
        </w:rPr>
        <w:t>um</w:t>
      </w:r>
      <w:r w:rsidR="00404C85">
        <w:rPr>
          <w:lang w:val="en-GB"/>
        </w:rPr>
        <w:t xml:space="preserve"> of NB-IoT signal in this case.</w:t>
      </w:r>
      <w:r w:rsidR="00BB616B">
        <w:rPr>
          <w:lang w:val="en-GB"/>
        </w:rPr>
        <w:t xml:space="preserve"> Moreover, NB-IoT band is applied to </w:t>
      </w:r>
      <w:r w:rsidR="003C38B4">
        <w:rPr>
          <w:lang w:val="en-GB"/>
        </w:rPr>
        <w:t xml:space="preserve">a </w:t>
      </w:r>
      <w:r w:rsidR="00BB616B">
        <w:rPr>
          <w:lang w:val="en-GB"/>
        </w:rPr>
        <w:t>PRB with its index = 9 in LTE system.</w:t>
      </w:r>
    </w:p>
    <w:p w:rsidR="00404C85" w:rsidRDefault="00404C85" w:rsidP="00404C85">
      <w:pPr>
        <w:spacing w:before="120"/>
        <w:jc w:val="both"/>
        <w:rPr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68"/>
      </w:tblGrid>
      <w:tr w:rsidR="00404C85" w:rsidRPr="00F1397A" w:rsidTr="007551CA">
        <w:tc>
          <w:tcPr>
            <w:tcW w:w="10162" w:type="dxa"/>
            <w:shd w:val="clear" w:color="auto" w:fill="auto"/>
            <w:vAlign w:val="center"/>
          </w:tcPr>
          <w:p w:rsidR="00404C85" w:rsidRPr="00E65DA5" w:rsidRDefault="00E65DA5" w:rsidP="00D00D55">
            <w:pPr>
              <w:spacing w:after="120"/>
              <w:jc w:val="center"/>
              <w:rPr>
                <w:lang w:val="en-GB"/>
              </w:rPr>
            </w:pPr>
            <w:r w:rsidRPr="00E65DA5">
              <w:rPr>
                <w:noProof/>
              </w:rPr>
              <w:drawing>
                <wp:inline distT="0" distB="0" distL="0" distR="0" wp14:anchorId="7132D4E5" wp14:editId="461E4728">
                  <wp:extent cx="4057274" cy="2880000"/>
                  <wp:effectExtent l="0" t="0" r="0" b="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7274" cy="28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4C85" w:rsidRPr="00F1397A" w:rsidTr="007551CA">
        <w:tc>
          <w:tcPr>
            <w:tcW w:w="10162" w:type="dxa"/>
            <w:shd w:val="clear" w:color="auto" w:fill="auto"/>
            <w:vAlign w:val="center"/>
          </w:tcPr>
          <w:p w:rsidR="00404C85" w:rsidRPr="00177E59" w:rsidRDefault="00404C85" w:rsidP="001C46F9">
            <w:pPr>
              <w:spacing w:after="120"/>
              <w:jc w:val="center"/>
            </w:pPr>
            <w:r>
              <w:rPr>
                <w:rFonts w:hint="eastAsia"/>
              </w:rPr>
              <w:t xml:space="preserve">Figure </w:t>
            </w:r>
            <w:r w:rsidR="001C46F9">
              <w:t>3</w:t>
            </w:r>
            <w:r>
              <w:rPr>
                <w:rFonts w:hint="eastAsia"/>
              </w:rPr>
              <w:t xml:space="preserve">. </w:t>
            </w:r>
            <w:r>
              <w:t xml:space="preserve">Power spectrum </w:t>
            </w:r>
            <w:r w:rsidR="00F05E22">
              <w:t>of NB-IoT signal</w:t>
            </w:r>
            <w:r w:rsidR="00952540">
              <w:t xml:space="preserve"> </w:t>
            </w:r>
            <w:r>
              <w:t>(normal CP: LTE, extended CP: NB-IoT)</w:t>
            </w:r>
          </w:p>
        </w:tc>
      </w:tr>
    </w:tbl>
    <w:p w:rsidR="005206B8" w:rsidRPr="00D00D55" w:rsidRDefault="005206B8" w:rsidP="002A692C">
      <w:pPr>
        <w:spacing w:before="120"/>
        <w:jc w:val="both"/>
      </w:pPr>
    </w:p>
    <w:p w:rsidR="001D30E2" w:rsidRDefault="001D30E2" w:rsidP="002A692C">
      <w:pPr>
        <w:spacing w:before="120"/>
        <w:jc w:val="both"/>
        <w:rPr>
          <w:u w:val="single"/>
          <w:lang w:val="en-GB"/>
        </w:rPr>
      </w:pPr>
      <w:r>
        <w:rPr>
          <w:rFonts w:hint="eastAsia"/>
          <w:u w:val="single"/>
          <w:lang w:val="en-GB"/>
        </w:rPr>
        <w:t>A</w:t>
      </w:r>
      <w:r>
        <w:rPr>
          <w:u w:val="single"/>
          <w:lang w:val="en-GB"/>
        </w:rPr>
        <w:t>s shown in this figure, even if two NB-IoT subcarriers next to LTE CRS, the non-</w:t>
      </w:r>
      <w:r w:rsidR="004E53F3">
        <w:rPr>
          <w:u w:val="single"/>
          <w:lang w:val="en-GB"/>
        </w:rPr>
        <w:t>orthogonal</w:t>
      </w:r>
      <w:r>
        <w:rPr>
          <w:u w:val="single"/>
          <w:lang w:val="en-GB"/>
        </w:rPr>
        <w:t xml:space="preserve"> interference </w:t>
      </w:r>
      <w:r w:rsidR="004E53F3">
        <w:rPr>
          <w:u w:val="single"/>
          <w:lang w:val="en-GB"/>
        </w:rPr>
        <w:t xml:space="preserve">by different subcarrier spacing </w:t>
      </w:r>
      <w:r>
        <w:rPr>
          <w:u w:val="single"/>
          <w:lang w:val="en-GB"/>
        </w:rPr>
        <w:t>is not negligible.</w:t>
      </w:r>
    </w:p>
    <w:p w:rsidR="00BD1170" w:rsidRDefault="00483C55" w:rsidP="002A692C">
      <w:pPr>
        <w:spacing w:before="120"/>
        <w:jc w:val="both"/>
        <w:rPr>
          <w:lang w:val="en-GB"/>
        </w:rPr>
      </w:pPr>
      <w:r>
        <w:rPr>
          <w:u w:val="single"/>
          <w:lang w:val="en-GB"/>
        </w:rPr>
        <w:t>Our consideration on each mapping scheme is summarized in Table 2.</w:t>
      </w:r>
    </w:p>
    <w:p w:rsidR="00483C55" w:rsidRDefault="00483C55" w:rsidP="002A692C">
      <w:pPr>
        <w:spacing w:before="120"/>
        <w:jc w:val="both"/>
        <w:rPr>
          <w:lang w:val="en-GB"/>
        </w:rPr>
      </w:pPr>
    </w:p>
    <w:p w:rsidR="00483C55" w:rsidRDefault="00483C55" w:rsidP="002A692C">
      <w:pPr>
        <w:spacing w:before="120"/>
        <w:jc w:val="both"/>
        <w:rPr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68"/>
      </w:tblGrid>
      <w:tr w:rsidR="00483C55" w:rsidRPr="00F1397A" w:rsidTr="007551CA">
        <w:tc>
          <w:tcPr>
            <w:tcW w:w="10162" w:type="dxa"/>
            <w:shd w:val="clear" w:color="auto" w:fill="auto"/>
            <w:vAlign w:val="center"/>
          </w:tcPr>
          <w:p w:rsidR="00483C55" w:rsidRPr="00F1397A" w:rsidRDefault="00483C55" w:rsidP="00D00D55">
            <w:pPr>
              <w:spacing w:after="120"/>
              <w:jc w:val="center"/>
              <w:rPr>
                <w:lang w:val="en-GB"/>
              </w:rPr>
            </w:pPr>
            <w:r>
              <w:t>Table 2</w:t>
            </w:r>
            <w:r>
              <w:rPr>
                <w:rFonts w:hint="eastAsia"/>
              </w:rPr>
              <w:t xml:space="preserve">. </w:t>
            </w:r>
            <w:r>
              <w:t>Consideration of each mapping scheme (normal CP: 15 kHz, extended CP: 3.75 kHz)</w:t>
            </w:r>
          </w:p>
        </w:tc>
      </w:tr>
      <w:tr w:rsidR="00483C55" w:rsidRPr="00F1397A" w:rsidTr="007551CA">
        <w:tc>
          <w:tcPr>
            <w:tcW w:w="10162" w:type="dxa"/>
            <w:shd w:val="clear" w:color="auto" w:fill="auto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90"/>
              <w:gridCol w:w="1698"/>
              <w:gridCol w:w="1980"/>
              <w:gridCol w:w="1276"/>
              <w:gridCol w:w="2898"/>
            </w:tblGrid>
            <w:tr w:rsidR="00483C55" w:rsidRPr="00E20A17" w:rsidTr="007551CA">
              <w:trPr>
                <w:trHeight w:val="396"/>
                <w:jc w:val="center"/>
              </w:trPr>
              <w:tc>
                <w:tcPr>
                  <w:tcW w:w="1893" w:type="dxa"/>
                  <w:shd w:val="clear" w:color="auto" w:fill="C6D9F1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</w:p>
              </w:tc>
              <w:tc>
                <w:tcPr>
                  <w:tcW w:w="1701" w:type="dxa"/>
                  <w:shd w:val="clear" w:color="auto" w:fill="C6D9F1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The number of RE’s for NB-IOT</w:t>
                  </w:r>
                </w:p>
              </w:tc>
              <w:tc>
                <w:tcPr>
                  <w:tcW w:w="1984" w:type="dxa"/>
                  <w:shd w:val="clear" w:color="auto" w:fill="C6D9F1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Complexity for NB-IoT</w:t>
                  </w:r>
                </w:p>
              </w:tc>
              <w:tc>
                <w:tcPr>
                  <w:tcW w:w="1276" w:type="dxa"/>
                  <w:shd w:val="clear" w:color="auto" w:fill="C6D9F1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Interference to CRS</w:t>
                  </w:r>
                </w:p>
              </w:tc>
              <w:tc>
                <w:tcPr>
                  <w:tcW w:w="2907" w:type="dxa"/>
                  <w:shd w:val="clear" w:color="auto" w:fill="C6D9F1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Impact to legacy PRBs</w:t>
                  </w:r>
                </w:p>
              </w:tc>
            </w:tr>
            <w:tr w:rsidR="00483C55" w:rsidRPr="00E20A17" w:rsidTr="007551CA">
              <w:trPr>
                <w:trHeight w:val="504"/>
                <w:jc w:val="center"/>
              </w:trPr>
              <w:tc>
                <w:tcPr>
                  <w:tcW w:w="1893" w:type="dxa"/>
                  <w:shd w:val="clear" w:color="auto" w:fill="FFFFFF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(a) uncoordinated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48/48 subcarriers</w:t>
                  </w:r>
                </w:p>
              </w:tc>
              <w:tc>
                <w:tcPr>
                  <w:tcW w:w="1984" w:type="dxa"/>
                  <w:shd w:val="clear" w:color="auto" w:fill="FFFFFF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Marginal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Bad</w:t>
                  </w:r>
                </w:p>
              </w:tc>
              <w:tc>
                <w:tcPr>
                  <w:tcW w:w="2907" w:type="dxa"/>
                  <w:shd w:val="clear" w:color="auto" w:fill="FFFFFF"/>
                </w:tcPr>
                <w:p w:rsidR="00483C55" w:rsidRPr="00483C55" w:rsidRDefault="00483C55" w:rsidP="00483C55">
                  <w:pPr>
                    <w:spacing w:after="120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All OFDM symbols are affected in neighbour PRBs</w:t>
                  </w:r>
                </w:p>
              </w:tc>
            </w:tr>
            <w:tr w:rsidR="00483C55" w:rsidRPr="00E20A17" w:rsidTr="007551CA">
              <w:trPr>
                <w:trHeight w:val="277"/>
                <w:jc w:val="center"/>
              </w:trPr>
              <w:tc>
                <w:tcPr>
                  <w:tcW w:w="1893" w:type="dxa"/>
                  <w:shd w:val="clear" w:color="auto" w:fill="FFFFFF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(b) puncture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>
                    <w:rPr>
                      <w:sz w:val="20"/>
                    </w:rPr>
                    <w:t xml:space="preserve">32/48 or 24/48 </w:t>
                  </w:r>
                  <w:r w:rsidRPr="00D00D55">
                    <w:rPr>
                      <w:sz w:val="20"/>
                    </w:rPr>
                    <w:t>subcarriers</w:t>
                  </w:r>
                </w:p>
              </w:tc>
              <w:tc>
                <w:tcPr>
                  <w:tcW w:w="1984" w:type="dxa"/>
                  <w:shd w:val="clear" w:color="auto" w:fill="FFFFFF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Slightly High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483C55" w:rsidRPr="00483C55" w:rsidRDefault="00483C55" w:rsidP="00483C55">
                  <w:pPr>
                    <w:spacing w:after="120"/>
                    <w:jc w:val="both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Bad</w:t>
                  </w:r>
                </w:p>
              </w:tc>
              <w:tc>
                <w:tcPr>
                  <w:tcW w:w="2907" w:type="dxa"/>
                  <w:shd w:val="clear" w:color="auto" w:fill="FFFFFF"/>
                </w:tcPr>
                <w:p w:rsidR="00483C55" w:rsidRPr="00483C55" w:rsidRDefault="00483C55" w:rsidP="00483C55">
                  <w:pPr>
                    <w:spacing w:after="120"/>
                    <w:rPr>
                      <w:sz w:val="20"/>
                      <w:lang w:val="en-GB"/>
                    </w:rPr>
                  </w:pPr>
                  <w:r w:rsidRPr="00D00D55">
                    <w:rPr>
                      <w:sz w:val="20"/>
                    </w:rPr>
                    <w:t>Marginal</w:t>
                  </w:r>
                </w:p>
              </w:tc>
            </w:tr>
          </w:tbl>
          <w:p w:rsidR="00483C55" w:rsidRPr="00177E59" w:rsidRDefault="00483C55" w:rsidP="007551CA">
            <w:pPr>
              <w:spacing w:after="120"/>
            </w:pPr>
          </w:p>
        </w:tc>
      </w:tr>
    </w:tbl>
    <w:p w:rsidR="00483C55" w:rsidRPr="00D00D55" w:rsidRDefault="00483C55" w:rsidP="002A692C">
      <w:pPr>
        <w:spacing w:before="120"/>
        <w:jc w:val="both"/>
      </w:pPr>
    </w:p>
    <w:p w:rsidR="00673121" w:rsidRPr="00BD5D3B" w:rsidRDefault="004757C7" w:rsidP="002A692C">
      <w:pPr>
        <w:spacing w:before="120"/>
        <w:jc w:val="both"/>
        <w:rPr>
          <w:lang w:val="en-GB"/>
        </w:rPr>
      </w:pPr>
      <w:r>
        <w:rPr>
          <w:rFonts w:hint="eastAsia"/>
          <w:lang w:val="en-GB"/>
        </w:rPr>
        <w:t>H</w:t>
      </w:r>
      <w:r>
        <w:rPr>
          <w:lang w:val="en-GB"/>
        </w:rPr>
        <w:t xml:space="preserve">ere, from NB-IoT UE point of view, </w:t>
      </w:r>
      <w:r>
        <w:rPr>
          <w:rFonts w:hint="eastAsia"/>
          <w:lang w:val="en-GB"/>
        </w:rPr>
        <w:t xml:space="preserve">unlike different CP case above, it may be possible to have a single behaviour with some small </w:t>
      </w:r>
      <w:r>
        <w:rPr>
          <w:lang w:val="en-GB"/>
        </w:rPr>
        <w:t>difference</w:t>
      </w:r>
      <w:r>
        <w:rPr>
          <w:rFonts w:hint="eastAsia"/>
          <w:lang w:val="en-GB"/>
        </w:rPr>
        <w:t>. However, considering interference handling in eNB side , we still need to evaluate validity of scenarios and complexity to support such scenarios.</w:t>
      </w:r>
    </w:p>
    <w:p w:rsidR="0002522B" w:rsidRPr="00455D54" w:rsidRDefault="0002522B" w:rsidP="0002522B">
      <w:pPr>
        <w:tabs>
          <w:tab w:val="left" w:pos="3090"/>
        </w:tabs>
        <w:spacing w:before="120"/>
        <w:ind w:left="1699" w:hangingChars="705" w:hanging="1699"/>
        <w:rPr>
          <w:b/>
          <w:lang w:val="en-GB"/>
        </w:rPr>
      </w:pPr>
    </w:p>
    <w:p w:rsidR="0002522B" w:rsidRPr="00B14BDE" w:rsidRDefault="0002522B" w:rsidP="0002522B">
      <w:pPr>
        <w:spacing w:before="120"/>
        <w:ind w:left="1699" w:hangingChars="705" w:hanging="1699"/>
        <w:rPr>
          <w:b/>
          <w:lang w:val="en-GB"/>
        </w:rPr>
      </w:pPr>
      <w:r>
        <w:rPr>
          <w:b/>
          <w:lang w:val="en-GB"/>
        </w:rPr>
        <w:t>Observation</w:t>
      </w:r>
      <w:r>
        <w:rPr>
          <w:rFonts w:hint="eastAsia"/>
          <w:b/>
          <w:lang w:val="en-GB"/>
        </w:rPr>
        <w:t xml:space="preserve"> </w:t>
      </w:r>
      <w:r w:rsidR="005C2A08">
        <w:rPr>
          <w:b/>
          <w:lang w:val="en-GB"/>
        </w:rPr>
        <w:t>3</w:t>
      </w:r>
      <w:r>
        <w:rPr>
          <w:rFonts w:hint="eastAsia"/>
          <w:b/>
          <w:lang w:val="en-GB"/>
        </w:rPr>
        <w:t xml:space="preserve">:  </w:t>
      </w:r>
      <w:r>
        <w:rPr>
          <w:rFonts w:hint="eastAsia"/>
          <w:b/>
          <w:lang w:val="en-GB"/>
        </w:rPr>
        <w:tab/>
      </w:r>
      <w:r w:rsidR="00483C55">
        <w:rPr>
          <w:b/>
          <w:lang w:val="en-GB"/>
        </w:rPr>
        <w:t>There is large</w:t>
      </w:r>
      <w:r w:rsidR="00D2445B">
        <w:rPr>
          <w:b/>
          <w:lang w:val="en-GB"/>
        </w:rPr>
        <w:t xml:space="preserve"> impact on </w:t>
      </w:r>
      <w:r w:rsidR="00483C55">
        <w:rPr>
          <w:b/>
          <w:lang w:val="en-GB"/>
        </w:rPr>
        <w:t xml:space="preserve">accuracy of </w:t>
      </w:r>
      <w:r w:rsidR="00D2445B">
        <w:rPr>
          <w:b/>
          <w:lang w:val="en-GB"/>
        </w:rPr>
        <w:t>CRS</w:t>
      </w:r>
      <w:r w:rsidR="00483C55">
        <w:rPr>
          <w:b/>
          <w:lang w:val="en-GB"/>
        </w:rPr>
        <w:t xml:space="preserve"> based channel estimation</w:t>
      </w:r>
      <w:r w:rsidR="00260784">
        <w:rPr>
          <w:b/>
          <w:lang w:val="en-GB"/>
        </w:rPr>
        <w:t xml:space="preserve"> in different subcarrier spacing</w:t>
      </w:r>
    </w:p>
    <w:p w:rsidR="00113C6D" w:rsidRPr="00487717" w:rsidRDefault="00113C6D" w:rsidP="002A692C">
      <w:pPr>
        <w:spacing w:before="120"/>
        <w:jc w:val="both"/>
        <w:rPr>
          <w:b/>
        </w:rPr>
      </w:pPr>
    </w:p>
    <w:p w:rsidR="00E5406D" w:rsidRDefault="00E5406D" w:rsidP="002A692C">
      <w:pPr>
        <w:pStyle w:val="1"/>
        <w:tabs>
          <w:tab w:val="clear" w:pos="574"/>
          <w:tab w:val="num" w:pos="567"/>
        </w:tabs>
        <w:spacing w:before="120" w:after="120"/>
        <w:ind w:left="567" w:hanging="567"/>
        <w:jc w:val="both"/>
        <w:rPr>
          <w:b/>
          <w:lang w:val="en-GB"/>
        </w:rPr>
      </w:pPr>
      <w:r>
        <w:rPr>
          <w:rFonts w:cs="Arial"/>
          <w:b/>
          <w:lang w:val="en-GB"/>
        </w:rPr>
        <w:t>Conclusion</w:t>
      </w:r>
      <w:r>
        <w:rPr>
          <w:b/>
          <w:lang w:val="en-GB"/>
        </w:rPr>
        <w:t xml:space="preserve"> </w:t>
      </w:r>
    </w:p>
    <w:p w:rsidR="00E5406D" w:rsidRDefault="00E5406D" w:rsidP="002A692C">
      <w:pPr>
        <w:spacing w:before="120"/>
        <w:jc w:val="both"/>
        <w:rPr>
          <w:lang w:val="en-GB"/>
        </w:rPr>
      </w:pPr>
      <w:r>
        <w:rPr>
          <w:lang w:val="en-GB"/>
        </w:rPr>
        <w:t xml:space="preserve">In this contribution, we describe </w:t>
      </w:r>
      <w:r w:rsidR="00BD5D3B">
        <w:rPr>
          <w:rFonts w:hint="eastAsia"/>
          <w:lang w:val="en-GB"/>
        </w:rPr>
        <w:t>a general structure in a case of in-band operation</w:t>
      </w:r>
      <w:r>
        <w:rPr>
          <w:lang w:val="en-GB"/>
        </w:rPr>
        <w:t>. We have the following</w:t>
      </w:r>
      <w:r w:rsidR="00907806">
        <w:rPr>
          <w:rFonts w:hint="eastAsia"/>
          <w:lang w:val="en-GB"/>
        </w:rPr>
        <w:t xml:space="preserve"> proposal</w:t>
      </w:r>
      <w:r>
        <w:rPr>
          <w:rFonts w:hint="eastAsia"/>
          <w:lang w:val="en-GB"/>
        </w:rPr>
        <w:t>s</w:t>
      </w:r>
      <w:r>
        <w:rPr>
          <w:lang w:val="en-GB"/>
        </w:rPr>
        <w:t xml:space="preserve">: </w:t>
      </w:r>
    </w:p>
    <w:bookmarkEnd w:id="1"/>
    <w:bookmarkEnd w:id="2"/>
    <w:p w:rsidR="006C68F6" w:rsidRDefault="006C68F6" w:rsidP="002A692C">
      <w:pPr>
        <w:spacing w:before="120"/>
        <w:jc w:val="both"/>
        <w:rPr>
          <w:b/>
          <w:lang w:val="en-GB"/>
        </w:rPr>
      </w:pPr>
    </w:p>
    <w:p w:rsidR="00941F91" w:rsidRDefault="00941F91" w:rsidP="00941F91">
      <w:pPr>
        <w:spacing w:before="120"/>
        <w:ind w:left="1699" w:hangingChars="705" w:hanging="1699"/>
        <w:rPr>
          <w:b/>
          <w:lang w:val="en-GB"/>
        </w:rPr>
      </w:pPr>
      <w:r>
        <w:rPr>
          <w:b/>
          <w:lang w:val="en-GB"/>
        </w:rPr>
        <w:t>Observation</w:t>
      </w:r>
      <w:r>
        <w:rPr>
          <w:rFonts w:hint="eastAsia"/>
          <w:b/>
          <w:lang w:val="en-GB"/>
        </w:rPr>
        <w:t xml:space="preserve"> </w:t>
      </w:r>
      <w:r>
        <w:rPr>
          <w:b/>
          <w:lang w:val="en-GB"/>
        </w:rPr>
        <w:t>1</w:t>
      </w:r>
      <w:r>
        <w:rPr>
          <w:rFonts w:hint="eastAsia"/>
          <w:b/>
          <w:lang w:val="en-GB"/>
        </w:rPr>
        <w:t xml:space="preserve">:  </w:t>
      </w:r>
      <w:r>
        <w:rPr>
          <w:rFonts w:hint="eastAsia"/>
          <w:b/>
          <w:lang w:val="en-GB"/>
        </w:rPr>
        <w:tab/>
      </w:r>
      <w:r>
        <w:rPr>
          <w:b/>
          <w:lang w:val="en-GB"/>
        </w:rPr>
        <w:t>Accommodation of different CP between LTE and NB-IoT has the same issue as different subcarrier spacing.</w:t>
      </w:r>
    </w:p>
    <w:p w:rsidR="005C2A08" w:rsidRDefault="005C2A08" w:rsidP="005C2A08">
      <w:pPr>
        <w:spacing w:before="120"/>
        <w:ind w:left="1699" w:hangingChars="705" w:hanging="1699"/>
        <w:rPr>
          <w:b/>
          <w:lang w:val="en-GB"/>
        </w:rPr>
      </w:pPr>
    </w:p>
    <w:p w:rsidR="005C2A08" w:rsidRDefault="005C2A08" w:rsidP="005C2A08">
      <w:pPr>
        <w:spacing w:before="120"/>
        <w:ind w:left="1699" w:hangingChars="705" w:hanging="1699"/>
        <w:rPr>
          <w:b/>
          <w:lang w:val="en-GB"/>
        </w:rPr>
      </w:pPr>
      <w:r>
        <w:rPr>
          <w:b/>
          <w:lang w:val="en-GB"/>
        </w:rPr>
        <w:t>Observation</w:t>
      </w:r>
      <w:r>
        <w:rPr>
          <w:rFonts w:hint="eastAsia"/>
          <w:b/>
          <w:lang w:val="en-GB"/>
        </w:rPr>
        <w:t xml:space="preserve"> </w:t>
      </w:r>
      <w:r>
        <w:rPr>
          <w:b/>
          <w:lang w:val="en-GB"/>
        </w:rPr>
        <w:t>2</w:t>
      </w:r>
      <w:r>
        <w:rPr>
          <w:rFonts w:hint="eastAsia"/>
          <w:b/>
          <w:lang w:val="en-GB"/>
        </w:rPr>
        <w:t xml:space="preserve">:  </w:t>
      </w:r>
      <w:r>
        <w:rPr>
          <w:rFonts w:hint="eastAsia"/>
          <w:b/>
          <w:lang w:val="en-GB"/>
        </w:rPr>
        <w:tab/>
      </w:r>
      <w:r>
        <w:rPr>
          <w:b/>
          <w:lang w:val="en-GB"/>
        </w:rPr>
        <w:t>UE behaviour may be different</w:t>
      </w:r>
      <w:r w:rsidR="005537AF">
        <w:rPr>
          <w:b/>
          <w:lang w:val="en-GB"/>
        </w:rPr>
        <w:t xml:space="preserve"> dependent on the </w:t>
      </w:r>
      <w:r w:rsidR="00B95082">
        <w:rPr>
          <w:b/>
          <w:lang w:val="en-GB"/>
        </w:rPr>
        <w:t>CP length of LTE</w:t>
      </w:r>
      <w:r>
        <w:rPr>
          <w:b/>
          <w:lang w:val="en-GB"/>
        </w:rPr>
        <w:t>.</w:t>
      </w:r>
    </w:p>
    <w:p w:rsidR="00717EF7" w:rsidRDefault="00717EF7" w:rsidP="00717EF7">
      <w:pPr>
        <w:spacing w:before="120"/>
        <w:ind w:left="1699" w:hangingChars="705" w:hanging="1699"/>
        <w:rPr>
          <w:b/>
          <w:lang w:val="en-GB"/>
        </w:rPr>
      </w:pPr>
    </w:p>
    <w:p w:rsidR="00941F91" w:rsidRPr="00B14BDE" w:rsidRDefault="00941F91" w:rsidP="00941F91">
      <w:pPr>
        <w:spacing w:before="120"/>
        <w:ind w:left="1699" w:hangingChars="705" w:hanging="1699"/>
        <w:rPr>
          <w:b/>
          <w:lang w:val="en-GB"/>
        </w:rPr>
      </w:pPr>
      <w:r>
        <w:rPr>
          <w:b/>
          <w:lang w:val="en-GB"/>
        </w:rPr>
        <w:t>Observation</w:t>
      </w:r>
      <w:r>
        <w:rPr>
          <w:rFonts w:hint="eastAsia"/>
          <w:b/>
          <w:lang w:val="en-GB"/>
        </w:rPr>
        <w:t xml:space="preserve"> </w:t>
      </w:r>
      <w:r w:rsidR="005C2A08">
        <w:rPr>
          <w:b/>
          <w:lang w:val="en-GB"/>
        </w:rPr>
        <w:t>3</w:t>
      </w:r>
      <w:r>
        <w:rPr>
          <w:rFonts w:hint="eastAsia"/>
          <w:b/>
          <w:lang w:val="en-GB"/>
        </w:rPr>
        <w:t xml:space="preserve">:  </w:t>
      </w:r>
      <w:r>
        <w:rPr>
          <w:rFonts w:hint="eastAsia"/>
          <w:b/>
          <w:lang w:val="en-GB"/>
        </w:rPr>
        <w:tab/>
      </w:r>
      <w:r>
        <w:rPr>
          <w:b/>
          <w:lang w:val="en-GB"/>
        </w:rPr>
        <w:t>There is large impact on accuracy of CRS based channel estimation in different subcarrier spacing</w:t>
      </w:r>
    </w:p>
    <w:p w:rsidR="00D205AB" w:rsidRDefault="00D205AB" w:rsidP="003E348D">
      <w:pPr>
        <w:tabs>
          <w:tab w:val="left" w:pos="3090"/>
        </w:tabs>
        <w:spacing w:before="120"/>
        <w:ind w:left="1699" w:hangingChars="705" w:hanging="1699"/>
        <w:rPr>
          <w:b/>
          <w:lang w:val="en-GB"/>
        </w:rPr>
      </w:pPr>
    </w:p>
    <w:p w:rsidR="0060116A" w:rsidRPr="00D00D55" w:rsidRDefault="0060116A" w:rsidP="003E348D">
      <w:pPr>
        <w:tabs>
          <w:tab w:val="left" w:pos="3090"/>
        </w:tabs>
        <w:spacing w:before="120"/>
        <w:ind w:left="1699" w:hangingChars="705" w:hanging="1699"/>
        <w:rPr>
          <w:b/>
          <w:lang w:val="en-GB"/>
        </w:rPr>
      </w:pPr>
    </w:p>
    <w:p w:rsidR="00D205AB" w:rsidRPr="00D205AB" w:rsidRDefault="00D205AB" w:rsidP="00D205AB">
      <w:pPr>
        <w:pStyle w:val="1"/>
        <w:tabs>
          <w:tab w:val="clear" w:pos="574"/>
          <w:tab w:val="num" w:pos="567"/>
        </w:tabs>
        <w:spacing w:before="120" w:after="120"/>
        <w:ind w:left="567" w:hanging="567"/>
        <w:jc w:val="both"/>
        <w:rPr>
          <w:b/>
          <w:lang w:val="en-GB"/>
        </w:rPr>
      </w:pPr>
      <w:r>
        <w:rPr>
          <w:rFonts w:cs="Arial"/>
          <w:b/>
          <w:lang w:val="en-GB"/>
        </w:rPr>
        <w:t>References</w:t>
      </w:r>
    </w:p>
    <w:p w:rsidR="00361EB4" w:rsidRPr="00D00D55" w:rsidRDefault="00D24CAB" w:rsidP="00D00D55">
      <w:pPr>
        <w:pStyle w:val="1"/>
        <w:numPr>
          <w:ilvl w:val="0"/>
          <w:numId w:val="38"/>
        </w:numPr>
        <w:rPr>
          <w:rFonts w:ascii="Times New Roman" w:hAnsi="Times New Roman"/>
          <w:sz w:val="20"/>
          <w:lang w:val="en-GB"/>
        </w:rPr>
      </w:pPr>
      <w:r w:rsidRPr="00D24CAB">
        <w:rPr>
          <w:rFonts w:ascii="Times New Roman" w:hAnsi="Times New Roman"/>
          <w:sz w:val="20"/>
          <w:lang w:val="en-GB"/>
        </w:rPr>
        <w:t>RP-151621</w:t>
      </w:r>
      <w:r>
        <w:rPr>
          <w:rFonts w:ascii="Times New Roman" w:hAnsi="Times New Roman"/>
          <w:sz w:val="20"/>
          <w:lang w:val="en-GB"/>
        </w:rPr>
        <w:t>, Qualcomm, “</w:t>
      </w:r>
      <w:r w:rsidRPr="00D24CAB">
        <w:rPr>
          <w:rFonts w:ascii="Times New Roman" w:hAnsi="Times New Roman"/>
          <w:sz w:val="20"/>
          <w:lang w:val="en-GB"/>
        </w:rPr>
        <w:t>New Work Item: NarrowBand IOT (NB-IOT)</w:t>
      </w:r>
      <w:r>
        <w:rPr>
          <w:rFonts w:ascii="Times New Roman" w:hAnsi="Times New Roman"/>
          <w:sz w:val="20"/>
          <w:lang w:val="en-GB"/>
        </w:rPr>
        <w:t>”, RAN#69, September, 2015</w:t>
      </w:r>
    </w:p>
    <w:p w:rsidR="00D205AB" w:rsidRPr="00D00D55" w:rsidRDefault="00D205AB" w:rsidP="00D00D55">
      <w:pPr>
        <w:tabs>
          <w:tab w:val="left" w:pos="3090"/>
        </w:tabs>
        <w:spacing w:before="120"/>
        <w:ind w:left="1410" w:hangingChars="705" w:hanging="1410"/>
        <w:rPr>
          <w:sz w:val="20"/>
          <w:lang w:val="en-GB"/>
        </w:rPr>
      </w:pPr>
    </w:p>
    <w:p w:rsidR="008F23EC" w:rsidRPr="008F23EC" w:rsidRDefault="008F23EC" w:rsidP="002A692C">
      <w:pPr>
        <w:spacing w:before="120"/>
        <w:ind w:left="1692" w:hangingChars="705" w:hanging="1692"/>
        <w:rPr>
          <w:szCs w:val="24"/>
        </w:rPr>
      </w:pPr>
    </w:p>
    <w:sectPr w:rsidR="008F23EC" w:rsidRPr="008F23EC" w:rsidSect="00186F03">
      <w:footerReference w:type="default" r:id="rId13"/>
      <w:pgSz w:w="12240" w:h="15840" w:code="1"/>
      <w:pgMar w:top="850" w:right="1138" w:bottom="562" w:left="1138" w:header="720" w:footer="720" w:gutter="0"/>
      <w:cols w:space="720" w:equalWidth="0">
        <w:col w:w="996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FCC" w:rsidRDefault="009C1FCC">
      <w:r>
        <w:separator/>
      </w:r>
    </w:p>
  </w:endnote>
  <w:endnote w:type="continuationSeparator" w:id="0">
    <w:p w:rsidR="009C1FCC" w:rsidRDefault="009C1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06D" w:rsidRDefault="00E5406D">
    <w:pPr>
      <w:pStyle w:val="a4"/>
      <w:jc w:val="center"/>
    </w:pPr>
    <w:r>
      <w:rPr>
        <w:rStyle w:val="a5"/>
        <w:rFonts w:ascii="Times New Roman" w:hAnsi="Times New Roman" w:cs="Times New Roman"/>
        <w:color w:val="auto"/>
      </w:rPr>
      <w:t xml:space="preserve">- </w:t>
    </w:r>
    <w:r w:rsidR="00186F03">
      <w:rPr>
        <w:rStyle w:val="a5"/>
        <w:rFonts w:ascii="Times New Roman" w:hAnsi="Times New Roman" w:cs="Times New Roman"/>
        <w:color w:val="auto"/>
      </w:rPr>
      <w:fldChar w:fldCharType="begin"/>
    </w:r>
    <w:r>
      <w:rPr>
        <w:rStyle w:val="a5"/>
        <w:rFonts w:ascii="Times New Roman" w:hAnsi="Times New Roman" w:cs="Times New Roman"/>
        <w:color w:val="auto"/>
      </w:rPr>
      <w:instrText xml:space="preserve"> PAGE </w:instrText>
    </w:r>
    <w:r w:rsidR="00186F03">
      <w:rPr>
        <w:rStyle w:val="a5"/>
        <w:rFonts w:ascii="Times New Roman" w:hAnsi="Times New Roman" w:cs="Times New Roman"/>
        <w:color w:val="auto"/>
      </w:rPr>
      <w:fldChar w:fldCharType="separate"/>
    </w:r>
    <w:r w:rsidR="009C1FCC">
      <w:rPr>
        <w:rStyle w:val="a5"/>
        <w:rFonts w:ascii="Times New Roman" w:hAnsi="Times New Roman" w:cs="Times New Roman"/>
        <w:noProof/>
        <w:color w:val="auto"/>
      </w:rPr>
      <w:t>1</w:t>
    </w:r>
    <w:r w:rsidR="00186F03">
      <w:rPr>
        <w:rStyle w:val="a5"/>
        <w:rFonts w:ascii="Times New Roman" w:hAnsi="Times New Roman" w:cs="Times New Roman"/>
        <w:color w:val="auto"/>
      </w:rPr>
      <w:fldChar w:fldCharType="end"/>
    </w:r>
    <w:r>
      <w:rPr>
        <w:rStyle w:val="a5"/>
        <w:rFonts w:ascii="Times New Roman" w:hAnsi="Times New Roman" w:cs="Times New Roman"/>
        <w:color w:val="auto"/>
      </w:rPr>
      <w:t>/</w:t>
    </w:r>
    <w:r w:rsidR="00186F03">
      <w:rPr>
        <w:rStyle w:val="a5"/>
        <w:rFonts w:ascii="Times New Roman" w:hAnsi="Times New Roman" w:cs="Times New Roman"/>
        <w:color w:val="auto"/>
      </w:rPr>
      <w:fldChar w:fldCharType="begin"/>
    </w:r>
    <w:r>
      <w:rPr>
        <w:rStyle w:val="a5"/>
        <w:rFonts w:ascii="Times New Roman" w:hAnsi="Times New Roman" w:cs="Times New Roman"/>
        <w:color w:val="auto"/>
      </w:rPr>
      <w:instrText xml:space="preserve"> NUMPAGES </w:instrText>
    </w:r>
    <w:r w:rsidR="00186F03">
      <w:rPr>
        <w:rStyle w:val="a5"/>
        <w:rFonts w:ascii="Times New Roman" w:hAnsi="Times New Roman" w:cs="Times New Roman"/>
        <w:color w:val="auto"/>
      </w:rPr>
      <w:fldChar w:fldCharType="separate"/>
    </w:r>
    <w:r w:rsidR="009C1FCC">
      <w:rPr>
        <w:rStyle w:val="a5"/>
        <w:rFonts w:ascii="Times New Roman" w:hAnsi="Times New Roman" w:cs="Times New Roman"/>
        <w:noProof/>
        <w:color w:val="auto"/>
      </w:rPr>
      <w:t>1</w:t>
    </w:r>
    <w:r w:rsidR="00186F03">
      <w:rPr>
        <w:rStyle w:val="a5"/>
        <w:rFonts w:ascii="Times New Roman" w:hAnsi="Times New Roman" w:cs="Times New Roman"/>
        <w:color w:val="auto"/>
      </w:rPr>
      <w:fldChar w:fldCharType="end"/>
    </w:r>
    <w:r>
      <w:rPr>
        <w:rStyle w:val="a5"/>
        <w:rFonts w:ascii="Times New Roman" w:hAnsi="Times New Roman" w:cs="Times New Roman"/>
        <w:color w:val="auto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FCC" w:rsidRDefault="009C1FCC">
      <w:r>
        <w:separator/>
      </w:r>
    </w:p>
  </w:footnote>
  <w:footnote w:type="continuationSeparator" w:id="0">
    <w:p w:rsidR="009C1FCC" w:rsidRDefault="009C1F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C3750"/>
    <w:multiLevelType w:val="hybridMultilevel"/>
    <w:tmpl w:val="7462387E"/>
    <w:lvl w:ilvl="0" w:tplc="B7FA75CC">
      <w:numFmt w:val="bullet"/>
      <w:lvlText w:val="-"/>
      <w:lvlJc w:val="left"/>
      <w:pPr>
        <w:ind w:left="968" w:hanging="400"/>
      </w:pPr>
      <w:rPr>
        <w:rFonts w:ascii="Times New Roman" w:eastAsia="Times New Roman" w:hAnsi="Times New Roman" w:cs="Times New Roman" w:hint="default"/>
      </w:rPr>
    </w:lvl>
    <w:lvl w:ilvl="1" w:tplc="6DF84914">
      <w:start w:val="1"/>
      <w:numFmt w:val="bullet"/>
      <w:lvlText w:val="•"/>
      <w:lvlJc w:val="left"/>
      <w:pPr>
        <w:ind w:left="1325" w:hanging="400"/>
      </w:pPr>
      <w:rPr>
        <w:rFonts w:ascii="Arial" w:hAnsi="Arial" w:hint="default"/>
      </w:rPr>
    </w:lvl>
    <w:lvl w:ilvl="2" w:tplc="17C8AD62">
      <w:start w:val="2691"/>
      <w:numFmt w:val="bullet"/>
      <w:lvlText w:val="-"/>
      <w:lvlJc w:val="left"/>
      <w:pPr>
        <w:ind w:left="1725" w:hanging="400"/>
      </w:pPr>
      <w:rPr>
        <w:rFonts w:ascii="Arial" w:hAnsi="Arial" w:hint="default"/>
      </w:rPr>
    </w:lvl>
    <w:lvl w:ilvl="3" w:tplc="6DF84914">
      <w:start w:val="1"/>
      <w:numFmt w:val="bullet"/>
      <w:lvlText w:val="•"/>
      <w:lvlJc w:val="left"/>
      <w:pPr>
        <w:ind w:left="2125" w:hanging="400"/>
      </w:pPr>
      <w:rPr>
        <w:rFonts w:ascii="Arial" w:hAnsi="Arial" w:hint="default"/>
      </w:rPr>
    </w:lvl>
    <w:lvl w:ilvl="4" w:tplc="17C8AD62">
      <w:start w:val="2691"/>
      <w:numFmt w:val="bullet"/>
      <w:lvlText w:val="-"/>
      <w:lvlJc w:val="left"/>
      <w:pPr>
        <w:ind w:left="2525" w:hanging="40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5" w:hanging="400"/>
      </w:pPr>
      <w:rPr>
        <w:rFonts w:ascii="Wingdings" w:hAnsi="Wingdings" w:hint="default"/>
      </w:rPr>
    </w:lvl>
  </w:abstractNum>
  <w:abstractNum w:abstractNumId="1" w15:restartNumberingAfterBreak="0">
    <w:nsid w:val="03545CEF"/>
    <w:multiLevelType w:val="hybridMultilevel"/>
    <w:tmpl w:val="5A0256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7C37A8"/>
    <w:multiLevelType w:val="hybridMultilevel"/>
    <w:tmpl w:val="ADECB2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4707B8"/>
    <w:multiLevelType w:val="hybridMultilevel"/>
    <w:tmpl w:val="95160C88"/>
    <w:lvl w:ilvl="0" w:tplc="A8ECE36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C823DB6"/>
    <w:multiLevelType w:val="hybridMultilevel"/>
    <w:tmpl w:val="7B8C458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F6221DE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790E8C68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8E6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67492C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F72C0B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F42BDC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44E8B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FA2C9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F6EE8F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E8C42EE"/>
    <w:multiLevelType w:val="hybridMultilevel"/>
    <w:tmpl w:val="F314F9D8"/>
    <w:lvl w:ilvl="0" w:tplc="D26896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11B08"/>
    <w:multiLevelType w:val="hybridMultilevel"/>
    <w:tmpl w:val="969EA0DE"/>
    <w:lvl w:ilvl="0" w:tplc="AA4EF4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5161BF6"/>
    <w:multiLevelType w:val="hybridMultilevel"/>
    <w:tmpl w:val="BE287F66"/>
    <w:lvl w:ilvl="0" w:tplc="0409000F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aiueoFullWidth"/>
      <w:lvlText w:val="(%2)"/>
      <w:lvlJc w:val="left"/>
      <w:pPr>
        <w:ind w:left="840" w:hanging="420"/>
      </w:pPr>
    </w:lvl>
    <w:lvl w:ilvl="2" w:tplc="0409001B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aiueoFullWidth"/>
      <w:lvlText w:val="(%5)"/>
      <w:lvlJc w:val="left"/>
      <w:pPr>
        <w:ind w:left="2100" w:hanging="420"/>
      </w:pPr>
    </w:lvl>
    <w:lvl w:ilvl="5" w:tplc="0409001B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aiueoFullWidth"/>
      <w:lvlText w:val="(%8)"/>
      <w:lvlJc w:val="left"/>
      <w:pPr>
        <w:ind w:left="3360" w:hanging="420"/>
      </w:pPr>
    </w:lvl>
    <w:lvl w:ilvl="8" w:tplc="0409001B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6655CD4"/>
    <w:multiLevelType w:val="hybridMultilevel"/>
    <w:tmpl w:val="081A2122"/>
    <w:lvl w:ilvl="0" w:tplc="502C0E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1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1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1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42426D"/>
    <w:multiLevelType w:val="hybridMultilevel"/>
    <w:tmpl w:val="16BA4DF6"/>
    <w:lvl w:ilvl="0" w:tplc="3034A3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02DCFA">
      <w:start w:val="37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DA6EF8">
      <w:start w:val="37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4D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000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81B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C8A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6AD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1C7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9A86542"/>
    <w:multiLevelType w:val="hybridMultilevel"/>
    <w:tmpl w:val="E5EAD198"/>
    <w:lvl w:ilvl="0" w:tplc="0409000F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1142F9E"/>
    <w:multiLevelType w:val="hybridMultilevel"/>
    <w:tmpl w:val="ED6E54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BE0AB7"/>
    <w:multiLevelType w:val="hybridMultilevel"/>
    <w:tmpl w:val="843429D8"/>
    <w:lvl w:ilvl="0" w:tplc="13DC4E7C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62E7DA5"/>
    <w:multiLevelType w:val="hybridMultilevel"/>
    <w:tmpl w:val="80281E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2496C"/>
    <w:multiLevelType w:val="multilevel"/>
    <w:tmpl w:val="71F07702"/>
    <w:lvl w:ilvl="0">
      <w:start w:val="1"/>
      <w:numFmt w:val="bullet"/>
      <w:pStyle w:val="list1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9" w15:restartNumberingAfterBreak="0">
    <w:nsid w:val="66615FED"/>
    <w:multiLevelType w:val="hybridMultilevel"/>
    <w:tmpl w:val="AAFAE1F8"/>
    <w:lvl w:ilvl="0" w:tplc="A20E9E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25CE74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72203D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668E0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8AAA84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3F6943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7183C3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D282C4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A7E59E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703157D4"/>
    <w:multiLevelType w:val="multilevel"/>
    <w:tmpl w:val="08C25C7A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1994"/>
        </w:tabs>
        <w:ind w:left="1994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GB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2282"/>
        </w:tabs>
        <w:ind w:left="2282" w:hanging="864"/>
      </w:pPr>
      <w:rPr>
        <w:sz w:val="20"/>
        <w:szCs w:val="2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426"/>
        </w:tabs>
        <w:ind w:left="2426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2570"/>
        </w:tabs>
        <w:ind w:left="2570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2714"/>
        </w:tabs>
        <w:ind w:left="2714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2858"/>
        </w:tabs>
        <w:ind w:left="2858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002"/>
        </w:tabs>
        <w:ind w:left="3002" w:hanging="1584"/>
      </w:pPr>
    </w:lvl>
  </w:abstractNum>
  <w:abstractNum w:abstractNumId="21" w15:restartNumberingAfterBreak="0">
    <w:nsid w:val="73A839E0"/>
    <w:multiLevelType w:val="multilevel"/>
    <w:tmpl w:val="F0742B00"/>
    <w:lvl w:ilvl="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eastAsia"/>
        <w:b w:val="0"/>
      </w:rPr>
    </w:lvl>
    <w:lvl w:ilvl="1">
      <w:start w:val="1"/>
      <w:numFmt w:val="decimal"/>
      <w:lvlText w:val="%1.%2"/>
      <w:lvlJc w:val="left"/>
      <w:pPr>
        <w:tabs>
          <w:tab w:val="num" w:pos="1852"/>
        </w:tabs>
        <w:ind w:left="1852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GB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996"/>
        </w:tabs>
        <w:ind w:left="1996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2140"/>
        </w:tabs>
        <w:ind w:left="2140" w:hanging="864"/>
      </w:pPr>
      <w:rPr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2284"/>
        </w:tabs>
        <w:ind w:left="2284" w:hanging="1008"/>
      </w:pPr>
    </w:lvl>
    <w:lvl w:ilvl="5">
      <w:start w:val="1"/>
      <w:numFmt w:val="decimal"/>
      <w:lvlText w:val="%1.%2.%3.%4.%5.%6"/>
      <w:lvlJc w:val="left"/>
      <w:pPr>
        <w:tabs>
          <w:tab w:val="num" w:pos="2428"/>
        </w:tabs>
        <w:ind w:left="2428" w:hanging="1152"/>
      </w:pPr>
    </w:lvl>
    <w:lvl w:ilvl="6">
      <w:start w:val="1"/>
      <w:numFmt w:val="decimal"/>
      <w:lvlText w:val="%1.%2.%3.%4.%5.%6.%7"/>
      <w:lvlJc w:val="left"/>
      <w:pPr>
        <w:tabs>
          <w:tab w:val="num" w:pos="2572"/>
        </w:tabs>
        <w:ind w:left="2572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716"/>
        </w:tabs>
        <w:ind w:left="271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60"/>
        </w:tabs>
        <w:ind w:left="2860" w:hanging="1584"/>
      </w:pPr>
    </w:lvl>
  </w:abstractNum>
  <w:num w:numId="1">
    <w:abstractNumId w:val="2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8"/>
  </w:num>
  <w:num w:numId="5">
    <w:abstractNumId w:val="15"/>
  </w:num>
  <w:num w:numId="6">
    <w:abstractNumId w:val="13"/>
  </w:num>
  <w:num w:numId="7">
    <w:abstractNumId w:val="20"/>
  </w:num>
  <w:num w:numId="8">
    <w:abstractNumId w:val="20"/>
  </w:num>
  <w:num w:numId="9">
    <w:abstractNumId w:val="20"/>
  </w:num>
  <w:num w:numId="10">
    <w:abstractNumId w:val="20"/>
  </w:num>
  <w:num w:numId="11">
    <w:abstractNumId w:val="20"/>
  </w:num>
  <w:num w:numId="12">
    <w:abstractNumId w:val="2"/>
  </w:num>
  <w:num w:numId="13">
    <w:abstractNumId w:val="10"/>
  </w:num>
  <w:num w:numId="14">
    <w:abstractNumId w:val="8"/>
  </w:num>
  <w:num w:numId="15">
    <w:abstractNumId w:val="19"/>
  </w:num>
  <w:num w:numId="16">
    <w:abstractNumId w:val="9"/>
  </w:num>
  <w:num w:numId="17">
    <w:abstractNumId w:val="20"/>
  </w:num>
  <w:num w:numId="18">
    <w:abstractNumId w:val="20"/>
  </w:num>
  <w:num w:numId="19">
    <w:abstractNumId w:val="20"/>
  </w:num>
  <w:num w:numId="20">
    <w:abstractNumId w:val="20"/>
  </w:num>
  <w:num w:numId="21">
    <w:abstractNumId w:val="20"/>
  </w:num>
  <w:num w:numId="22">
    <w:abstractNumId w:val="6"/>
  </w:num>
  <w:num w:numId="23">
    <w:abstractNumId w:val="20"/>
  </w:num>
  <w:num w:numId="24">
    <w:abstractNumId w:val="20"/>
  </w:num>
  <w:num w:numId="25">
    <w:abstractNumId w:val="20"/>
  </w:num>
  <w:num w:numId="26">
    <w:abstractNumId w:val="0"/>
  </w:num>
  <w:num w:numId="27">
    <w:abstractNumId w:val="3"/>
  </w:num>
  <w:num w:numId="28">
    <w:abstractNumId w:val="20"/>
  </w:num>
  <w:num w:numId="29">
    <w:abstractNumId w:val="7"/>
  </w:num>
  <w:num w:numId="30">
    <w:abstractNumId w:val="17"/>
  </w:num>
  <w:num w:numId="31">
    <w:abstractNumId w:val="5"/>
  </w:num>
  <w:num w:numId="32">
    <w:abstractNumId w:val="1"/>
  </w:num>
  <w:num w:numId="33">
    <w:abstractNumId w:val="20"/>
  </w:num>
  <w:num w:numId="34">
    <w:abstractNumId w:val="20"/>
  </w:num>
  <w:num w:numId="35">
    <w:abstractNumId w:val="14"/>
  </w:num>
  <w:num w:numId="36">
    <w:abstractNumId w:val="16"/>
  </w:num>
  <w:num w:numId="37">
    <w:abstractNumId w:val="11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4A3"/>
    <w:rsid w:val="000042D5"/>
    <w:rsid w:val="00017FA3"/>
    <w:rsid w:val="00023618"/>
    <w:rsid w:val="0002522B"/>
    <w:rsid w:val="00032F30"/>
    <w:rsid w:val="000377BD"/>
    <w:rsid w:val="00040F92"/>
    <w:rsid w:val="00041E3F"/>
    <w:rsid w:val="000463A5"/>
    <w:rsid w:val="00053FDC"/>
    <w:rsid w:val="00055453"/>
    <w:rsid w:val="00056973"/>
    <w:rsid w:val="000673C6"/>
    <w:rsid w:val="000707C0"/>
    <w:rsid w:val="00072DD4"/>
    <w:rsid w:val="00072F36"/>
    <w:rsid w:val="00073A5D"/>
    <w:rsid w:val="00075B9F"/>
    <w:rsid w:val="00087FE9"/>
    <w:rsid w:val="00095282"/>
    <w:rsid w:val="00095E15"/>
    <w:rsid w:val="000A7E9C"/>
    <w:rsid w:val="000B0E5D"/>
    <w:rsid w:val="000C11AC"/>
    <w:rsid w:val="000E4819"/>
    <w:rsid w:val="000F01DE"/>
    <w:rsid w:val="000F5E7F"/>
    <w:rsid w:val="000F6935"/>
    <w:rsid w:val="000F71A3"/>
    <w:rsid w:val="00102EB9"/>
    <w:rsid w:val="00105D9F"/>
    <w:rsid w:val="00113C6D"/>
    <w:rsid w:val="00136CEE"/>
    <w:rsid w:val="00141D2A"/>
    <w:rsid w:val="0014645E"/>
    <w:rsid w:val="00147368"/>
    <w:rsid w:val="00147671"/>
    <w:rsid w:val="0015513B"/>
    <w:rsid w:val="00157F0E"/>
    <w:rsid w:val="001733A8"/>
    <w:rsid w:val="00177E59"/>
    <w:rsid w:val="00182DA8"/>
    <w:rsid w:val="00186F03"/>
    <w:rsid w:val="00193867"/>
    <w:rsid w:val="00196214"/>
    <w:rsid w:val="001A196A"/>
    <w:rsid w:val="001B0AC1"/>
    <w:rsid w:val="001B185C"/>
    <w:rsid w:val="001B25F5"/>
    <w:rsid w:val="001B38F1"/>
    <w:rsid w:val="001C45EA"/>
    <w:rsid w:val="001C46F9"/>
    <w:rsid w:val="001C62A4"/>
    <w:rsid w:val="001D1DD1"/>
    <w:rsid w:val="001D30E2"/>
    <w:rsid w:val="001E0605"/>
    <w:rsid w:val="001E6183"/>
    <w:rsid w:val="001F178D"/>
    <w:rsid w:val="001F433E"/>
    <w:rsid w:val="002004EA"/>
    <w:rsid w:val="002071C1"/>
    <w:rsid w:val="002306E2"/>
    <w:rsid w:val="00231289"/>
    <w:rsid w:val="00235627"/>
    <w:rsid w:val="002435EF"/>
    <w:rsid w:val="002521B4"/>
    <w:rsid w:val="002525FA"/>
    <w:rsid w:val="00260784"/>
    <w:rsid w:val="00262948"/>
    <w:rsid w:val="0027056A"/>
    <w:rsid w:val="00270E6A"/>
    <w:rsid w:val="0027252F"/>
    <w:rsid w:val="00281B7B"/>
    <w:rsid w:val="002A692C"/>
    <w:rsid w:val="002C5ABA"/>
    <w:rsid w:val="002C75EA"/>
    <w:rsid w:val="002D03CE"/>
    <w:rsid w:val="002D2B16"/>
    <w:rsid w:val="00301CF8"/>
    <w:rsid w:val="00302459"/>
    <w:rsid w:val="003077DB"/>
    <w:rsid w:val="0036132C"/>
    <w:rsid w:val="00361EB4"/>
    <w:rsid w:val="00363021"/>
    <w:rsid w:val="003874FB"/>
    <w:rsid w:val="00387FE2"/>
    <w:rsid w:val="00394C0A"/>
    <w:rsid w:val="00396B84"/>
    <w:rsid w:val="003A4A31"/>
    <w:rsid w:val="003C38B4"/>
    <w:rsid w:val="003D2CD9"/>
    <w:rsid w:val="003D368C"/>
    <w:rsid w:val="003E348D"/>
    <w:rsid w:val="003E4389"/>
    <w:rsid w:val="003E6C1F"/>
    <w:rsid w:val="003F1DEA"/>
    <w:rsid w:val="00400CDE"/>
    <w:rsid w:val="004015EE"/>
    <w:rsid w:val="00404749"/>
    <w:rsid w:val="00404C85"/>
    <w:rsid w:val="00421BD8"/>
    <w:rsid w:val="0042413A"/>
    <w:rsid w:val="00426526"/>
    <w:rsid w:val="004337BB"/>
    <w:rsid w:val="0043508A"/>
    <w:rsid w:val="004453F3"/>
    <w:rsid w:val="00451723"/>
    <w:rsid w:val="00455D54"/>
    <w:rsid w:val="00456735"/>
    <w:rsid w:val="004623E3"/>
    <w:rsid w:val="0047570E"/>
    <w:rsid w:val="004757C7"/>
    <w:rsid w:val="00477220"/>
    <w:rsid w:val="00483C55"/>
    <w:rsid w:val="0048533D"/>
    <w:rsid w:val="004859B3"/>
    <w:rsid w:val="004864A9"/>
    <w:rsid w:val="00487717"/>
    <w:rsid w:val="004951A7"/>
    <w:rsid w:val="004A257E"/>
    <w:rsid w:val="004A3541"/>
    <w:rsid w:val="004B007C"/>
    <w:rsid w:val="004B13F5"/>
    <w:rsid w:val="004B6C70"/>
    <w:rsid w:val="004C487D"/>
    <w:rsid w:val="004E1CA4"/>
    <w:rsid w:val="004E53F3"/>
    <w:rsid w:val="004F2425"/>
    <w:rsid w:val="004F7318"/>
    <w:rsid w:val="005174EE"/>
    <w:rsid w:val="00517D74"/>
    <w:rsid w:val="005206B8"/>
    <w:rsid w:val="005279CA"/>
    <w:rsid w:val="0054378F"/>
    <w:rsid w:val="00543FB2"/>
    <w:rsid w:val="00545C0F"/>
    <w:rsid w:val="00547DFD"/>
    <w:rsid w:val="005537AF"/>
    <w:rsid w:val="005605B3"/>
    <w:rsid w:val="00567B98"/>
    <w:rsid w:val="00574291"/>
    <w:rsid w:val="00583DFD"/>
    <w:rsid w:val="0059147C"/>
    <w:rsid w:val="0059164B"/>
    <w:rsid w:val="0059402F"/>
    <w:rsid w:val="00597F54"/>
    <w:rsid w:val="005A1830"/>
    <w:rsid w:val="005A754C"/>
    <w:rsid w:val="005B1564"/>
    <w:rsid w:val="005B2FA4"/>
    <w:rsid w:val="005B71A6"/>
    <w:rsid w:val="005C2A08"/>
    <w:rsid w:val="005D658A"/>
    <w:rsid w:val="005D6BD1"/>
    <w:rsid w:val="005F13EC"/>
    <w:rsid w:val="005F34A3"/>
    <w:rsid w:val="0060116A"/>
    <w:rsid w:val="00606B11"/>
    <w:rsid w:val="00613B97"/>
    <w:rsid w:val="006410F0"/>
    <w:rsid w:val="00643DE8"/>
    <w:rsid w:val="006453A4"/>
    <w:rsid w:val="00652EE9"/>
    <w:rsid w:val="00656557"/>
    <w:rsid w:val="00660D1F"/>
    <w:rsid w:val="006656AA"/>
    <w:rsid w:val="00671DA0"/>
    <w:rsid w:val="00673121"/>
    <w:rsid w:val="006740B5"/>
    <w:rsid w:val="0067733C"/>
    <w:rsid w:val="006824DB"/>
    <w:rsid w:val="0068571E"/>
    <w:rsid w:val="006925DE"/>
    <w:rsid w:val="00694C55"/>
    <w:rsid w:val="006A0240"/>
    <w:rsid w:val="006A0372"/>
    <w:rsid w:val="006B0F17"/>
    <w:rsid w:val="006B721A"/>
    <w:rsid w:val="006C68F6"/>
    <w:rsid w:val="006D1BC2"/>
    <w:rsid w:val="006E285A"/>
    <w:rsid w:val="006F4315"/>
    <w:rsid w:val="00703628"/>
    <w:rsid w:val="00711A87"/>
    <w:rsid w:val="00711A9D"/>
    <w:rsid w:val="00717EF7"/>
    <w:rsid w:val="007258A4"/>
    <w:rsid w:val="00741B3E"/>
    <w:rsid w:val="00744150"/>
    <w:rsid w:val="00756B00"/>
    <w:rsid w:val="0076230C"/>
    <w:rsid w:val="00797A46"/>
    <w:rsid w:val="007A096B"/>
    <w:rsid w:val="007A3FD2"/>
    <w:rsid w:val="007A6761"/>
    <w:rsid w:val="007D14BC"/>
    <w:rsid w:val="007D310A"/>
    <w:rsid w:val="007E6219"/>
    <w:rsid w:val="00800120"/>
    <w:rsid w:val="00810F4B"/>
    <w:rsid w:val="00820A92"/>
    <w:rsid w:val="0083108C"/>
    <w:rsid w:val="00831CDD"/>
    <w:rsid w:val="00836F2F"/>
    <w:rsid w:val="00837CE7"/>
    <w:rsid w:val="00844577"/>
    <w:rsid w:val="008635E2"/>
    <w:rsid w:val="0086699A"/>
    <w:rsid w:val="00867F99"/>
    <w:rsid w:val="0089209E"/>
    <w:rsid w:val="008A1387"/>
    <w:rsid w:val="008B26B9"/>
    <w:rsid w:val="008B4481"/>
    <w:rsid w:val="008B5427"/>
    <w:rsid w:val="008C64EC"/>
    <w:rsid w:val="008D2346"/>
    <w:rsid w:val="008E18F9"/>
    <w:rsid w:val="008E3A5B"/>
    <w:rsid w:val="008F23EC"/>
    <w:rsid w:val="00902847"/>
    <w:rsid w:val="00907806"/>
    <w:rsid w:val="0091317C"/>
    <w:rsid w:val="00913895"/>
    <w:rsid w:val="009222F0"/>
    <w:rsid w:val="00932996"/>
    <w:rsid w:val="00937D83"/>
    <w:rsid w:val="00941F91"/>
    <w:rsid w:val="00952540"/>
    <w:rsid w:val="009527D1"/>
    <w:rsid w:val="00952DBA"/>
    <w:rsid w:val="0095318B"/>
    <w:rsid w:val="0095608F"/>
    <w:rsid w:val="0096197C"/>
    <w:rsid w:val="009642D8"/>
    <w:rsid w:val="00967E72"/>
    <w:rsid w:val="00975974"/>
    <w:rsid w:val="00981013"/>
    <w:rsid w:val="00982FBF"/>
    <w:rsid w:val="00992B8D"/>
    <w:rsid w:val="009A58C8"/>
    <w:rsid w:val="009B1E40"/>
    <w:rsid w:val="009B49A0"/>
    <w:rsid w:val="009B57D1"/>
    <w:rsid w:val="009C1FCC"/>
    <w:rsid w:val="009C7CF0"/>
    <w:rsid w:val="009D1BC2"/>
    <w:rsid w:val="009E2057"/>
    <w:rsid w:val="009E4450"/>
    <w:rsid w:val="00A01696"/>
    <w:rsid w:val="00A07927"/>
    <w:rsid w:val="00A10FCD"/>
    <w:rsid w:val="00A3378D"/>
    <w:rsid w:val="00A361DE"/>
    <w:rsid w:val="00A51020"/>
    <w:rsid w:val="00A707C6"/>
    <w:rsid w:val="00A93433"/>
    <w:rsid w:val="00A94108"/>
    <w:rsid w:val="00AA1A83"/>
    <w:rsid w:val="00AB615B"/>
    <w:rsid w:val="00AD014F"/>
    <w:rsid w:val="00AD4BC4"/>
    <w:rsid w:val="00AD5BC1"/>
    <w:rsid w:val="00AE106A"/>
    <w:rsid w:val="00AE118F"/>
    <w:rsid w:val="00AE1307"/>
    <w:rsid w:val="00AE4EC0"/>
    <w:rsid w:val="00B01094"/>
    <w:rsid w:val="00B02ACB"/>
    <w:rsid w:val="00B031D8"/>
    <w:rsid w:val="00B11648"/>
    <w:rsid w:val="00B14BDE"/>
    <w:rsid w:val="00B66D02"/>
    <w:rsid w:val="00B76AA9"/>
    <w:rsid w:val="00B831CC"/>
    <w:rsid w:val="00B832AA"/>
    <w:rsid w:val="00B94B0C"/>
    <w:rsid w:val="00B95082"/>
    <w:rsid w:val="00BA6510"/>
    <w:rsid w:val="00BB378D"/>
    <w:rsid w:val="00BB6136"/>
    <w:rsid w:val="00BB616B"/>
    <w:rsid w:val="00BC1572"/>
    <w:rsid w:val="00BC4276"/>
    <w:rsid w:val="00BD09C2"/>
    <w:rsid w:val="00BD0A14"/>
    <w:rsid w:val="00BD1170"/>
    <w:rsid w:val="00BD5D3B"/>
    <w:rsid w:val="00BD5E70"/>
    <w:rsid w:val="00BD79CB"/>
    <w:rsid w:val="00BE5280"/>
    <w:rsid w:val="00BE72DD"/>
    <w:rsid w:val="00C1265A"/>
    <w:rsid w:val="00C13C34"/>
    <w:rsid w:val="00C3304A"/>
    <w:rsid w:val="00C41DDC"/>
    <w:rsid w:val="00C44EA7"/>
    <w:rsid w:val="00C64B3C"/>
    <w:rsid w:val="00C64B7C"/>
    <w:rsid w:val="00C737CF"/>
    <w:rsid w:val="00C73CCD"/>
    <w:rsid w:val="00C958CE"/>
    <w:rsid w:val="00CA1EBC"/>
    <w:rsid w:val="00CB18A2"/>
    <w:rsid w:val="00CB2A10"/>
    <w:rsid w:val="00CC123E"/>
    <w:rsid w:val="00CC5559"/>
    <w:rsid w:val="00CC5BBE"/>
    <w:rsid w:val="00CC7E25"/>
    <w:rsid w:val="00CD1BB5"/>
    <w:rsid w:val="00CD4C4C"/>
    <w:rsid w:val="00CD5BF9"/>
    <w:rsid w:val="00D00D55"/>
    <w:rsid w:val="00D11448"/>
    <w:rsid w:val="00D174BC"/>
    <w:rsid w:val="00D205AB"/>
    <w:rsid w:val="00D2445B"/>
    <w:rsid w:val="00D24CAB"/>
    <w:rsid w:val="00D31146"/>
    <w:rsid w:val="00D33E54"/>
    <w:rsid w:val="00D40197"/>
    <w:rsid w:val="00D41BC2"/>
    <w:rsid w:val="00D703BD"/>
    <w:rsid w:val="00D82E0D"/>
    <w:rsid w:val="00D839BE"/>
    <w:rsid w:val="00DA5F04"/>
    <w:rsid w:val="00DB09D0"/>
    <w:rsid w:val="00DC3CE5"/>
    <w:rsid w:val="00DC4280"/>
    <w:rsid w:val="00DC4B47"/>
    <w:rsid w:val="00DC5F16"/>
    <w:rsid w:val="00DE0BD1"/>
    <w:rsid w:val="00DF5684"/>
    <w:rsid w:val="00DF7E37"/>
    <w:rsid w:val="00E00DD9"/>
    <w:rsid w:val="00E03AAA"/>
    <w:rsid w:val="00E04519"/>
    <w:rsid w:val="00E106AA"/>
    <w:rsid w:val="00E152CB"/>
    <w:rsid w:val="00E17A10"/>
    <w:rsid w:val="00E20A17"/>
    <w:rsid w:val="00E3296F"/>
    <w:rsid w:val="00E36EC4"/>
    <w:rsid w:val="00E37037"/>
    <w:rsid w:val="00E4520F"/>
    <w:rsid w:val="00E45426"/>
    <w:rsid w:val="00E5406D"/>
    <w:rsid w:val="00E65DA5"/>
    <w:rsid w:val="00E741F2"/>
    <w:rsid w:val="00E7438D"/>
    <w:rsid w:val="00E81DFD"/>
    <w:rsid w:val="00E92F3C"/>
    <w:rsid w:val="00E97E73"/>
    <w:rsid w:val="00EB75AD"/>
    <w:rsid w:val="00EC664F"/>
    <w:rsid w:val="00ED49FE"/>
    <w:rsid w:val="00ED4EB3"/>
    <w:rsid w:val="00EE40D2"/>
    <w:rsid w:val="00EF6828"/>
    <w:rsid w:val="00F05E22"/>
    <w:rsid w:val="00F1397A"/>
    <w:rsid w:val="00F22EA7"/>
    <w:rsid w:val="00F23A48"/>
    <w:rsid w:val="00F2688C"/>
    <w:rsid w:val="00F27F3C"/>
    <w:rsid w:val="00F3151B"/>
    <w:rsid w:val="00F3452C"/>
    <w:rsid w:val="00F357F9"/>
    <w:rsid w:val="00F4471B"/>
    <w:rsid w:val="00F5179F"/>
    <w:rsid w:val="00F57357"/>
    <w:rsid w:val="00F65EFF"/>
    <w:rsid w:val="00F6621C"/>
    <w:rsid w:val="00F679A7"/>
    <w:rsid w:val="00F93317"/>
    <w:rsid w:val="00FA5D56"/>
    <w:rsid w:val="00FB4A6A"/>
    <w:rsid w:val="00FC0161"/>
    <w:rsid w:val="00FD6E19"/>
    <w:rsid w:val="00FE2C79"/>
    <w:rsid w:val="00FE35BD"/>
    <w:rsid w:val="00FF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AB300F8B-40F3-442A-ACD4-C7C3BA4AD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F03"/>
    <w:rPr>
      <w:rFonts w:eastAsia="ＭＳ ゴシック"/>
      <w:sz w:val="24"/>
    </w:rPr>
  </w:style>
  <w:style w:type="paragraph" w:styleId="1">
    <w:name w:val="heading 1"/>
    <w:aliases w:val="H1,h1,app heading 1,l1,Memo Heading 1,h11,h12,h13,h14,h15,h16,Heading 1 3GPP"/>
    <w:basedOn w:val="a"/>
    <w:next w:val="a"/>
    <w:qFormat/>
    <w:rsid w:val="00186F03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2">
    <w:name w:val="heading 2"/>
    <w:aliases w:val="DO NOT USE_h2,h2,h21,H2,Head2A,2,UNDERRUBRIK 1-2,Heading 2 3GPP"/>
    <w:basedOn w:val="a"/>
    <w:next w:val="a"/>
    <w:qFormat/>
    <w:rsid w:val="00186F03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,h3,0H,l3,list 3,Head 3,1.1.1,3rd level,Major Section Sub Section,PA Minor Section,Head3,Level 3 Head,31,32,33,311,321,34,312,322,35,313,323,36,314,324,37,315,325,38,316,326,39,317,327,310,318,328,331,341"/>
    <w:basedOn w:val="a"/>
    <w:next w:val="a"/>
    <w:qFormat/>
    <w:rsid w:val="00186F03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qFormat/>
    <w:rsid w:val="00186F03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"/>
    <w:next w:val="a"/>
    <w:qFormat/>
    <w:rsid w:val="00186F03"/>
    <w:pPr>
      <w:keepNext/>
      <w:numPr>
        <w:ilvl w:val="4"/>
        <w:numId w:val="1"/>
      </w:numPr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"/>
    <w:next w:val="a"/>
    <w:qFormat/>
    <w:rsid w:val="00186F0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186F0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"/>
    <w:next w:val="a"/>
    <w:qFormat/>
    <w:rsid w:val="00186F0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"/>
    <w:next w:val="a"/>
    <w:qFormat/>
    <w:rsid w:val="00186F0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rsid w:val="00186F03"/>
    <w:pPr>
      <w:widowControl w:val="0"/>
    </w:pPr>
    <w:rPr>
      <w:rFonts w:ascii="Arial" w:eastAsia="ＭＳ 明朝" w:hAnsi="Arial"/>
      <w:b/>
      <w:noProof/>
      <w:sz w:val="18"/>
    </w:rPr>
  </w:style>
  <w:style w:type="paragraph" w:styleId="a4">
    <w:name w:val="footer"/>
    <w:basedOn w:val="a"/>
    <w:rsid w:val="00186F03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styleId="a5">
    <w:name w:val="page number"/>
    <w:rsid w:val="00186F03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6">
    <w:name w:val="annotation reference"/>
    <w:semiHidden/>
    <w:rsid w:val="00186F03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customStyle="1" w:styleId="Reference">
    <w:name w:val="Reference"/>
    <w:basedOn w:val="a"/>
    <w:rsid w:val="00186F0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/>
    </w:rPr>
  </w:style>
  <w:style w:type="paragraph" w:styleId="a7">
    <w:name w:val="annotation text"/>
    <w:basedOn w:val="a"/>
    <w:link w:val="a8"/>
    <w:semiHidden/>
    <w:rsid w:val="00186F03"/>
    <w:rPr>
      <w:sz w:val="20"/>
    </w:rPr>
  </w:style>
  <w:style w:type="paragraph" w:styleId="a9">
    <w:name w:val="Balloon Text"/>
    <w:basedOn w:val="a"/>
    <w:semiHidden/>
    <w:rsid w:val="00186F03"/>
    <w:rPr>
      <w:rFonts w:ascii="Tahoma" w:hAnsi="Tahoma" w:cs="Tahoma"/>
      <w:sz w:val="16"/>
      <w:szCs w:val="16"/>
    </w:rPr>
  </w:style>
  <w:style w:type="paragraph" w:styleId="aa">
    <w:name w:val="annotation subject"/>
    <w:basedOn w:val="a7"/>
    <w:next w:val="a7"/>
    <w:semiHidden/>
    <w:rsid w:val="00186F03"/>
    <w:rPr>
      <w:b/>
      <w:bCs/>
    </w:rPr>
  </w:style>
  <w:style w:type="paragraph" w:customStyle="1" w:styleId="textintend1">
    <w:name w:val="text intend 1"/>
    <w:basedOn w:val="a"/>
    <w:rsid w:val="00186F03"/>
    <w:pPr>
      <w:numPr>
        <w:numId w:val="4"/>
      </w:numPr>
      <w:spacing w:after="120"/>
      <w:jc w:val="both"/>
    </w:pPr>
  </w:style>
  <w:style w:type="character" w:styleId="ab">
    <w:name w:val="Hyperlink"/>
    <w:rsid w:val="00186F03"/>
    <w:rPr>
      <w:color w:val="0000FF"/>
      <w:u w:val="single"/>
    </w:rPr>
  </w:style>
  <w:style w:type="paragraph" w:customStyle="1" w:styleId="TAR">
    <w:name w:val="TAR"/>
    <w:basedOn w:val="a"/>
    <w:rsid w:val="00186F03"/>
    <w:pPr>
      <w:keepNext/>
      <w:keepLines/>
      <w:jc w:val="right"/>
    </w:pPr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rsid w:val="00186F03"/>
    <w:rPr>
      <w:b/>
    </w:rPr>
  </w:style>
  <w:style w:type="paragraph" w:customStyle="1" w:styleId="TAC">
    <w:name w:val="TAC"/>
    <w:basedOn w:val="a"/>
    <w:rsid w:val="00186F03"/>
    <w:pPr>
      <w:keepNext/>
      <w:keepLines/>
      <w:jc w:val="center"/>
    </w:pPr>
    <w:rPr>
      <w:rFonts w:ascii="Arial" w:eastAsia="Times New Roman" w:hAnsi="Arial"/>
      <w:sz w:val="18"/>
      <w:lang w:val="en-GB" w:eastAsia="en-US"/>
    </w:rPr>
  </w:style>
  <w:style w:type="paragraph" w:styleId="ac">
    <w:name w:val="Body Text"/>
    <w:basedOn w:val="a"/>
    <w:link w:val="ad"/>
    <w:rsid w:val="00186F03"/>
    <w:pPr>
      <w:spacing w:after="180"/>
    </w:pPr>
    <w:rPr>
      <w:rFonts w:eastAsia="Times New Roman"/>
      <w:sz w:val="20"/>
      <w:lang w:val="en-GB" w:eastAsia="en-US"/>
    </w:rPr>
  </w:style>
  <w:style w:type="character" w:customStyle="1" w:styleId="ad">
    <w:name w:val="本文 (文字)"/>
    <w:link w:val="ac"/>
    <w:rsid w:val="00186F03"/>
    <w:rPr>
      <w:rFonts w:eastAsia="Times New Roman"/>
      <w:lang w:val="en-GB" w:eastAsia="en-US"/>
    </w:rPr>
  </w:style>
  <w:style w:type="paragraph" w:customStyle="1" w:styleId="TF">
    <w:name w:val="TF"/>
    <w:basedOn w:val="a"/>
    <w:rsid w:val="00186F03"/>
    <w:pPr>
      <w:keepLines/>
      <w:spacing w:after="240"/>
      <w:jc w:val="center"/>
    </w:pPr>
    <w:rPr>
      <w:rFonts w:ascii="Arial" w:eastAsia="Times New Roman" w:hAnsi="Arial"/>
      <w:b/>
      <w:sz w:val="20"/>
      <w:lang w:val="en-GB" w:eastAsia="en-US"/>
    </w:rPr>
  </w:style>
  <w:style w:type="paragraph" w:customStyle="1" w:styleId="TH">
    <w:name w:val="TH"/>
    <w:basedOn w:val="a"/>
    <w:rsid w:val="00186F03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 w:eastAsia="en-US"/>
    </w:rPr>
  </w:style>
  <w:style w:type="table" w:styleId="ae">
    <w:name w:val="Table Grid"/>
    <w:basedOn w:val="a1"/>
    <w:rsid w:val="00186F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basedOn w:val="a"/>
    <w:next w:val="a"/>
    <w:qFormat/>
    <w:rsid w:val="00186F03"/>
    <w:pPr>
      <w:spacing w:after="180"/>
    </w:pPr>
    <w:rPr>
      <w:rFonts w:eastAsia="Batang"/>
      <w:b/>
      <w:bCs/>
      <w:sz w:val="20"/>
      <w:lang w:val="en-GB" w:eastAsia="en-US"/>
    </w:rPr>
  </w:style>
  <w:style w:type="paragraph" w:customStyle="1" w:styleId="B1">
    <w:name w:val="B1"/>
    <w:basedOn w:val="af0"/>
    <w:link w:val="B1Char1"/>
    <w:rsid w:val="00186F03"/>
    <w:pPr>
      <w:spacing w:after="180"/>
      <w:ind w:left="568" w:hanging="284"/>
      <w:contextualSpacing w:val="0"/>
    </w:pPr>
    <w:rPr>
      <w:rFonts w:eastAsia="Batang"/>
      <w:sz w:val="20"/>
      <w:lang w:val="en-GB" w:eastAsia="en-US"/>
    </w:rPr>
  </w:style>
  <w:style w:type="character" w:customStyle="1" w:styleId="B1Char1">
    <w:name w:val="B1 Char1"/>
    <w:link w:val="B1"/>
    <w:rsid w:val="00186F03"/>
    <w:rPr>
      <w:rFonts w:eastAsia="Batang"/>
      <w:lang w:val="en-GB" w:eastAsia="en-US"/>
    </w:rPr>
  </w:style>
  <w:style w:type="paragraph" w:styleId="af0">
    <w:name w:val="List"/>
    <w:basedOn w:val="a"/>
    <w:rsid w:val="00186F03"/>
    <w:pPr>
      <w:ind w:left="283" w:hanging="283"/>
      <w:contextualSpacing/>
    </w:pPr>
  </w:style>
  <w:style w:type="paragraph" w:styleId="af1">
    <w:name w:val="footnote text"/>
    <w:basedOn w:val="a"/>
    <w:link w:val="af2"/>
    <w:rsid w:val="00186F03"/>
    <w:rPr>
      <w:sz w:val="20"/>
    </w:rPr>
  </w:style>
  <w:style w:type="character" w:customStyle="1" w:styleId="af2">
    <w:name w:val="脚注文字列 (文字)"/>
    <w:link w:val="af1"/>
    <w:rsid w:val="00186F03"/>
    <w:rPr>
      <w:rFonts w:eastAsia="ＭＳ ゴシック"/>
      <w:lang w:eastAsia="ja-JP"/>
    </w:rPr>
  </w:style>
  <w:style w:type="character" w:styleId="af3">
    <w:name w:val="footnote reference"/>
    <w:rsid w:val="00186F03"/>
    <w:rPr>
      <w:vertAlign w:val="superscript"/>
    </w:rPr>
  </w:style>
  <w:style w:type="paragraph" w:styleId="af4">
    <w:name w:val="List Paragraph"/>
    <w:basedOn w:val="a"/>
    <w:uiPriority w:val="34"/>
    <w:qFormat/>
    <w:rsid w:val="00186F03"/>
    <w:pPr>
      <w:ind w:leftChars="400" w:left="840"/>
    </w:pPr>
  </w:style>
  <w:style w:type="paragraph" w:styleId="af5">
    <w:name w:val="Revision"/>
    <w:hidden/>
    <w:uiPriority w:val="99"/>
    <w:semiHidden/>
    <w:rsid w:val="00186F03"/>
    <w:rPr>
      <w:rFonts w:eastAsia="ＭＳ ゴシック"/>
      <w:sz w:val="24"/>
    </w:rPr>
  </w:style>
  <w:style w:type="paragraph" w:customStyle="1" w:styleId="list1">
    <w:name w:val="list 1"/>
    <w:basedOn w:val="a"/>
    <w:rsid w:val="00186F03"/>
    <w:pPr>
      <w:numPr>
        <w:numId w:val="30"/>
      </w:numPr>
      <w:spacing w:after="60"/>
      <w:jc w:val="both"/>
    </w:pPr>
    <w:rPr>
      <w:rFonts w:ascii="Arial" w:eastAsia="SimSun" w:hAnsi="Arial"/>
      <w:sz w:val="20"/>
      <w:lang w:eastAsia="en-US"/>
    </w:rPr>
  </w:style>
  <w:style w:type="character" w:customStyle="1" w:styleId="a8">
    <w:name w:val="コメント文字列 (文字)"/>
    <w:link w:val="a7"/>
    <w:semiHidden/>
    <w:rsid w:val="00B14BDE"/>
    <w:rPr>
      <w:rFonts w:eastAsia="ＭＳ ゴシック"/>
    </w:rPr>
  </w:style>
  <w:style w:type="paragraph" w:customStyle="1" w:styleId="PL">
    <w:name w:val="PL"/>
    <w:link w:val="PLChar"/>
    <w:rsid w:val="00992B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992B8D"/>
    <w:rPr>
      <w:rFonts w:ascii="Courier New" w:eastAsia="SimSun" w:hAnsi="Courier New"/>
      <w:noProof/>
      <w:sz w:val="16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E5280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3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805299-DADC-48AF-A040-BC6214B9A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969</Words>
  <Characters>5528</Characters>
  <Application>Microsoft Office Word</Application>
  <DocSecurity>0</DocSecurity>
  <Lines>46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見出し</vt:lpstr>
      </vt:variant>
      <vt:variant>
        <vt:i4>7</vt:i4>
      </vt:variant>
      <vt:variant>
        <vt:lpstr>Title</vt:lpstr>
      </vt:variant>
      <vt:variant>
        <vt:i4>1</vt:i4>
      </vt:variant>
    </vt:vector>
  </HeadingPairs>
  <TitlesOfParts>
    <vt:vector size="9" baseType="lpstr">
      <vt:lpstr>Sharp</vt:lpstr>
      <vt:lpstr>Introduction</vt:lpstr>
      <vt:lpstr>Discussion</vt:lpstr>
      <vt:lpstr>    Accommodation of different CP length NB-IoT</vt:lpstr>
      <vt:lpstr>    Accommodation of different subcarrier spacing NB-IoT</vt:lpstr>
      <vt:lpstr>Conclusion </vt:lpstr>
      <vt:lpstr>References</vt:lpstr>
      <vt:lpstr>RP-151621, Qualcomm, “New Work Item: NarrowBand IOT (NB-IOT)”, RAN#69, September</vt:lpstr>
      <vt:lpstr>Sharp</vt:lpstr>
    </vt:vector>
  </TitlesOfParts>
  <Company>Microsoft</Company>
  <LinksUpToDate>false</LinksUpToDate>
  <CharactersWithSpaces>6485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Sharp</dc:title>
  <dc:subject/>
  <dc:creator>Shohei Yamada</dc:creator>
  <cp:keywords/>
  <cp:lastModifiedBy>Kazunari Yokomakura</cp:lastModifiedBy>
  <cp:revision>35</cp:revision>
  <cp:lastPrinted>2014-01-16T07:25:00Z</cp:lastPrinted>
  <dcterms:created xsi:type="dcterms:W3CDTF">2015-11-06T10:03:00Z</dcterms:created>
  <dcterms:modified xsi:type="dcterms:W3CDTF">2015-11-11T04:52:00Z</dcterms:modified>
</cp:coreProperties>
</file>