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14A07" w14:textId="6BC3732E" w:rsidR="00714130" w:rsidRPr="00A24DD0" w:rsidRDefault="00714130" w:rsidP="00714130">
      <w:pPr>
        <w:pStyle w:val="FootnoteText"/>
        <w:rPr>
          <w:rFonts w:ascii="Arial" w:hAnsi="Arial"/>
          <w:b/>
          <w:sz w:val="24"/>
        </w:rPr>
      </w:pPr>
      <w:bookmarkStart w:id="0" w:name="OLE_LINK1"/>
      <w:bookmarkStart w:id="1" w:name="OLE_LINK2"/>
      <w:bookmarkStart w:id="2" w:name="_GoBack"/>
      <w:bookmarkEnd w:id="2"/>
      <w:r w:rsidRPr="00A24DD0">
        <w:rPr>
          <w:rFonts w:ascii="Arial" w:hAnsi="Arial"/>
          <w:b/>
          <w:sz w:val="24"/>
        </w:rPr>
        <w:t>3GPP TSG</w:t>
      </w:r>
      <w:r w:rsidRPr="00714130">
        <w:rPr>
          <w:rFonts w:ascii="Arial" w:eastAsia="SimSun" w:hAnsi="Arial" w:cs="Arial"/>
          <w:b/>
          <w:bCs/>
          <w:noProof/>
          <w:sz w:val="24"/>
          <w:szCs w:val="24"/>
          <w:lang w:eastAsia="zh-CN"/>
        </w:rPr>
        <w:t>-RAN WG1</w:t>
      </w:r>
      <w:r w:rsidRPr="00A24DD0">
        <w:rPr>
          <w:rFonts w:ascii="Arial" w:hAnsi="Arial"/>
          <w:b/>
          <w:sz w:val="24"/>
        </w:rPr>
        <w:t xml:space="preserve"> Meeting #83</w:t>
      </w:r>
      <w:r w:rsidRPr="00714130">
        <w:rPr>
          <w:rFonts w:ascii="Arial" w:eastAsia="SimSun" w:hAnsi="Arial" w:cs="Arial"/>
          <w:b/>
          <w:bCs/>
          <w:noProof/>
          <w:sz w:val="24"/>
          <w:szCs w:val="24"/>
          <w:lang w:eastAsia="zh-CN"/>
        </w:rPr>
        <w:t xml:space="preserve">                                                               </w:t>
      </w:r>
      <w:r w:rsidR="007C54BB" w:rsidRPr="007C54BB">
        <w:rPr>
          <w:rFonts w:ascii="Arial" w:hAnsi="Arial"/>
          <w:b/>
          <w:sz w:val="24"/>
        </w:rPr>
        <w:t>R1-</w:t>
      </w:r>
      <w:r w:rsidRPr="00A24DD0">
        <w:rPr>
          <w:rFonts w:ascii="Arial" w:hAnsi="Arial"/>
          <w:b/>
          <w:sz w:val="24"/>
        </w:rPr>
        <w:t>15</w:t>
      </w:r>
      <w:r w:rsidR="002A7863" w:rsidRPr="002A7863">
        <w:rPr>
          <w:rFonts w:ascii="Arial" w:hAnsi="Arial"/>
          <w:b/>
          <w:sz w:val="24"/>
        </w:rPr>
        <w:t>7272</w:t>
      </w:r>
    </w:p>
    <w:p w14:paraId="1221D08D" w14:textId="78A5705C" w:rsidR="00DE6F62" w:rsidRPr="00A24DD0" w:rsidRDefault="00714130" w:rsidP="00714130">
      <w:pPr>
        <w:pStyle w:val="FootnoteText"/>
        <w:rPr>
          <w:rFonts w:ascii="Arial" w:hAnsi="Arial"/>
          <w:b/>
          <w:sz w:val="24"/>
        </w:rPr>
      </w:pPr>
      <w:r w:rsidRPr="00A24DD0">
        <w:rPr>
          <w:rFonts w:ascii="Arial" w:hAnsi="Arial"/>
          <w:b/>
          <w:sz w:val="24"/>
        </w:rPr>
        <w:t xml:space="preserve">Anaheim, USA, 15th </w:t>
      </w:r>
      <w:r w:rsidRPr="00714130">
        <w:rPr>
          <w:rFonts w:ascii="Arial" w:eastAsia="SimSun" w:hAnsi="Arial" w:cs="Arial"/>
          <w:b/>
          <w:bCs/>
          <w:noProof/>
          <w:sz w:val="24"/>
          <w:szCs w:val="24"/>
          <w:lang w:eastAsia="zh-CN"/>
        </w:rPr>
        <w:t>- 22th</w:t>
      </w:r>
      <w:r w:rsidRPr="00A24DD0">
        <w:rPr>
          <w:rFonts w:ascii="Arial" w:hAnsi="Arial"/>
          <w:b/>
          <w:sz w:val="24"/>
        </w:rPr>
        <w:t xml:space="preserve"> November 2015</w:t>
      </w:r>
    </w:p>
    <w:p w14:paraId="364A7B2E" w14:textId="77777777" w:rsidR="00714130" w:rsidRDefault="00714130" w:rsidP="00714130">
      <w:pPr>
        <w:pStyle w:val="FootnoteText"/>
        <w:rPr>
          <w:sz w:val="24"/>
          <w:szCs w:val="24"/>
        </w:rPr>
      </w:pPr>
    </w:p>
    <w:p w14:paraId="626451E6" w14:textId="77777777" w:rsidR="00714130" w:rsidRDefault="00714130" w:rsidP="00714130">
      <w:pPr>
        <w:pStyle w:val="FootnoteText"/>
        <w:rPr>
          <w:sz w:val="24"/>
          <w:szCs w:val="24"/>
        </w:rPr>
      </w:pPr>
    </w:p>
    <w:p w14:paraId="3DA6DB9E" w14:textId="77777777" w:rsidR="00714130" w:rsidRPr="00711E13" w:rsidRDefault="00714130" w:rsidP="00714130">
      <w:pPr>
        <w:pStyle w:val="CRCoverPage"/>
        <w:rPr>
          <w:rFonts w:cs="Arial"/>
          <w:b/>
          <w:bCs/>
          <w:sz w:val="24"/>
          <w:lang w:eastAsia="ja-JP"/>
        </w:rPr>
      </w:pPr>
      <w:r w:rsidRPr="00711E13">
        <w:rPr>
          <w:rFonts w:cs="Arial"/>
          <w:b/>
          <w:bCs/>
          <w:sz w:val="24"/>
        </w:rPr>
        <w:t>Agenda item:</w:t>
      </w:r>
      <w:r>
        <w:rPr>
          <w:rFonts w:cs="Arial"/>
          <w:b/>
          <w:bCs/>
          <w:sz w:val="24"/>
        </w:rPr>
        <w:t xml:space="preserve">       6.2.7.2</w:t>
      </w:r>
    </w:p>
    <w:p w14:paraId="454407ED" w14:textId="10BDB51D" w:rsidR="00714130" w:rsidRPr="00A24DD0" w:rsidRDefault="00714130" w:rsidP="00A24DD0">
      <w:pPr>
        <w:tabs>
          <w:tab w:val="left" w:pos="1985"/>
        </w:tabs>
        <w:rPr>
          <w:rFonts w:ascii="Arial" w:hAnsi="Arial"/>
          <w:b/>
          <w:sz w:val="24"/>
        </w:rPr>
      </w:pPr>
      <w:r w:rsidRPr="00A24DD0">
        <w:rPr>
          <w:rFonts w:ascii="Arial" w:hAnsi="Arial"/>
          <w:b/>
          <w:sz w:val="24"/>
        </w:rPr>
        <w:t>Source:</w:t>
      </w:r>
      <w:r w:rsidRPr="00A24DD0">
        <w:rPr>
          <w:rFonts w:ascii="Arial" w:hAnsi="Arial"/>
          <w:b/>
          <w:sz w:val="24"/>
        </w:rPr>
        <w:tab/>
        <w:t>Nokia Networks</w:t>
      </w:r>
    </w:p>
    <w:p w14:paraId="5DF0EC88" w14:textId="7A580C7F" w:rsidR="00714130" w:rsidRPr="00A24DD0" w:rsidRDefault="00714130" w:rsidP="00A24DD0">
      <w:pPr>
        <w:ind w:left="1985" w:hanging="1985"/>
        <w:rPr>
          <w:rFonts w:ascii="Arial" w:hAnsi="Arial"/>
          <w:b/>
          <w:sz w:val="24"/>
        </w:rPr>
      </w:pPr>
      <w:r w:rsidRPr="00A24DD0">
        <w:rPr>
          <w:rFonts w:ascii="Arial" w:hAnsi="Arial"/>
          <w:b/>
          <w:sz w:val="24"/>
        </w:rPr>
        <w:t>Title:</w:t>
      </w:r>
      <w:bookmarkStart w:id="3" w:name="Title"/>
      <w:bookmarkEnd w:id="3"/>
      <w:r w:rsidRPr="00A24DD0">
        <w:rPr>
          <w:rFonts w:ascii="Arial" w:hAnsi="Arial"/>
          <w:b/>
          <w:sz w:val="24"/>
        </w:rPr>
        <w:tab/>
      </w:r>
      <w:r w:rsidRPr="00714130">
        <w:rPr>
          <w:rFonts w:ascii="Arial" w:hAnsi="Arial" w:cs="Arial"/>
          <w:b/>
          <w:bCs/>
          <w:sz w:val="24"/>
          <w:szCs w:val="24"/>
        </w:rPr>
        <w:t>Design recommendations</w:t>
      </w:r>
      <w:r w:rsidRPr="00A24DD0">
        <w:rPr>
          <w:rFonts w:ascii="Arial" w:hAnsi="Arial"/>
          <w:b/>
          <w:sz w:val="24"/>
        </w:rPr>
        <w:t xml:space="preserve"> for </w:t>
      </w:r>
      <w:r w:rsidRPr="00714130">
        <w:rPr>
          <w:rFonts w:ascii="Arial" w:hAnsi="Arial" w:cs="Arial"/>
          <w:b/>
          <w:bCs/>
          <w:sz w:val="24"/>
          <w:szCs w:val="24"/>
        </w:rPr>
        <w:t>NB-IoT</w:t>
      </w:r>
    </w:p>
    <w:p w14:paraId="7EAF0AA6" w14:textId="6CB4C54A" w:rsidR="00714130" w:rsidRPr="00A24DD0" w:rsidRDefault="00714130" w:rsidP="00A24DD0">
      <w:pPr>
        <w:rPr>
          <w:rFonts w:ascii="Arial" w:hAnsi="Arial"/>
          <w:b/>
          <w:sz w:val="24"/>
        </w:rPr>
      </w:pPr>
      <w:r w:rsidRPr="00A24DD0">
        <w:rPr>
          <w:rFonts w:ascii="Arial" w:hAnsi="Arial"/>
          <w:b/>
          <w:sz w:val="24"/>
        </w:rPr>
        <w:t>Document for:</w:t>
      </w:r>
      <w:r>
        <w:rPr>
          <w:rFonts w:ascii="Arial" w:hAnsi="Arial" w:cs="Arial"/>
          <w:b/>
          <w:bCs/>
          <w:sz w:val="24"/>
        </w:rPr>
        <w:t xml:space="preserve">     </w:t>
      </w:r>
      <w:r w:rsidRPr="00A24DD0">
        <w:rPr>
          <w:rFonts w:ascii="Arial" w:hAnsi="Arial"/>
          <w:b/>
          <w:sz w:val="24"/>
        </w:rPr>
        <w:t>Discussion</w:t>
      </w:r>
      <w:r w:rsidRPr="00711E13">
        <w:rPr>
          <w:rFonts w:ascii="Arial" w:hAnsi="Arial" w:cs="Arial"/>
          <w:b/>
          <w:bCs/>
          <w:sz w:val="24"/>
        </w:rPr>
        <w:t xml:space="preserve"> </w:t>
      </w:r>
      <w:r>
        <w:rPr>
          <w:rFonts w:ascii="Arial" w:hAnsi="Arial" w:cs="Arial"/>
          <w:b/>
          <w:bCs/>
          <w:sz w:val="24"/>
        </w:rPr>
        <w:t>and Decision</w:t>
      </w:r>
    </w:p>
    <w:p w14:paraId="1C387C11" w14:textId="77777777" w:rsidR="00714130" w:rsidRPr="00714130" w:rsidRDefault="00714130" w:rsidP="00714130">
      <w:pPr>
        <w:pStyle w:val="FootnoteText"/>
        <w:rPr>
          <w:sz w:val="24"/>
          <w:szCs w:val="24"/>
          <w:lang w:val="en-GB"/>
        </w:rPr>
      </w:pPr>
    </w:p>
    <w:p w14:paraId="3DFC5219" w14:textId="77777777" w:rsidR="001B4C46" w:rsidRDefault="001B4C46" w:rsidP="001B4C46">
      <w:pPr>
        <w:pStyle w:val="Heading1"/>
      </w:pPr>
      <w:bookmarkStart w:id="4" w:name="_Ref409106980"/>
      <w:bookmarkStart w:id="5" w:name="_Ref387147111"/>
      <w:bookmarkStart w:id="6" w:name="_Ref416466774"/>
      <w:bookmarkEnd w:id="0"/>
      <w:bookmarkEnd w:id="1"/>
      <w:r w:rsidRPr="001B4C46">
        <w:t>Introduction</w:t>
      </w:r>
      <w:bookmarkEnd w:id="4"/>
    </w:p>
    <w:p w14:paraId="13E64C39" w14:textId="4AECEEDE" w:rsidR="002B4F6A" w:rsidRDefault="003A2944" w:rsidP="002B4F6A">
      <w:bookmarkStart w:id="7" w:name="_Ref421460494"/>
      <w:r w:rsidRPr="00E57B48">
        <w:t xml:space="preserve">At </w:t>
      </w:r>
      <w:r>
        <w:t xml:space="preserve">RAN#69 </w:t>
      </w:r>
      <w:r w:rsidRPr="00E57B48">
        <w:t xml:space="preserve">a new </w:t>
      </w:r>
      <w:r>
        <w:rPr>
          <w:lang w:val="en-US"/>
        </w:rPr>
        <w:t>work item on narrowband IoT was agreed</w:t>
      </w:r>
      <w:r w:rsidR="00A12257">
        <w:rPr>
          <w:lang w:val="en-US"/>
        </w:rPr>
        <w:t xml:space="preserve"> </w:t>
      </w:r>
      <w:r w:rsidR="00A12257">
        <w:rPr>
          <w:lang w:val="en-US"/>
        </w:rPr>
        <w:fldChar w:fldCharType="begin"/>
      </w:r>
      <w:r w:rsidR="00A12257">
        <w:rPr>
          <w:lang w:val="en-US"/>
        </w:rPr>
        <w:instrText xml:space="preserve"> REF _Ref433636538 \r \h </w:instrText>
      </w:r>
      <w:r w:rsidR="00A12257">
        <w:rPr>
          <w:lang w:val="en-US"/>
        </w:rPr>
      </w:r>
      <w:r w:rsidR="00A12257">
        <w:rPr>
          <w:lang w:val="en-US"/>
        </w:rPr>
        <w:fldChar w:fldCharType="separate"/>
      </w:r>
      <w:r w:rsidR="00241BE1">
        <w:rPr>
          <w:lang w:val="en-US"/>
        </w:rPr>
        <w:t>[1]</w:t>
      </w:r>
      <w:r w:rsidR="00A12257">
        <w:rPr>
          <w:lang w:val="en-US"/>
        </w:rPr>
        <w:fldChar w:fldCharType="end"/>
      </w:r>
      <w:r>
        <w:rPr>
          <w:lang w:val="en-US"/>
        </w:rPr>
        <w:t xml:space="preserve">. </w:t>
      </w:r>
      <w:bookmarkEnd w:id="7"/>
      <w:r w:rsidR="002B4F6A">
        <w:t xml:space="preserve">NB-IOT should support 3 different modes of operation: </w:t>
      </w:r>
    </w:p>
    <w:p w14:paraId="0506D099" w14:textId="77777777" w:rsidR="002B4F6A" w:rsidRDefault="002B4F6A" w:rsidP="002B4F6A">
      <w:pPr>
        <w:ind w:left="720" w:hanging="720"/>
      </w:pPr>
      <w:r>
        <w:t>1.</w:t>
      </w:r>
      <w:r>
        <w:tab/>
        <w:t>‘Stand-alone operation’ utilizing for example the spectrum currently being used by GERAN systems as a replacement of one or more GSM carriers</w:t>
      </w:r>
    </w:p>
    <w:p w14:paraId="717D1F4C" w14:textId="77777777" w:rsidR="002B4F6A" w:rsidRDefault="002B4F6A" w:rsidP="002B4F6A">
      <w:r>
        <w:t>2.</w:t>
      </w:r>
      <w:r>
        <w:tab/>
        <w:t xml:space="preserve">‘Guard band operation’ utilizing the unused resource blocks within a LTE carrier’s guard-band </w:t>
      </w:r>
    </w:p>
    <w:p w14:paraId="68269CC5" w14:textId="77777777" w:rsidR="002B4F6A" w:rsidRPr="00602DF5" w:rsidRDefault="002B4F6A" w:rsidP="002B4F6A">
      <w:r>
        <w:t>3.</w:t>
      </w:r>
      <w:r>
        <w:tab/>
        <w:t>‘In-band operation’ utilizing resource blocks within a normal LTE carrier</w:t>
      </w:r>
    </w:p>
    <w:p w14:paraId="2C591CA4" w14:textId="77777777" w:rsidR="002B4F6A" w:rsidRPr="002B4F6A" w:rsidRDefault="002B4F6A" w:rsidP="003A2944">
      <w:pPr>
        <w:pStyle w:val="BodyText"/>
      </w:pPr>
    </w:p>
    <w:p w14:paraId="71AC88B5" w14:textId="3649856A" w:rsidR="002B4F6A" w:rsidRDefault="002B4F6A" w:rsidP="002B4F6A">
      <w:pPr>
        <w:spacing w:after="180"/>
        <w:ind w:right="-99"/>
        <w:jc w:val="left"/>
        <w:rPr>
          <w:bCs/>
        </w:rPr>
      </w:pPr>
      <w:r>
        <w:rPr>
          <w:lang w:val="en-US"/>
        </w:rPr>
        <w:t>A technical evaluation for</w:t>
      </w:r>
      <w:r w:rsidR="001D218F">
        <w:rPr>
          <w:lang w:val="en-US"/>
        </w:rPr>
        <w:t xml:space="preserve"> the solutions outlined from </w:t>
      </w:r>
      <w:r w:rsidR="001D218F">
        <w:rPr>
          <w:lang w:val="en-US"/>
        </w:rPr>
        <w:fldChar w:fldCharType="begin"/>
      </w:r>
      <w:r w:rsidR="001D218F">
        <w:rPr>
          <w:lang w:val="en-US"/>
        </w:rPr>
        <w:instrText xml:space="preserve"> REF _Ref433636538 \n \h </w:instrText>
      </w:r>
      <w:r w:rsidR="001D218F">
        <w:rPr>
          <w:lang w:val="en-US"/>
        </w:rPr>
      </w:r>
      <w:r w:rsidR="001D218F">
        <w:rPr>
          <w:lang w:val="en-US"/>
        </w:rPr>
        <w:fldChar w:fldCharType="separate"/>
      </w:r>
      <w:r w:rsidR="00241BE1">
        <w:rPr>
          <w:lang w:val="en-US"/>
        </w:rPr>
        <w:t>[1]</w:t>
      </w:r>
      <w:r w:rsidR="001D218F">
        <w:rPr>
          <w:lang w:val="en-US"/>
        </w:rPr>
        <w:fldChar w:fldCharType="end"/>
      </w:r>
      <w:r>
        <w:rPr>
          <w:bCs/>
        </w:rPr>
        <w:t xml:space="preserve"> strives for a single solution / down-selection, and the decision will be performed by RAN #70 </w:t>
      </w:r>
      <w:r w:rsidR="00714130">
        <w:rPr>
          <w:bCs/>
        </w:rPr>
        <w:t>based on</w:t>
      </w:r>
      <w:r>
        <w:rPr>
          <w:bCs/>
        </w:rPr>
        <w:t xml:space="preserve"> RAN1 evaluation. </w:t>
      </w:r>
      <w:r w:rsidR="00714130">
        <w:rPr>
          <w:bCs/>
        </w:rPr>
        <w:t>The current options under study are:</w:t>
      </w:r>
    </w:p>
    <w:p w14:paraId="03056C63" w14:textId="2A9F22CB" w:rsidR="002B4F6A" w:rsidRDefault="002B4F6A" w:rsidP="002B4F6A">
      <w:pPr>
        <w:numPr>
          <w:ilvl w:val="0"/>
          <w:numId w:val="45"/>
        </w:numPr>
        <w:spacing w:after="180"/>
        <w:ind w:right="-99"/>
        <w:jc w:val="left"/>
        <w:rPr>
          <w:bCs/>
        </w:rPr>
      </w:pPr>
      <w:r w:rsidRPr="002B4F6A">
        <w:rPr>
          <w:bCs/>
        </w:rPr>
        <w:t>OFDMA on the downlink</w:t>
      </w:r>
      <w:r w:rsidR="00714130">
        <w:rPr>
          <w:bCs/>
        </w:rPr>
        <w:t xml:space="preserve"> with t</w:t>
      </w:r>
      <w:r w:rsidRPr="002B4F6A">
        <w:rPr>
          <w:bCs/>
        </w:rPr>
        <w:t xml:space="preserve">wo numerology options: </w:t>
      </w:r>
    </w:p>
    <w:p w14:paraId="021BC359" w14:textId="77777777" w:rsidR="002B4F6A" w:rsidRDefault="002B4F6A" w:rsidP="002B4F6A">
      <w:pPr>
        <w:numPr>
          <w:ilvl w:val="1"/>
          <w:numId w:val="45"/>
        </w:numPr>
        <w:spacing w:after="180"/>
        <w:ind w:right="-99"/>
        <w:jc w:val="left"/>
        <w:rPr>
          <w:bCs/>
        </w:rPr>
      </w:pPr>
      <w:r w:rsidRPr="002B4F6A">
        <w:rPr>
          <w:bCs/>
        </w:rPr>
        <w:t xml:space="preserve">15 kHz sub-carrier spacing (with normal or extended CP) and </w:t>
      </w:r>
    </w:p>
    <w:p w14:paraId="7E21D558" w14:textId="77777777" w:rsidR="002B4F6A" w:rsidRPr="002B4F6A" w:rsidRDefault="002B4F6A" w:rsidP="002B4F6A">
      <w:pPr>
        <w:numPr>
          <w:ilvl w:val="1"/>
          <w:numId w:val="45"/>
        </w:numPr>
        <w:spacing w:after="180"/>
        <w:ind w:right="-99"/>
        <w:jc w:val="left"/>
        <w:rPr>
          <w:bCs/>
        </w:rPr>
      </w:pPr>
      <w:r w:rsidRPr="002B4F6A">
        <w:rPr>
          <w:bCs/>
        </w:rPr>
        <w:t xml:space="preserve">3.75 kHz sub-carrier spacing. </w:t>
      </w:r>
    </w:p>
    <w:p w14:paraId="730281A7" w14:textId="467BCDEC" w:rsidR="002B4F6A" w:rsidRDefault="002B4F6A" w:rsidP="002B4F6A">
      <w:pPr>
        <w:numPr>
          <w:ilvl w:val="0"/>
          <w:numId w:val="45"/>
        </w:numPr>
        <w:spacing w:after="180"/>
        <w:ind w:right="-99"/>
        <w:jc w:val="left"/>
        <w:rPr>
          <w:bCs/>
        </w:rPr>
      </w:pPr>
      <w:r w:rsidRPr="002B4F6A">
        <w:rPr>
          <w:bCs/>
        </w:rPr>
        <w:t xml:space="preserve">For the uplink, </w:t>
      </w:r>
      <w:r>
        <w:rPr>
          <w:bCs/>
        </w:rPr>
        <w:tab/>
      </w:r>
      <w:r w:rsidRPr="002B4F6A">
        <w:rPr>
          <w:bCs/>
        </w:rPr>
        <w:t xml:space="preserve">two options </w:t>
      </w:r>
      <w:r w:rsidR="00384AB5">
        <w:rPr>
          <w:bCs/>
        </w:rPr>
        <w:t>are</w:t>
      </w:r>
      <w:r w:rsidRPr="002B4F6A">
        <w:rPr>
          <w:bCs/>
        </w:rPr>
        <w:t xml:space="preserve"> considered: </w:t>
      </w:r>
    </w:p>
    <w:p w14:paraId="4234E392" w14:textId="77777777" w:rsidR="002B4F6A" w:rsidRDefault="002B4F6A" w:rsidP="002B4F6A">
      <w:pPr>
        <w:numPr>
          <w:ilvl w:val="1"/>
          <w:numId w:val="45"/>
        </w:numPr>
        <w:spacing w:after="180"/>
        <w:ind w:right="-99"/>
        <w:jc w:val="left"/>
        <w:rPr>
          <w:bCs/>
        </w:rPr>
      </w:pPr>
      <w:r w:rsidRPr="002B4F6A">
        <w:rPr>
          <w:bCs/>
        </w:rPr>
        <w:t xml:space="preserve">FDMA with GMSK modulation (as described in 3GPP TR 45.820 section 7.3), and </w:t>
      </w:r>
    </w:p>
    <w:p w14:paraId="020B3448" w14:textId="77777777" w:rsidR="002B4F6A" w:rsidRPr="002B4F6A" w:rsidRDefault="002B4F6A" w:rsidP="002B4F6A">
      <w:pPr>
        <w:numPr>
          <w:ilvl w:val="1"/>
          <w:numId w:val="45"/>
        </w:numPr>
        <w:spacing w:after="180"/>
        <w:ind w:right="-99"/>
        <w:jc w:val="left"/>
        <w:rPr>
          <w:bCs/>
        </w:rPr>
      </w:pPr>
      <w:r w:rsidRPr="002B4F6A">
        <w:rPr>
          <w:bCs/>
        </w:rPr>
        <w:t>SC-FDMA (</w:t>
      </w:r>
      <w:r w:rsidRPr="002B4F6A">
        <w:rPr>
          <w:rFonts w:hint="eastAsia"/>
          <w:bCs/>
          <w:lang w:eastAsia="ko-KR"/>
        </w:rPr>
        <w:t>including single</w:t>
      </w:r>
      <w:r w:rsidRPr="002B4F6A">
        <w:rPr>
          <w:bCs/>
          <w:lang w:eastAsia="ko-KR"/>
        </w:rPr>
        <w:t>-</w:t>
      </w:r>
      <w:r w:rsidRPr="002B4F6A">
        <w:rPr>
          <w:rFonts w:hint="eastAsia"/>
          <w:bCs/>
          <w:lang w:eastAsia="ko-KR"/>
        </w:rPr>
        <w:t>tone transmission as a special case of SC-FDMA</w:t>
      </w:r>
      <w:r w:rsidRPr="002B4F6A">
        <w:rPr>
          <w:bCs/>
        </w:rPr>
        <w:t xml:space="preserve">) </w:t>
      </w:r>
    </w:p>
    <w:p w14:paraId="02E15247" w14:textId="34FCEB12" w:rsidR="00F75D60" w:rsidRDefault="008003AC" w:rsidP="003A2944">
      <w:pPr>
        <w:pStyle w:val="BodyText"/>
      </w:pPr>
      <w:r>
        <w:t xml:space="preserve">This document outlines </w:t>
      </w:r>
      <w:r w:rsidR="002F1C46">
        <w:t>a summary of our</w:t>
      </w:r>
      <w:r>
        <w:t xml:space="preserve"> evaluation and </w:t>
      </w:r>
      <w:r w:rsidR="00C745ED">
        <w:t>proposes</w:t>
      </w:r>
      <w:r w:rsidR="004B50C2">
        <w:t xml:space="preserve"> </w:t>
      </w:r>
      <w:r w:rsidR="00C745ED">
        <w:t>NB-IoT design</w:t>
      </w:r>
      <w:r w:rsidR="004B50C2">
        <w:t xml:space="preserve"> recommendation</w:t>
      </w:r>
      <w:r w:rsidR="00C745ED">
        <w:t>s</w:t>
      </w:r>
      <w:r w:rsidR="004B50C2">
        <w:t xml:space="preserve"> for RAN#70.</w:t>
      </w:r>
      <w:r>
        <w:t xml:space="preserve"> </w:t>
      </w:r>
    </w:p>
    <w:p w14:paraId="191E100A" w14:textId="77777777" w:rsidR="001B4C46" w:rsidRDefault="00F75D60" w:rsidP="001B4C46">
      <w:pPr>
        <w:pStyle w:val="Heading1"/>
      </w:pPr>
      <w:r>
        <w:t>Downlink configuration</w:t>
      </w:r>
    </w:p>
    <w:p w14:paraId="315A1A7C" w14:textId="77777777" w:rsidR="00F35519" w:rsidRDefault="00F35519" w:rsidP="00F35519">
      <w:pPr>
        <w:pStyle w:val="Heading2"/>
      </w:pPr>
      <w:r>
        <w:t>In-band operation</w:t>
      </w:r>
    </w:p>
    <w:p w14:paraId="68B6C481" w14:textId="6A0867F1" w:rsidR="00B63992" w:rsidRDefault="00F62FE1" w:rsidP="00F35519">
      <w:r>
        <w:t>The</w:t>
      </w:r>
      <w:r w:rsidR="00BD7ECB">
        <w:t xml:space="preserve"> in-band NB-IoT</w:t>
      </w:r>
      <w:r>
        <w:t xml:space="preserve"> performance has been evaluated in </w:t>
      </w:r>
      <w:r w:rsidR="00F93084">
        <w:fldChar w:fldCharType="begin"/>
      </w:r>
      <w:r w:rsidR="00F93084">
        <w:instrText xml:space="preserve"> REF _Ref433793889 \n \h </w:instrText>
      </w:r>
      <w:r w:rsidR="00F93084">
        <w:fldChar w:fldCharType="separate"/>
      </w:r>
      <w:r w:rsidR="00241BE1">
        <w:t>[4]</w:t>
      </w:r>
      <w:r w:rsidR="00F93084">
        <w:fldChar w:fldCharType="end"/>
      </w:r>
      <w:r w:rsidR="00F93084">
        <w:t xml:space="preserve"> and </w:t>
      </w:r>
      <w:r w:rsidR="00F93084">
        <w:fldChar w:fldCharType="begin"/>
      </w:r>
      <w:r w:rsidR="00F93084">
        <w:instrText xml:space="preserve"> REF _Ref433793894 \n \h </w:instrText>
      </w:r>
      <w:r w:rsidR="00F93084">
        <w:fldChar w:fldCharType="separate"/>
      </w:r>
      <w:r w:rsidR="00241BE1">
        <w:t>[5]</w:t>
      </w:r>
      <w:r w:rsidR="00F93084">
        <w:fldChar w:fldCharType="end"/>
      </w:r>
      <w:r>
        <w:t xml:space="preserve">. </w:t>
      </w:r>
      <w:r w:rsidR="00F93084">
        <w:t>Both</w:t>
      </w:r>
      <w:r>
        <w:t xml:space="preserve"> evaluation</w:t>
      </w:r>
      <w:r w:rsidR="00F93084">
        <w:t>s use</w:t>
      </w:r>
      <w:r>
        <w:t xml:space="preserve"> a 15 kHz OFDMA subcarrier spacing </w:t>
      </w:r>
      <w:r w:rsidR="000F5037">
        <w:t>that</w:t>
      </w:r>
      <w:r>
        <w:t xml:space="preserve"> provides orthogonality with LTE operation. </w:t>
      </w:r>
      <w:r w:rsidR="00152F2A">
        <w:t xml:space="preserve">In </w:t>
      </w:r>
      <w:r w:rsidR="00D72D2B">
        <w:fldChar w:fldCharType="begin"/>
      </w:r>
      <w:r w:rsidR="00D72D2B">
        <w:instrText xml:space="preserve"> REF _Ref434506181 \r \h </w:instrText>
      </w:r>
      <w:r w:rsidR="00D72D2B">
        <w:fldChar w:fldCharType="separate"/>
      </w:r>
      <w:r w:rsidR="00241BE1">
        <w:t>[12]</w:t>
      </w:r>
      <w:r w:rsidR="00D72D2B">
        <w:fldChar w:fldCharType="end"/>
      </w:r>
      <w:r w:rsidR="00152F2A">
        <w:t xml:space="preserve"> we have compared the two downlink numerologies of 15 kHz and 3.75 kHz and in the case of in-band deployment we have noted significant worst NB-IoT performance when 3.75 kHz is utilized. We have also observed that about 50% more </w:t>
      </w:r>
      <w:r w:rsidR="000675AE">
        <w:t>repetitions</w:t>
      </w:r>
      <w:r w:rsidR="00152F2A">
        <w:t xml:space="preserve"> would be r</w:t>
      </w:r>
      <w:r w:rsidR="000675AE">
        <w:t>equired to compens</w:t>
      </w:r>
      <w:r w:rsidR="00152F2A">
        <w:t xml:space="preserve">ate for such loss. </w:t>
      </w:r>
      <w:r>
        <w:t>For in-band operation the choice of numerology should be based 15 kHz in-band for simpler operation with LTE and better coexistence, e.g. no guard band between NB IoT</w:t>
      </w:r>
      <w:r w:rsidR="00E25BC8">
        <w:t xml:space="preserve"> in-band deployment and the normal LTE deployment. </w:t>
      </w:r>
      <w:r w:rsidR="00B63992">
        <w:t>The data rate for 164 dB MCL is:</w:t>
      </w:r>
    </w:p>
    <w:p w14:paraId="469D7F1A" w14:textId="56C4420B" w:rsidR="00B63992" w:rsidRDefault="00B63992" w:rsidP="00B63992">
      <w:pPr>
        <w:pStyle w:val="ListParagraph"/>
        <w:numPr>
          <w:ilvl w:val="0"/>
          <w:numId w:val="46"/>
        </w:numPr>
      </w:pPr>
      <w:r w:rsidRPr="00B63992">
        <w:t xml:space="preserve">DL </w:t>
      </w:r>
      <w:r w:rsidR="00D1473F">
        <w:t>0.44</w:t>
      </w:r>
      <w:r w:rsidRPr="00B63992">
        <w:t xml:space="preserve"> kbps</w:t>
      </w:r>
    </w:p>
    <w:p w14:paraId="2321D40D" w14:textId="77777777" w:rsidR="00F35519" w:rsidRDefault="00B63992" w:rsidP="00B63992">
      <w:pPr>
        <w:pStyle w:val="ListParagraph"/>
        <w:numPr>
          <w:ilvl w:val="0"/>
          <w:numId w:val="46"/>
        </w:numPr>
      </w:pPr>
      <w:r w:rsidRPr="00B63992">
        <w:t>UL 0.31 kbps</w:t>
      </w:r>
    </w:p>
    <w:p w14:paraId="63D0B4C3" w14:textId="77777777" w:rsidR="00B63992" w:rsidRDefault="00B63992" w:rsidP="00B63992">
      <w:pPr>
        <w:pStyle w:val="ListParagraph"/>
      </w:pPr>
    </w:p>
    <w:p w14:paraId="58B385F7" w14:textId="77777777" w:rsidR="000675AE" w:rsidRDefault="000675AE" w:rsidP="00F35519">
      <w:pPr>
        <w:rPr>
          <w:b/>
        </w:rPr>
      </w:pPr>
      <w:r>
        <w:rPr>
          <w:b/>
        </w:rPr>
        <w:t xml:space="preserve">Observation: For in-band deployment, performance for </w:t>
      </w:r>
      <w:r w:rsidRPr="00A35A5C">
        <w:rPr>
          <w:b/>
        </w:rPr>
        <w:t xml:space="preserve">3.75 kHz </w:t>
      </w:r>
      <w:r>
        <w:rPr>
          <w:b/>
        </w:rPr>
        <w:t>is significant worse than</w:t>
      </w:r>
      <w:r w:rsidRPr="00A35A5C">
        <w:rPr>
          <w:b/>
        </w:rPr>
        <w:t xml:space="preserve"> </w:t>
      </w:r>
      <w:r>
        <w:rPr>
          <w:b/>
        </w:rPr>
        <w:t xml:space="preserve">for </w:t>
      </w:r>
      <w:r w:rsidRPr="00A35A5C">
        <w:rPr>
          <w:b/>
        </w:rPr>
        <w:t>15 kHz</w:t>
      </w:r>
      <w:r>
        <w:rPr>
          <w:b/>
        </w:rPr>
        <w:t xml:space="preserve"> subcarrier spacing.</w:t>
      </w:r>
    </w:p>
    <w:p w14:paraId="7A27287F" w14:textId="77777777" w:rsidR="00E25BC8" w:rsidRDefault="00E25BC8" w:rsidP="00F35519">
      <w:pPr>
        <w:rPr>
          <w:b/>
        </w:rPr>
      </w:pPr>
      <w:r w:rsidRPr="00E25BC8">
        <w:rPr>
          <w:b/>
        </w:rPr>
        <w:t xml:space="preserve">Proposal: Use 15 kHz subcarrier spacing for in-band deployment in downlink. </w:t>
      </w:r>
    </w:p>
    <w:p w14:paraId="4B499330" w14:textId="77777777" w:rsidR="00E25BC8" w:rsidRPr="00E25BC8" w:rsidRDefault="00E25BC8" w:rsidP="00F35519">
      <w:pPr>
        <w:rPr>
          <w:b/>
        </w:rPr>
      </w:pPr>
    </w:p>
    <w:p w14:paraId="60A06670" w14:textId="77777777" w:rsidR="00F35519" w:rsidRDefault="00F35519" w:rsidP="00F35519">
      <w:pPr>
        <w:pStyle w:val="Heading2"/>
      </w:pPr>
      <w:r>
        <w:t>Guard band operation</w:t>
      </w:r>
    </w:p>
    <w:p w14:paraId="0486B3E7" w14:textId="77777777" w:rsidR="00F62FE1" w:rsidRDefault="00E25BC8" w:rsidP="00F62FE1">
      <w:r>
        <w:t xml:space="preserve">The performance in guard band operation has been evaluated in </w:t>
      </w:r>
      <w:r w:rsidR="00376C74">
        <w:fldChar w:fldCharType="begin"/>
      </w:r>
      <w:r w:rsidR="00376C74">
        <w:instrText xml:space="preserve"> REF _Ref433794147 \n \h </w:instrText>
      </w:r>
      <w:r w:rsidR="00376C74">
        <w:fldChar w:fldCharType="separate"/>
      </w:r>
      <w:r w:rsidR="00241BE1">
        <w:t>[6]</w:t>
      </w:r>
      <w:r w:rsidR="00376C74">
        <w:fldChar w:fldCharType="end"/>
      </w:r>
      <w:r w:rsidR="00376C74">
        <w:t xml:space="preserve"> and </w:t>
      </w:r>
      <w:r w:rsidR="00376C74">
        <w:fldChar w:fldCharType="begin"/>
      </w:r>
      <w:r w:rsidR="00376C74">
        <w:instrText xml:space="preserve"> REF _Ref433794148 \n \h </w:instrText>
      </w:r>
      <w:r w:rsidR="00376C74">
        <w:fldChar w:fldCharType="separate"/>
      </w:r>
      <w:r w:rsidR="00286C68">
        <w:t>[9]</w:t>
      </w:r>
      <w:r w:rsidR="00376C74">
        <w:fldChar w:fldCharType="end"/>
      </w:r>
      <w:r>
        <w:t xml:space="preserve">. </w:t>
      </w:r>
      <w:r w:rsidR="00376C74">
        <w:t>Both</w:t>
      </w:r>
      <w:r>
        <w:t xml:space="preserve"> evaluation</w:t>
      </w:r>
      <w:r w:rsidR="00376C74">
        <w:t>s</w:t>
      </w:r>
      <w:r>
        <w:t xml:space="preserve"> use a 15 kHz OFDMA subcarrier spacing which provides orthogonality with LTE operation. For guard band operation the choice of numerology should be based </w:t>
      </w:r>
      <w:r w:rsidR="003D6FCC">
        <w:t xml:space="preserve">on </w:t>
      </w:r>
      <w:r>
        <w:t xml:space="preserve">15 kHz guard band to enable placement of the NB IoT carrier next to the outer LTE PRB. For this deployment, the NB IoT deployment will be orthogonal with the LTE deployment while minimum coexistence with the neighbour carrier. </w:t>
      </w:r>
    </w:p>
    <w:p w14:paraId="3EB056E5" w14:textId="77777777" w:rsidR="00B63992" w:rsidRDefault="00B63992" w:rsidP="00B63992">
      <w:r>
        <w:t>The data rate for 164 dB MCL is:</w:t>
      </w:r>
    </w:p>
    <w:p w14:paraId="0E026EF4" w14:textId="77777777" w:rsidR="00B63992" w:rsidRDefault="00B63992" w:rsidP="00B63992">
      <w:pPr>
        <w:pStyle w:val="ListParagraph"/>
        <w:numPr>
          <w:ilvl w:val="0"/>
          <w:numId w:val="46"/>
        </w:numPr>
      </w:pPr>
      <w:r w:rsidRPr="00B63992">
        <w:t xml:space="preserve">DL </w:t>
      </w:r>
      <w:r>
        <w:t>0.59</w:t>
      </w:r>
      <w:r w:rsidRPr="00B63992">
        <w:t xml:space="preserve"> kbps</w:t>
      </w:r>
    </w:p>
    <w:p w14:paraId="0E673F5D" w14:textId="77777777" w:rsidR="00B63992" w:rsidRDefault="00B63992" w:rsidP="00B63992">
      <w:pPr>
        <w:pStyle w:val="ListParagraph"/>
        <w:numPr>
          <w:ilvl w:val="0"/>
          <w:numId w:val="46"/>
        </w:numPr>
      </w:pPr>
      <w:r w:rsidRPr="00B63992">
        <w:t>UL 0.31 kbps</w:t>
      </w:r>
    </w:p>
    <w:p w14:paraId="29F69985" w14:textId="77777777" w:rsidR="00B63992" w:rsidRDefault="00B63992" w:rsidP="00F62FE1"/>
    <w:p w14:paraId="746C48C6" w14:textId="77777777" w:rsidR="00E25BC8" w:rsidRDefault="00E25BC8" w:rsidP="00E25BC8">
      <w:pPr>
        <w:rPr>
          <w:b/>
        </w:rPr>
      </w:pPr>
      <w:r w:rsidRPr="00E25BC8">
        <w:rPr>
          <w:b/>
        </w:rPr>
        <w:t xml:space="preserve">Proposal: Use 15 kHz subcarrier spacing for </w:t>
      </w:r>
      <w:r>
        <w:rPr>
          <w:b/>
        </w:rPr>
        <w:t xml:space="preserve">guard </w:t>
      </w:r>
      <w:r w:rsidRPr="00E25BC8">
        <w:rPr>
          <w:b/>
        </w:rPr>
        <w:t xml:space="preserve">band deployment in downlink. </w:t>
      </w:r>
    </w:p>
    <w:p w14:paraId="7930BC60" w14:textId="77777777" w:rsidR="00E25BC8" w:rsidRPr="00F62FE1" w:rsidRDefault="00E25BC8" w:rsidP="00F62FE1"/>
    <w:p w14:paraId="5DB7B72B" w14:textId="77777777" w:rsidR="00F35519" w:rsidRDefault="00F35519" w:rsidP="00F35519">
      <w:pPr>
        <w:pStyle w:val="Heading2"/>
      </w:pPr>
      <w:r>
        <w:t xml:space="preserve">Stand-alone operation </w:t>
      </w:r>
    </w:p>
    <w:p w14:paraId="6BFAD60B" w14:textId="77777777" w:rsidR="00F35519" w:rsidRDefault="008152B1" w:rsidP="00F35519">
      <w:r>
        <w:t xml:space="preserve">The performance in stand-alone operation may be impaired by the additional filtering required to meet the GSM spectrum mask in a refarmed GSM spectrum. The performance in stand-alone operation has been evaluated in </w:t>
      </w:r>
      <w:r w:rsidR="00376C74">
        <w:fldChar w:fldCharType="begin"/>
      </w:r>
      <w:r w:rsidR="00376C74">
        <w:instrText xml:space="preserve"> REF _Ref433794283 \n \h </w:instrText>
      </w:r>
      <w:r w:rsidR="00376C74">
        <w:fldChar w:fldCharType="separate"/>
      </w:r>
      <w:r w:rsidR="00286C68">
        <w:t>[10]</w:t>
      </w:r>
      <w:r w:rsidR="00376C74">
        <w:fldChar w:fldCharType="end"/>
      </w:r>
      <w:r w:rsidR="00376C74">
        <w:t xml:space="preserve"> and </w:t>
      </w:r>
      <w:r w:rsidR="00376C74">
        <w:fldChar w:fldCharType="begin"/>
      </w:r>
      <w:r w:rsidR="00376C74">
        <w:instrText xml:space="preserve"> REF _Ref433794284 \n \h </w:instrText>
      </w:r>
      <w:r w:rsidR="00376C74">
        <w:fldChar w:fldCharType="separate"/>
      </w:r>
      <w:r w:rsidR="00286C68">
        <w:t>[11]</w:t>
      </w:r>
      <w:r w:rsidR="00376C74">
        <w:fldChar w:fldCharType="end"/>
      </w:r>
      <w:r>
        <w:t xml:space="preserve"> using transmit filtering meeting the GSM spectrum mask. </w:t>
      </w:r>
      <w:r w:rsidR="00376C74">
        <w:t>No significant degradation in performance has been observed</w:t>
      </w:r>
      <w:r>
        <w:t>. Thus the numerology for s</w:t>
      </w:r>
      <w:r w:rsidR="00376C74">
        <w:t>ta</w:t>
      </w:r>
      <w:r>
        <w:t xml:space="preserve">nd-alone operation should follow that of the in-band and guard band deployment to simplify the NB IoT solution and minimize device complexity. </w:t>
      </w:r>
    </w:p>
    <w:p w14:paraId="10F253A4" w14:textId="77777777" w:rsidR="00B63992" w:rsidRDefault="00B63992" w:rsidP="00B63992">
      <w:r>
        <w:t>The data rate for 164 dB MCL is:</w:t>
      </w:r>
    </w:p>
    <w:p w14:paraId="3B7F86EE" w14:textId="155DE427" w:rsidR="00B63992" w:rsidRDefault="00B63992" w:rsidP="00B63992">
      <w:pPr>
        <w:pStyle w:val="ListParagraph"/>
        <w:numPr>
          <w:ilvl w:val="0"/>
          <w:numId w:val="46"/>
        </w:numPr>
      </w:pPr>
      <w:r w:rsidRPr="00B63992">
        <w:t xml:space="preserve">DL </w:t>
      </w:r>
      <w:r w:rsidR="00D1473F">
        <w:t>2.73</w:t>
      </w:r>
      <w:r w:rsidRPr="00B63992">
        <w:t xml:space="preserve"> kbps</w:t>
      </w:r>
    </w:p>
    <w:p w14:paraId="266835D3" w14:textId="77777777" w:rsidR="00B63992" w:rsidRDefault="00B63992" w:rsidP="00B63992">
      <w:pPr>
        <w:pStyle w:val="ListParagraph"/>
        <w:numPr>
          <w:ilvl w:val="0"/>
          <w:numId w:val="46"/>
        </w:numPr>
      </w:pPr>
      <w:r w:rsidRPr="00B63992">
        <w:t>UL 0.31 kbps</w:t>
      </w:r>
    </w:p>
    <w:p w14:paraId="06E59F92" w14:textId="77777777" w:rsidR="00B63992" w:rsidRPr="00F35519" w:rsidRDefault="00B63992" w:rsidP="00F35519"/>
    <w:p w14:paraId="32275531" w14:textId="77777777" w:rsidR="008152B1" w:rsidRDefault="008152B1" w:rsidP="008152B1">
      <w:pPr>
        <w:rPr>
          <w:b/>
        </w:rPr>
      </w:pPr>
      <w:r w:rsidRPr="00E25BC8">
        <w:rPr>
          <w:b/>
        </w:rPr>
        <w:t xml:space="preserve">Proposal: Use 15 kHz subcarrier spacing for </w:t>
      </w:r>
      <w:r>
        <w:rPr>
          <w:b/>
        </w:rPr>
        <w:t>stand-alone</w:t>
      </w:r>
      <w:r w:rsidRPr="00E25BC8">
        <w:rPr>
          <w:b/>
        </w:rPr>
        <w:t xml:space="preserve"> deployment in downlink. </w:t>
      </w:r>
    </w:p>
    <w:p w14:paraId="29FC18A3" w14:textId="77777777" w:rsidR="00F75D60" w:rsidRDefault="00F75D60" w:rsidP="00F75D60">
      <w:pPr>
        <w:tabs>
          <w:tab w:val="left" w:pos="5245"/>
        </w:tabs>
      </w:pPr>
    </w:p>
    <w:p w14:paraId="4749E4E7" w14:textId="77777777" w:rsidR="00F75D60" w:rsidRDefault="00F75D60" w:rsidP="00F75D60">
      <w:pPr>
        <w:pStyle w:val="Heading1"/>
      </w:pPr>
      <w:r>
        <w:t>Uplink configuration</w:t>
      </w:r>
    </w:p>
    <w:p w14:paraId="78DF5AE4" w14:textId="4A1C5558" w:rsidR="009A2B5D" w:rsidRPr="009A2B5D" w:rsidRDefault="009A2B5D" w:rsidP="009A2B5D">
      <w:pPr>
        <w:rPr>
          <w:lang w:val="en-US"/>
        </w:rPr>
      </w:pPr>
      <w:r>
        <w:rPr>
          <w:lang w:val="en-US"/>
        </w:rPr>
        <w:t>The key fo</w:t>
      </w:r>
      <w:r w:rsidRPr="009A2B5D">
        <w:rPr>
          <w:lang w:val="en-US"/>
        </w:rPr>
        <w:t xml:space="preserve">cus </w:t>
      </w:r>
      <w:r>
        <w:rPr>
          <w:lang w:val="en-US"/>
        </w:rPr>
        <w:t>areas for NB IoT</w:t>
      </w:r>
      <w:r w:rsidRPr="009A2B5D">
        <w:rPr>
          <w:lang w:val="en-US"/>
        </w:rPr>
        <w:t xml:space="preserve"> is low cost with extended coverage.  Single tone transmission considered in both proposals offers efficient way to achieve this.</w:t>
      </w:r>
      <w:r w:rsidR="000768F7">
        <w:rPr>
          <w:lang w:val="en-US"/>
        </w:rPr>
        <w:t xml:space="preserve"> UL analysis is provided in </w:t>
      </w:r>
      <w:r w:rsidR="000768F7">
        <w:rPr>
          <w:lang w:val="en-US"/>
        </w:rPr>
        <w:fldChar w:fldCharType="begin"/>
      </w:r>
      <w:r w:rsidR="000768F7">
        <w:rPr>
          <w:lang w:val="en-US"/>
        </w:rPr>
        <w:instrText xml:space="preserve"> REF _Ref434509655 \r \h </w:instrText>
      </w:r>
      <w:r w:rsidR="000768F7">
        <w:rPr>
          <w:lang w:val="en-US"/>
        </w:rPr>
      </w:r>
      <w:r w:rsidR="000768F7">
        <w:rPr>
          <w:lang w:val="en-US"/>
        </w:rPr>
        <w:fldChar w:fldCharType="separate"/>
      </w:r>
      <w:r w:rsidR="00241BE1">
        <w:rPr>
          <w:lang w:val="en-US"/>
        </w:rPr>
        <w:t>[19]</w:t>
      </w:r>
      <w:r w:rsidR="000768F7">
        <w:rPr>
          <w:lang w:val="en-US"/>
        </w:rPr>
        <w:fldChar w:fldCharType="end"/>
      </w:r>
      <w:r w:rsidR="000768F7">
        <w:rPr>
          <w:lang w:val="en-US"/>
        </w:rPr>
        <w:t>.</w:t>
      </w:r>
    </w:p>
    <w:p w14:paraId="2BAEC907" w14:textId="77777777" w:rsidR="009A2B5D" w:rsidRPr="009A2B5D" w:rsidRDefault="009A2B5D" w:rsidP="009A2B5D">
      <w:pPr>
        <w:pStyle w:val="Heading2"/>
        <w:rPr>
          <w:lang w:val="en-US"/>
        </w:rPr>
      </w:pPr>
      <w:r>
        <w:rPr>
          <w:lang w:val="en-US"/>
        </w:rPr>
        <w:t>PAPR</w:t>
      </w:r>
      <w:r w:rsidRPr="009A2B5D">
        <w:rPr>
          <w:lang w:val="en-US"/>
        </w:rPr>
        <w:t xml:space="preserve"> </w:t>
      </w:r>
    </w:p>
    <w:p w14:paraId="6B62D01B" w14:textId="77777777" w:rsidR="009A2B5D" w:rsidRDefault="009A2B5D" w:rsidP="009A2B5D">
      <w:pPr>
        <w:rPr>
          <w:lang w:val="en-US"/>
        </w:rPr>
      </w:pPr>
      <w:r w:rsidRPr="009A2B5D">
        <w:rPr>
          <w:lang w:val="en-US"/>
        </w:rPr>
        <w:t xml:space="preserve">With single tone transmission and with pi/2-BPSK modulation, UL Single Tone SC-FDMA can achieve very low PAPR. The PAPR is mostly resulted due to transitions at symbol boundaries. </w:t>
      </w:r>
    </w:p>
    <w:p w14:paraId="48D68F59" w14:textId="77777777" w:rsidR="009A2B5D" w:rsidRPr="009A2B5D" w:rsidRDefault="009A2B5D" w:rsidP="009A2B5D">
      <w:pPr>
        <w:rPr>
          <w:lang w:val="en-US"/>
        </w:rPr>
      </w:pPr>
    </w:p>
    <w:p w14:paraId="6A4626C4" w14:textId="77777777" w:rsidR="009A2B5D" w:rsidRDefault="009A2B5D" w:rsidP="009A2B5D">
      <w:pPr>
        <w:pStyle w:val="Caption"/>
        <w:keepNext/>
        <w:rPr>
          <w:rFonts w:ascii="Arial" w:hAnsi="Arial"/>
        </w:rPr>
      </w:pPr>
      <w:bookmarkStart w:id="8" w:name="_Ref434312794"/>
      <w:r w:rsidRPr="006E3BDB">
        <w:rPr>
          <w:rFonts w:ascii="Arial" w:hAnsi="Arial"/>
        </w:rPr>
        <w:t xml:space="preserve">Table </w:t>
      </w:r>
      <w:r w:rsidRPr="006E3BDB">
        <w:rPr>
          <w:rFonts w:ascii="Arial" w:hAnsi="Arial"/>
        </w:rPr>
        <w:fldChar w:fldCharType="begin"/>
      </w:r>
      <w:r w:rsidRPr="006E3BDB">
        <w:rPr>
          <w:rFonts w:ascii="Arial" w:hAnsi="Arial"/>
        </w:rPr>
        <w:instrText xml:space="preserve"> SEQ Table \* ARABIC </w:instrText>
      </w:r>
      <w:r w:rsidRPr="006E3BDB">
        <w:rPr>
          <w:rFonts w:ascii="Arial" w:hAnsi="Arial"/>
        </w:rPr>
        <w:fldChar w:fldCharType="separate"/>
      </w:r>
      <w:r w:rsidR="00241BE1">
        <w:rPr>
          <w:rFonts w:ascii="Arial" w:hAnsi="Arial"/>
          <w:noProof/>
        </w:rPr>
        <w:t>1</w:t>
      </w:r>
      <w:r w:rsidRPr="006E3BDB">
        <w:rPr>
          <w:rFonts w:ascii="Arial" w:hAnsi="Arial"/>
        </w:rPr>
        <w:fldChar w:fldCharType="end"/>
      </w:r>
      <w:bookmarkEnd w:id="8"/>
      <w:r w:rsidRPr="006E3BDB">
        <w:rPr>
          <w:rFonts w:ascii="Arial" w:hAnsi="Arial"/>
        </w:rPr>
        <w:t xml:space="preserve"> </w:t>
      </w:r>
      <w:r w:rsidRPr="009A2B5D">
        <w:rPr>
          <w:rFonts w:ascii="Arial" w:hAnsi="Arial"/>
        </w:rPr>
        <w:t>UL Single Tone SC-FDMA access scheme PAPR performance</w:t>
      </w:r>
      <w:r w:rsidRPr="006E3BDB">
        <w:rPr>
          <w:rFonts w:ascii="Arial" w:hAnsi="Arial"/>
        </w:rPr>
        <w:t>.</w:t>
      </w:r>
    </w:p>
    <w:tbl>
      <w:tblPr>
        <w:tblStyle w:val="TableGrid"/>
        <w:tblW w:w="0" w:type="auto"/>
        <w:jc w:val="center"/>
        <w:tblLook w:val="04A0" w:firstRow="1" w:lastRow="0" w:firstColumn="1" w:lastColumn="0" w:noHBand="0" w:noVBand="1"/>
      </w:tblPr>
      <w:tblGrid>
        <w:gridCol w:w="1634"/>
        <w:gridCol w:w="1559"/>
        <w:gridCol w:w="1276"/>
      </w:tblGrid>
      <w:tr w:rsidR="003F35F5" w14:paraId="596590C1" w14:textId="77777777" w:rsidTr="008167E9">
        <w:trPr>
          <w:jc w:val="center"/>
        </w:trPr>
        <w:tc>
          <w:tcPr>
            <w:tcW w:w="1634" w:type="dxa"/>
          </w:tcPr>
          <w:p w14:paraId="3A139B50" w14:textId="77777777" w:rsidR="003F35F5" w:rsidRDefault="003F35F5" w:rsidP="005C1691">
            <w:pPr>
              <w:rPr>
                <w:rFonts w:eastAsia="Malgun Gothic"/>
              </w:rPr>
            </w:pPr>
          </w:p>
        </w:tc>
        <w:tc>
          <w:tcPr>
            <w:tcW w:w="2835" w:type="dxa"/>
            <w:gridSpan w:val="2"/>
          </w:tcPr>
          <w:p w14:paraId="1D3A1C8A" w14:textId="6973426D" w:rsidR="003F35F5" w:rsidRDefault="003F35F5">
            <w:pPr>
              <w:jc w:val="center"/>
              <w:rPr>
                <w:rFonts w:eastAsia="Malgun Gothic"/>
              </w:rPr>
            </w:pPr>
            <w:r>
              <w:rPr>
                <w:rFonts w:eastAsia="Malgun Gothic"/>
              </w:rPr>
              <w:t xml:space="preserve">PAPR </w:t>
            </w:r>
          </w:p>
        </w:tc>
      </w:tr>
      <w:tr w:rsidR="003F35F5" w14:paraId="301A048E" w14:textId="77777777" w:rsidTr="008167E9">
        <w:trPr>
          <w:jc w:val="center"/>
        </w:trPr>
        <w:tc>
          <w:tcPr>
            <w:tcW w:w="1634" w:type="dxa"/>
          </w:tcPr>
          <w:p w14:paraId="286F25EA" w14:textId="77777777" w:rsidR="003F35F5" w:rsidRDefault="003F35F5" w:rsidP="005C1691">
            <w:pPr>
              <w:jc w:val="center"/>
              <w:rPr>
                <w:rFonts w:eastAsia="Malgun Gothic"/>
              </w:rPr>
            </w:pPr>
            <w:r>
              <w:rPr>
                <w:rFonts w:eastAsia="Malgun Gothic"/>
              </w:rPr>
              <w:lastRenderedPageBreak/>
              <w:t>Complementary CDF</w:t>
            </w:r>
          </w:p>
        </w:tc>
        <w:tc>
          <w:tcPr>
            <w:tcW w:w="1559" w:type="dxa"/>
          </w:tcPr>
          <w:p w14:paraId="4B0E47C4" w14:textId="77777777" w:rsidR="003F35F5" w:rsidRDefault="003F35F5" w:rsidP="005C1691">
            <w:pPr>
              <w:jc w:val="center"/>
              <w:rPr>
                <w:rFonts w:eastAsia="Malgun Gothic"/>
              </w:rPr>
            </w:pPr>
            <w:r>
              <w:rPr>
                <w:rFonts w:eastAsia="Malgun Gothic"/>
              </w:rPr>
              <w:t>99%</w:t>
            </w:r>
          </w:p>
        </w:tc>
        <w:tc>
          <w:tcPr>
            <w:tcW w:w="1276" w:type="dxa"/>
          </w:tcPr>
          <w:p w14:paraId="7DE40829" w14:textId="77777777" w:rsidR="003F35F5" w:rsidRDefault="003F35F5" w:rsidP="005C1691">
            <w:pPr>
              <w:jc w:val="center"/>
              <w:rPr>
                <w:rFonts w:eastAsia="Malgun Gothic"/>
              </w:rPr>
            </w:pPr>
            <w:r>
              <w:rPr>
                <w:rFonts w:eastAsia="Malgun Gothic"/>
              </w:rPr>
              <w:t>99.9%</w:t>
            </w:r>
          </w:p>
        </w:tc>
      </w:tr>
      <w:tr w:rsidR="003F35F5" w14:paraId="782A7751" w14:textId="77777777" w:rsidTr="008167E9">
        <w:trPr>
          <w:jc w:val="center"/>
        </w:trPr>
        <w:tc>
          <w:tcPr>
            <w:tcW w:w="1634" w:type="dxa"/>
          </w:tcPr>
          <w:p w14:paraId="712D9892" w14:textId="77777777" w:rsidR="003F35F5" w:rsidRDefault="003F35F5" w:rsidP="005C1691">
            <w:pPr>
              <w:rPr>
                <w:rFonts w:eastAsia="Malgun Gothic"/>
              </w:rPr>
            </w:pPr>
            <w:r>
              <w:rPr>
                <w:rFonts w:eastAsia="Malgun Gothic"/>
              </w:rPr>
              <w:t>pi/2-BPSK, single tone</w:t>
            </w:r>
          </w:p>
        </w:tc>
        <w:tc>
          <w:tcPr>
            <w:tcW w:w="1559" w:type="dxa"/>
          </w:tcPr>
          <w:p w14:paraId="7D4302D6" w14:textId="77777777" w:rsidR="003F35F5" w:rsidRDefault="003F35F5" w:rsidP="005C1691">
            <w:pPr>
              <w:jc w:val="center"/>
              <w:rPr>
                <w:rFonts w:eastAsia="Malgun Gothic"/>
              </w:rPr>
            </w:pPr>
            <w:r>
              <w:rPr>
                <w:rFonts w:eastAsia="Malgun Gothic"/>
              </w:rPr>
              <w:t>0.11 dB</w:t>
            </w:r>
          </w:p>
        </w:tc>
        <w:tc>
          <w:tcPr>
            <w:tcW w:w="1276" w:type="dxa"/>
          </w:tcPr>
          <w:p w14:paraId="0ED0B7DE" w14:textId="77777777" w:rsidR="003F35F5" w:rsidRDefault="003F35F5" w:rsidP="005C1691">
            <w:pPr>
              <w:jc w:val="center"/>
              <w:rPr>
                <w:rFonts w:eastAsia="Malgun Gothic"/>
              </w:rPr>
            </w:pPr>
            <w:r>
              <w:rPr>
                <w:rFonts w:eastAsia="Malgun Gothic"/>
              </w:rPr>
              <w:t>0.47 dB</w:t>
            </w:r>
          </w:p>
        </w:tc>
      </w:tr>
    </w:tbl>
    <w:p w14:paraId="3910E741" w14:textId="77777777" w:rsidR="001F345F" w:rsidRPr="001F345F" w:rsidRDefault="001F345F" w:rsidP="001F345F"/>
    <w:p w14:paraId="58847D22" w14:textId="77777777" w:rsidR="009A2B5D" w:rsidRPr="009A2B5D" w:rsidRDefault="004867CB" w:rsidP="004867CB">
      <w:pPr>
        <w:pStyle w:val="Heading2"/>
        <w:rPr>
          <w:lang w:val="en-US"/>
        </w:rPr>
      </w:pPr>
      <w:r>
        <w:rPr>
          <w:lang w:val="en-US"/>
        </w:rPr>
        <w:t>Complexity/efficiency</w:t>
      </w:r>
    </w:p>
    <w:p w14:paraId="6DC156FE" w14:textId="20E21FCD" w:rsidR="009A2B5D" w:rsidRPr="009A2B5D" w:rsidRDefault="004867CB" w:rsidP="009A2B5D">
      <w:pPr>
        <w:rPr>
          <w:lang w:val="en-US"/>
        </w:rPr>
      </w:pPr>
      <w:r>
        <w:rPr>
          <w:lang w:val="en-US"/>
        </w:rPr>
        <w:t xml:space="preserve">As can be </w:t>
      </w:r>
      <w:r w:rsidRPr="002F194B">
        <w:rPr>
          <w:szCs w:val="22"/>
          <w:lang w:val="en-US"/>
        </w:rPr>
        <w:t xml:space="preserve">seen in </w:t>
      </w:r>
      <w:r w:rsidRPr="003816C3">
        <w:rPr>
          <w:lang w:val="en-US"/>
        </w:rPr>
        <w:fldChar w:fldCharType="begin"/>
      </w:r>
      <w:r w:rsidRPr="003816C3">
        <w:rPr>
          <w:lang w:val="en-US"/>
        </w:rPr>
        <w:instrText xml:space="preserve"> REF _Ref434312794 \h </w:instrText>
      </w:r>
      <w:r w:rsidR="003816C3">
        <w:rPr>
          <w:lang w:val="en-US"/>
        </w:rPr>
        <w:instrText xml:space="preserve"> \* MERGEFORMAT </w:instrText>
      </w:r>
      <w:r w:rsidRPr="003816C3">
        <w:rPr>
          <w:lang w:val="en-US"/>
        </w:rPr>
      </w:r>
      <w:r w:rsidRPr="003816C3">
        <w:rPr>
          <w:lang w:val="en-US"/>
        </w:rPr>
        <w:fldChar w:fldCharType="separate"/>
      </w:r>
      <w:r w:rsidRPr="00A24DD0">
        <w:t>Table 1</w:t>
      </w:r>
      <w:r w:rsidRPr="003816C3">
        <w:rPr>
          <w:lang w:val="en-US"/>
        </w:rPr>
        <w:fldChar w:fldCharType="end"/>
      </w:r>
      <w:r w:rsidR="009A2B5D" w:rsidRPr="002F194B">
        <w:rPr>
          <w:szCs w:val="22"/>
          <w:lang w:val="en-US"/>
        </w:rPr>
        <w:t xml:space="preserve"> the</w:t>
      </w:r>
      <w:r w:rsidR="009A2B5D" w:rsidRPr="009A2B5D">
        <w:rPr>
          <w:lang w:val="en-US"/>
        </w:rPr>
        <w:t xml:space="preserve"> </w:t>
      </w:r>
      <w:r w:rsidR="007A29BA">
        <w:rPr>
          <w:lang w:val="en-US"/>
        </w:rPr>
        <w:t>PAPR is very close to 0</w:t>
      </w:r>
      <w:r w:rsidR="009510D9">
        <w:rPr>
          <w:lang w:val="en-US"/>
        </w:rPr>
        <w:t xml:space="preserve"> </w:t>
      </w:r>
      <w:r w:rsidR="007A29BA">
        <w:rPr>
          <w:lang w:val="en-US"/>
        </w:rPr>
        <w:t>dB</w:t>
      </w:r>
      <w:r w:rsidR="009A2B5D" w:rsidRPr="009A2B5D">
        <w:rPr>
          <w:lang w:val="en-US"/>
        </w:rPr>
        <w:t xml:space="preserve">. This results that the </w:t>
      </w:r>
      <w:r w:rsidR="007A29BA">
        <w:rPr>
          <w:lang w:val="en-US"/>
        </w:rPr>
        <w:t>PA design can be made very efficient, while still meeting the GSM spectrum mask as shown in [19]</w:t>
      </w:r>
      <w:r w:rsidR="009A2B5D" w:rsidRPr="009A2B5D">
        <w:rPr>
          <w:lang w:val="en-US"/>
        </w:rPr>
        <w:t>. </w:t>
      </w:r>
      <w:r>
        <w:rPr>
          <w:lang w:val="en-US"/>
        </w:rPr>
        <w:t xml:space="preserve"> </w:t>
      </w:r>
      <w:r w:rsidR="009A2B5D" w:rsidRPr="009A2B5D">
        <w:rPr>
          <w:lang w:val="en-US"/>
        </w:rPr>
        <w:t xml:space="preserve">In addition, when considering </w:t>
      </w:r>
      <w:r w:rsidR="007A29BA">
        <w:rPr>
          <w:lang w:val="en-US"/>
        </w:rPr>
        <w:t xml:space="preserve">especially </w:t>
      </w:r>
      <w:r w:rsidR="009A2B5D" w:rsidRPr="009A2B5D">
        <w:rPr>
          <w:lang w:val="en-US"/>
        </w:rPr>
        <w:t xml:space="preserve">the single tone </w:t>
      </w:r>
      <w:r w:rsidR="009510D9">
        <w:rPr>
          <w:lang w:val="en-US"/>
        </w:rPr>
        <w:t>transmission</w:t>
      </w:r>
      <w:r w:rsidR="009A2B5D" w:rsidRPr="009A2B5D">
        <w:rPr>
          <w:lang w:val="en-US"/>
        </w:rPr>
        <w:t xml:space="preserve">, </w:t>
      </w:r>
      <w:r w:rsidR="009510D9">
        <w:rPr>
          <w:lang w:val="en-US"/>
        </w:rPr>
        <w:t xml:space="preserve">the transmitter architecture can be made to be very low complexity </w:t>
      </w:r>
      <w:r w:rsidR="009A2B5D" w:rsidRPr="009A2B5D">
        <w:rPr>
          <w:lang w:val="en-US"/>
        </w:rPr>
        <w:t>(e.g. single tone transmitter there is no need to support FFT</w:t>
      </w:r>
      <w:r w:rsidR="009510D9">
        <w:rPr>
          <w:lang w:val="en-US"/>
        </w:rPr>
        <w:t xml:space="preserve"> etc.</w:t>
      </w:r>
      <w:r w:rsidR="009A2B5D" w:rsidRPr="009A2B5D">
        <w:rPr>
          <w:lang w:val="en-US"/>
        </w:rPr>
        <w:t>)</w:t>
      </w:r>
      <w:r w:rsidR="00E708C9">
        <w:rPr>
          <w:lang w:val="en-US"/>
        </w:rPr>
        <w:t>.</w:t>
      </w:r>
    </w:p>
    <w:p w14:paraId="2D333FB7" w14:textId="77777777" w:rsidR="008152B1" w:rsidRDefault="008152B1" w:rsidP="008152B1"/>
    <w:p w14:paraId="2220299F" w14:textId="518837F4" w:rsidR="004867CB" w:rsidRDefault="002F194B" w:rsidP="004867CB">
      <w:pPr>
        <w:rPr>
          <w:b/>
        </w:rPr>
      </w:pPr>
      <w:r>
        <w:rPr>
          <w:b/>
        </w:rPr>
        <w:t>Observation</w:t>
      </w:r>
      <w:r w:rsidR="004867CB" w:rsidRPr="00E25BC8">
        <w:rPr>
          <w:b/>
        </w:rPr>
        <w:t xml:space="preserve">: </w:t>
      </w:r>
      <w:r w:rsidR="00A24DD0" w:rsidRPr="00A24DD0">
        <w:rPr>
          <w:b/>
        </w:rPr>
        <w:t xml:space="preserve">Use SC-FDMA (including single-tone transmission as a special case of SC-FDMA) which achieves very good PA efficiency and low </w:t>
      </w:r>
      <w:r w:rsidR="009510D9">
        <w:rPr>
          <w:b/>
        </w:rPr>
        <w:t xml:space="preserve">complexity </w:t>
      </w:r>
      <w:r w:rsidR="00A24DD0" w:rsidRPr="00A24DD0">
        <w:rPr>
          <w:b/>
        </w:rPr>
        <w:t>transmitter chain</w:t>
      </w:r>
      <w:r w:rsidR="004867CB" w:rsidRPr="00E25BC8">
        <w:rPr>
          <w:b/>
        </w:rPr>
        <w:t xml:space="preserve">. </w:t>
      </w:r>
    </w:p>
    <w:p w14:paraId="46E97FF2" w14:textId="71D774B0" w:rsidR="002F194B" w:rsidRDefault="002F194B" w:rsidP="004867CB">
      <w:pPr>
        <w:rPr>
          <w:b/>
        </w:rPr>
      </w:pPr>
      <w:r>
        <w:rPr>
          <w:b/>
        </w:rPr>
        <w:t xml:space="preserve">Proposal: Consider SC-FDMA </w:t>
      </w:r>
      <w:r w:rsidR="003F35F5">
        <w:rPr>
          <w:b/>
        </w:rPr>
        <w:t xml:space="preserve">with single-tone transmission </w:t>
      </w:r>
      <w:r>
        <w:rPr>
          <w:b/>
        </w:rPr>
        <w:t>as UL solution.</w:t>
      </w:r>
    </w:p>
    <w:p w14:paraId="06DE2FD3" w14:textId="77777777" w:rsidR="0001356A" w:rsidRDefault="0001356A" w:rsidP="004867CB">
      <w:pPr>
        <w:rPr>
          <w:b/>
        </w:rPr>
      </w:pPr>
    </w:p>
    <w:p w14:paraId="14DD5B04" w14:textId="77777777" w:rsidR="0001356A" w:rsidRDefault="0001356A" w:rsidP="0001356A">
      <w:pPr>
        <w:pStyle w:val="Heading1"/>
      </w:pPr>
      <w:r>
        <w:t>System Aspects</w:t>
      </w:r>
    </w:p>
    <w:p w14:paraId="0AF9661F" w14:textId="77777777" w:rsidR="00AB41BE" w:rsidRDefault="00AB41BE" w:rsidP="0001356A"/>
    <w:p w14:paraId="1CCF798C" w14:textId="77777777" w:rsidR="0001356A" w:rsidRDefault="0001356A" w:rsidP="00AB41BE">
      <w:pPr>
        <w:pStyle w:val="Heading2"/>
      </w:pPr>
      <w:r>
        <w:t>L</w:t>
      </w:r>
      <w:r w:rsidRPr="0001356A">
        <w:t>atency</w:t>
      </w:r>
    </w:p>
    <w:p w14:paraId="5E76B1DF" w14:textId="4A614D7D" w:rsidR="00AB41BE" w:rsidRDefault="00AB41BE" w:rsidP="0001356A">
      <w:r>
        <w:t>Latency have been evaluated in</w:t>
      </w:r>
      <w:r w:rsidR="0073673D">
        <w:t xml:space="preserve"> </w:t>
      </w:r>
      <w:r w:rsidR="00241BE1">
        <w:fldChar w:fldCharType="begin"/>
      </w:r>
      <w:r w:rsidR="00241BE1">
        <w:instrText xml:space="preserve"> REF _Ref434506181 \r \h </w:instrText>
      </w:r>
      <w:r w:rsidR="00241BE1">
        <w:fldChar w:fldCharType="separate"/>
      </w:r>
      <w:r w:rsidR="00241BE1">
        <w:t>[12]</w:t>
      </w:r>
      <w:r w:rsidR="00241BE1">
        <w:fldChar w:fldCharType="end"/>
      </w:r>
      <w:r>
        <w:t xml:space="preserve">, </w:t>
      </w:r>
      <w:r>
        <w:fldChar w:fldCharType="begin"/>
      </w:r>
      <w:r>
        <w:instrText xml:space="preserve"> REF _Ref434313211 \r \h </w:instrText>
      </w:r>
      <w:r>
        <w:fldChar w:fldCharType="separate"/>
      </w:r>
      <w:r w:rsidR="00286C68">
        <w:t>[13]</w:t>
      </w:r>
      <w:r>
        <w:fldChar w:fldCharType="end"/>
      </w:r>
      <w:r>
        <w:t xml:space="preserve">, and </w:t>
      </w:r>
      <w:r>
        <w:fldChar w:fldCharType="begin"/>
      </w:r>
      <w:r>
        <w:instrText xml:space="preserve"> REF _Ref434313213 \r \h </w:instrText>
      </w:r>
      <w:r>
        <w:fldChar w:fldCharType="separate"/>
      </w:r>
      <w:r w:rsidR="00286C68">
        <w:t>[14]</w:t>
      </w:r>
      <w:r>
        <w:fldChar w:fldCharType="end"/>
      </w:r>
      <w:r>
        <w:t xml:space="preserve"> and outlined in the table below.</w:t>
      </w:r>
    </w:p>
    <w:p w14:paraId="0A9292D4" w14:textId="77777777" w:rsidR="00AB41BE" w:rsidRDefault="00AB41BE" w:rsidP="0001356A"/>
    <w:p w14:paraId="34178830" w14:textId="77777777" w:rsidR="00AB41BE" w:rsidRPr="00AB41BE" w:rsidRDefault="00AB41BE" w:rsidP="00AB41BE">
      <w:pPr>
        <w:pStyle w:val="Caption"/>
        <w:keepNext/>
        <w:rPr>
          <w:rFonts w:ascii="Arial" w:hAnsi="Arial"/>
        </w:rPr>
      </w:pPr>
      <w:r w:rsidRPr="006E3BDB">
        <w:rPr>
          <w:rFonts w:ascii="Arial" w:hAnsi="Arial"/>
        </w:rPr>
        <w:t xml:space="preserve">Table </w:t>
      </w:r>
      <w:r w:rsidRPr="006E3BDB">
        <w:rPr>
          <w:rFonts w:ascii="Arial" w:hAnsi="Arial"/>
        </w:rPr>
        <w:fldChar w:fldCharType="begin"/>
      </w:r>
      <w:r w:rsidRPr="006E3BDB">
        <w:rPr>
          <w:rFonts w:ascii="Arial" w:hAnsi="Arial"/>
        </w:rPr>
        <w:instrText xml:space="preserve"> SEQ Table \* ARABIC </w:instrText>
      </w:r>
      <w:r w:rsidRPr="006E3BDB">
        <w:rPr>
          <w:rFonts w:ascii="Arial" w:hAnsi="Arial"/>
        </w:rPr>
        <w:fldChar w:fldCharType="separate"/>
      </w:r>
      <w:r w:rsidR="00241BE1">
        <w:rPr>
          <w:rFonts w:ascii="Arial" w:hAnsi="Arial"/>
          <w:noProof/>
        </w:rPr>
        <w:t>2</w:t>
      </w:r>
      <w:r w:rsidRPr="006E3BDB">
        <w:rPr>
          <w:rFonts w:ascii="Arial" w:hAnsi="Arial"/>
        </w:rPr>
        <w:fldChar w:fldCharType="end"/>
      </w:r>
      <w:r w:rsidRPr="006E3BDB">
        <w:rPr>
          <w:rFonts w:ascii="Arial" w:hAnsi="Arial"/>
        </w:rPr>
        <w:t xml:space="preserve"> </w:t>
      </w:r>
      <w:r>
        <w:rPr>
          <w:rFonts w:ascii="Arial" w:hAnsi="Arial"/>
        </w:rPr>
        <w:t>Latency Evaluations</w:t>
      </w:r>
      <w:r w:rsidRPr="006E3BDB">
        <w:rPr>
          <w:rFonts w:ascii="Arial" w:hAnsi="Arial"/>
        </w:rPr>
        <w:t>.</w:t>
      </w:r>
    </w:p>
    <w:tbl>
      <w:tblPr>
        <w:tblStyle w:val="GridTable1Light-Accent5"/>
        <w:tblW w:w="9620" w:type="dxa"/>
        <w:tblLook w:val="0620" w:firstRow="1" w:lastRow="0" w:firstColumn="0" w:lastColumn="0" w:noHBand="1" w:noVBand="1"/>
      </w:tblPr>
      <w:tblGrid>
        <w:gridCol w:w="3788"/>
        <w:gridCol w:w="1944"/>
        <w:gridCol w:w="1944"/>
        <w:gridCol w:w="1944"/>
      </w:tblGrid>
      <w:tr w:rsidR="00AB41BE" w:rsidRPr="00AB41BE" w14:paraId="08F4288C" w14:textId="77777777" w:rsidTr="008167E9">
        <w:trPr>
          <w:cnfStyle w:val="100000000000" w:firstRow="1" w:lastRow="0" w:firstColumn="0" w:lastColumn="0" w:oddVBand="0" w:evenVBand="0" w:oddHBand="0" w:evenHBand="0" w:firstRowFirstColumn="0" w:firstRowLastColumn="0" w:lastRowFirstColumn="0" w:lastRowLastColumn="0"/>
          <w:trHeight w:val="279"/>
        </w:trPr>
        <w:tc>
          <w:tcPr>
            <w:tcW w:w="3780" w:type="dxa"/>
            <w:tcBorders>
              <w:bottom w:val="nil"/>
            </w:tcBorders>
            <w:shd w:val="clear" w:color="auto" w:fill="00B0F0"/>
            <w:hideMark/>
          </w:tcPr>
          <w:p w14:paraId="05D0639F" w14:textId="77777777" w:rsidR="00AB41BE" w:rsidRPr="00AB41BE" w:rsidRDefault="00AB41BE" w:rsidP="00AB41BE">
            <w:pPr>
              <w:overflowPunct/>
              <w:autoSpaceDE/>
              <w:autoSpaceDN/>
              <w:adjustRightInd/>
              <w:spacing w:after="0"/>
              <w:jc w:val="left"/>
              <w:textAlignment w:val="auto"/>
              <w:rPr>
                <w:rFonts w:eastAsia="Times New Roman"/>
                <w:sz w:val="20"/>
                <w:szCs w:val="24"/>
                <w:lang w:val="en-US" w:eastAsia="en-US"/>
              </w:rPr>
            </w:pPr>
          </w:p>
        </w:tc>
        <w:tc>
          <w:tcPr>
            <w:tcW w:w="1940" w:type="dxa"/>
            <w:tcBorders>
              <w:bottom w:val="nil"/>
            </w:tcBorders>
            <w:shd w:val="clear" w:color="auto" w:fill="00B0F0"/>
            <w:hideMark/>
          </w:tcPr>
          <w:p w14:paraId="268A777F" w14:textId="77777777" w:rsidR="00AB41BE" w:rsidRPr="00AB41BE" w:rsidRDefault="00AB41BE" w:rsidP="00AB41BE">
            <w:pPr>
              <w:overflowPunct/>
              <w:autoSpaceDE/>
              <w:autoSpaceDN/>
              <w:adjustRightInd/>
              <w:spacing w:after="0"/>
              <w:jc w:val="left"/>
              <w:textAlignment w:val="bottom"/>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Stand Alone</w:t>
            </w:r>
          </w:p>
        </w:tc>
        <w:tc>
          <w:tcPr>
            <w:tcW w:w="1940" w:type="dxa"/>
            <w:tcBorders>
              <w:bottom w:val="nil"/>
            </w:tcBorders>
            <w:shd w:val="clear" w:color="auto" w:fill="00B0F0"/>
            <w:hideMark/>
          </w:tcPr>
          <w:p w14:paraId="29170779" w14:textId="77777777" w:rsidR="00AB41BE" w:rsidRPr="00AB41BE" w:rsidRDefault="00AB41BE" w:rsidP="00AB41BE">
            <w:pPr>
              <w:overflowPunct/>
              <w:autoSpaceDE/>
              <w:autoSpaceDN/>
              <w:adjustRightInd/>
              <w:spacing w:after="0"/>
              <w:jc w:val="left"/>
              <w:textAlignment w:val="bottom"/>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In-Band</w:t>
            </w:r>
          </w:p>
        </w:tc>
        <w:tc>
          <w:tcPr>
            <w:tcW w:w="1940" w:type="dxa"/>
            <w:tcBorders>
              <w:bottom w:val="nil"/>
            </w:tcBorders>
            <w:shd w:val="clear" w:color="auto" w:fill="00B0F0"/>
            <w:hideMark/>
          </w:tcPr>
          <w:p w14:paraId="7386799B" w14:textId="77777777" w:rsidR="00AB41BE" w:rsidRPr="00AB41BE" w:rsidRDefault="00AB41BE" w:rsidP="00AB41BE">
            <w:pPr>
              <w:overflowPunct/>
              <w:autoSpaceDE/>
              <w:autoSpaceDN/>
              <w:adjustRightInd/>
              <w:spacing w:after="0"/>
              <w:jc w:val="left"/>
              <w:textAlignment w:val="bottom"/>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Guard-Band</w:t>
            </w:r>
          </w:p>
        </w:tc>
      </w:tr>
      <w:tr w:rsidR="00AB41BE" w:rsidRPr="00AB41BE" w14:paraId="487585B9" w14:textId="77777777" w:rsidTr="008167E9">
        <w:trPr>
          <w:trHeight w:val="279"/>
        </w:trPr>
        <w:tc>
          <w:tcPr>
            <w:tcW w:w="3780" w:type="dxa"/>
            <w:tcBorders>
              <w:top w:val="nil"/>
              <w:bottom w:val="single" w:sz="12" w:space="0" w:color="5B9BD5" w:themeColor="accent1"/>
            </w:tcBorders>
            <w:shd w:val="clear" w:color="auto" w:fill="00B0F0"/>
            <w:hideMark/>
          </w:tcPr>
          <w:p w14:paraId="19C43271" w14:textId="77777777" w:rsidR="00AB41BE" w:rsidRPr="00AB41BE" w:rsidRDefault="00AB41BE" w:rsidP="00AB41BE">
            <w:pPr>
              <w:overflowPunct/>
              <w:autoSpaceDE/>
              <w:autoSpaceDN/>
              <w:adjustRightInd/>
              <w:spacing w:after="0"/>
              <w:jc w:val="center"/>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Activity</w:t>
            </w:r>
          </w:p>
        </w:tc>
        <w:tc>
          <w:tcPr>
            <w:tcW w:w="1940" w:type="dxa"/>
            <w:tcBorders>
              <w:top w:val="nil"/>
              <w:bottom w:val="single" w:sz="12" w:space="0" w:color="5B9BD5" w:themeColor="accent1"/>
            </w:tcBorders>
            <w:shd w:val="clear" w:color="auto" w:fill="00B0F0"/>
            <w:hideMark/>
          </w:tcPr>
          <w:p w14:paraId="16CFD9A4" w14:textId="77777777" w:rsidR="00AB41BE" w:rsidRPr="00AB41BE" w:rsidRDefault="00AB41BE" w:rsidP="00AB41BE">
            <w:pPr>
              <w:overflowPunct/>
              <w:autoSpaceDE/>
              <w:autoSpaceDN/>
              <w:adjustRightInd/>
              <w:spacing w:after="0"/>
              <w:jc w:val="center"/>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Time (ms)</w:t>
            </w:r>
          </w:p>
        </w:tc>
        <w:tc>
          <w:tcPr>
            <w:tcW w:w="1940" w:type="dxa"/>
            <w:tcBorders>
              <w:top w:val="nil"/>
              <w:bottom w:val="single" w:sz="12" w:space="0" w:color="5B9BD5" w:themeColor="accent1"/>
            </w:tcBorders>
            <w:shd w:val="clear" w:color="auto" w:fill="00B0F0"/>
            <w:hideMark/>
          </w:tcPr>
          <w:p w14:paraId="3EDD3215" w14:textId="77777777" w:rsidR="00AB41BE" w:rsidRPr="00AB41BE" w:rsidRDefault="00AB41BE" w:rsidP="00AB41BE">
            <w:pPr>
              <w:overflowPunct/>
              <w:autoSpaceDE/>
              <w:autoSpaceDN/>
              <w:adjustRightInd/>
              <w:spacing w:after="0"/>
              <w:jc w:val="center"/>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Time (ms)</w:t>
            </w:r>
          </w:p>
        </w:tc>
        <w:tc>
          <w:tcPr>
            <w:tcW w:w="1940" w:type="dxa"/>
            <w:tcBorders>
              <w:top w:val="nil"/>
              <w:bottom w:val="single" w:sz="12" w:space="0" w:color="5B9BD5" w:themeColor="accent1"/>
            </w:tcBorders>
            <w:shd w:val="clear" w:color="auto" w:fill="00B0F0"/>
            <w:hideMark/>
          </w:tcPr>
          <w:p w14:paraId="46D730BC" w14:textId="77777777" w:rsidR="00AB41BE" w:rsidRPr="00AB41BE" w:rsidRDefault="00AB41BE" w:rsidP="00AB41BE">
            <w:pPr>
              <w:overflowPunct/>
              <w:autoSpaceDE/>
              <w:autoSpaceDN/>
              <w:adjustRightInd/>
              <w:spacing w:after="0"/>
              <w:jc w:val="center"/>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Time (ms)</w:t>
            </w:r>
          </w:p>
        </w:tc>
      </w:tr>
      <w:tr w:rsidR="00AB41BE" w:rsidRPr="00AB41BE" w14:paraId="36BC63F3" w14:textId="77777777" w:rsidTr="008167E9">
        <w:trPr>
          <w:trHeight w:val="279"/>
        </w:trPr>
        <w:tc>
          <w:tcPr>
            <w:tcW w:w="3780" w:type="dxa"/>
            <w:tcBorders>
              <w:top w:val="single" w:sz="12" w:space="0" w:color="5B9BD5" w:themeColor="accent1"/>
            </w:tcBorders>
            <w:hideMark/>
          </w:tcPr>
          <w:p w14:paraId="5F97D37C" w14:textId="77777777" w:rsidR="00AB41BE" w:rsidRPr="00AB41BE" w:rsidRDefault="00AB41BE" w:rsidP="00AB41BE">
            <w:pPr>
              <w:overflowPunct/>
              <w:autoSpaceDE/>
              <w:autoSpaceDN/>
              <w:adjustRightInd/>
              <w:spacing w:after="0"/>
              <w:jc w:val="lef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Synchronization</w:t>
            </w:r>
          </w:p>
        </w:tc>
        <w:tc>
          <w:tcPr>
            <w:tcW w:w="1940" w:type="dxa"/>
            <w:tcBorders>
              <w:top w:val="single" w:sz="12" w:space="0" w:color="5B9BD5" w:themeColor="accent1"/>
            </w:tcBorders>
            <w:hideMark/>
          </w:tcPr>
          <w:p w14:paraId="5E992E9C"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520</w:t>
            </w:r>
          </w:p>
        </w:tc>
        <w:tc>
          <w:tcPr>
            <w:tcW w:w="1940" w:type="dxa"/>
            <w:tcBorders>
              <w:top w:val="single" w:sz="12" w:space="0" w:color="5B9BD5" w:themeColor="accent1"/>
            </w:tcBorders>
            <w:hideMark/>
          </w:tcPr>
          <w:p w14:paraId="359E0C76"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1110</w:t>
            </w:r>
          </w:p>
        </w:tc>
        <w:tc>
          <w:tcPr>
            <w:tcW w:w="1940" w:type="dxa"/>
            <w:tcBorders>
              <w:top w:val="single" w:sz="12" w:space="0" w:color="5B9BD5" w:themeColor="accent1"/>
            </w:tcBorders>
            <w:hideMark/>
          </w:tcPr>
          <w:p w14:paraId="0B50D307"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1110</w:t>
            </w:r>
          </w:p>
        </w:tc>
      </w:tr>
      <w:tr w:rsidR="00AB41BE" w:rsidRPr="00AB41BE" w14:paraId="17744979" w14:textId="77777777" w:rsidTr="008167E9">
        <w:trPr>
          <w:trHeight w:val="279"/>
        </w:trPr>
        <w:tc>
          <w:tcPr>
            <w:tcW w:w="3780" w:type="dxa"/>
            <w:hideMark/>
          </w:tcPr>
          <w:p w14:paraId="745321CA" w14:textId="77777777" w:rsidR="00AB41BE" w:rsidRPr="00AB41BE" w:rsidRDefault="00AB41BE" w:rsidP="00AB41BE">
            <w:pPr>
              <w:overflowPunct/>
              <w:autoSpaceDE/>
              <w:autoSpaceDN/>
              <w:adjustRightInd/>
              <w:spacing w:after="0"/>
              <w:jc w:val="lef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MIB acquisition</w:t>
            </w:r>
          </w:p>
        </w:tc>
        <w:tc>
          <w:tcPr>
            <w:tcW w:w="1940" w:type="dxa"/>
            <w:hideMark/>
          </w:tcPr>
          <w:p w14:paraId="34442B49"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640</w:t>
            </w:r>
          </w:p>
        </w:tc>
        <w:tc>
          <w:tcPr>
            <w:tcW w:w="1940" w:type="dxa"/>
            <w:hideMark/>
          </w:tcPr>
          <w:p w14:paraId="363D4E63"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1920</w:t>
            </w:r>
          </w:p>
        </w:tc>
        <w:tc>
          <w:tcPr>
            <w:tcW w:w="1940" w:type="dxa"/>
            <w:hideMark/>
          </w:tcPr>
          <w:p w14:paraId="68F4EEA6"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1920</w:t>
            </w:r>
          </w:p>
        </w:tc>
      </w:tr>
      <w:tr w:rsidR="00AB41BE" w:rsidRPr="00AB41BE" w14:paraId="1C7209A3" w14:textId="77777777" w:rsidTr="008167E9">
        <w:trPr>
          <w:trHeight w:val="279"/>
        </w:trPr>
        <w:tc>
          <w:tcPr>
            <w:tcW w:w="3780" w:type="dxa"/>
            <w:hideMark/>
          </w:tcPr>
          <w:p w14:paraId="63336166" w14:textId="77777777" w:rsidR="00AB41BE" w:rsidRPr="00AB41BE" w:rsidRDefault="00AB41BE" w:rsidP="00AB41BE">
            <w:pPr>
              <w:overflowPunct/>
              <w:autoSpaceDE/>
              <w:autoSpaceDN/>
              <w:adjustRightInd/>
              <w:spacing w:after="0"/>
              <w:jc w:val="lef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PRACH</w:t>
            </w:r>
          </w:p>
        </w:tc>
        <w:tc>
          <w:tcPr>
            <w:tcW w:w="1940" w:type="dxa"/>
            <w:hideMark/>
          </w:tcPr>
          <w:p w14:paraId="452C79F8"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1440</w:t>
            </w:r>
          </w:p>
        </w:tc>
        <w:tc>
          <w:tcPr>
            <w:tcW w:w="1940" w:type="dxa"/>
            <w:hideMark/>
          </w:tcPr>
          <w:p w14:paraId="564FF8DB"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1440</w:t>
            </w:r>
          </w:p>
        </w:tc>
        <w:tc>
          <w:tcPr>
            <w:tcW w:w="1940" w:type="dxa"/>
            <w:hideMark/>
          </w:tcPr>
          <w:p w14:paraId="550ADAA0"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1440</w:t>
            </w:r>
          </w:p>
        </w:tc>
      </w:tr>
      <w:tr w:rsidR="00AB41BE" w:rsidRPr="00AB41BE" w14:paraId="0FC1AD17" w14:textId="77777777" w:rsidTr="008167E9">
        <w:trPr>
          <w:trHeight w:val="279"/>
        </w:trPr>
        <w:tc>
          <w:tcPr>
            <w:tcW w:w="3780" w:type="dxa"/>
            <w:hideMark/>
          </w:tcPr>
          <w:p w14:paraId="5DE88010" w14:textId="77777777" w:rsidR="00AB41BE" w:rsidRPr="00AB41BE" w:rsidRDefault="00AB41BE" w:rsidP="00AB41BE">
            <w:pPr>
              <w:overflowPunct/>
              <w:autoSpaceDE/>
              <w:autoSpaceDN/>
              <w:adjustRightInd/>
              <w:spacing w:after="0"/>
              <w:jc w:val="lef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Wait</w:t>
            </w:r>
          </w:p>
        </w:tc>
        <w:tc>
          <w:tcPr>
            <w:tcW w:w="1940" w:type="dxa"/>
            <w:hideMark/>
          </w:tcPr>
          <w:p w14:paraId="3B85DB73"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572</w:t>
            </w:r>
          </w:p>
        </w:tc>
        <w:tc>
          <w:tcPr>
            <w:tcW w:w="1940" w:type="dxa"/>
            <w:hideMark/>
          </w:tcPr>
          <w:p w14:paraId="1940AB5D"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1440</w:t>
            </w:r>
          </w:p>
        </w:tc>
        <w:tc>
          <w:tcPr>
            <w:tcW w:w="1940" w:type="dxa"/>
            <w:hideMark/>
          </w:tcPr>
          <w:p w14:paraId="60FAC76E"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1200</w:t>
            </w:r>
          </w:p>
        </w:tc>
      </w:tr>
      <w:tr w:rsidR="00AB41BE" w:rsidRPr="00AB41BE" w14:paraId="5F8D3B72" w14:textId="77777777" w:rsidTr="008167E9">
        <w:trPr>
          <w:trHeight w:val="279"/>
        </w:trPr>
        <w:tc>
          <w:tcPr>
            <w:tcW w:w="3780" w:type="dxa"/>
            <w:hideMark/>
          </w:tcPr>
          <w:p w14:paraId="141A14F0" w14:textId="77777777" w:rsidR="00AB41BE" w:rsidRPr="00AB41BE" w:rsidRDefault="00AB41BE" w:rsidP="00AB41BE">
            <w:pPr>
              <w:overflowPunct/>
              <w:autoSpaceDE/>
              <w:autoSpaceDN/>
              <w:adjustRightInd/>
              <w:spacing w:after="0"/>
              <w:jc w:val="lef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 xml:space="preserve">DCI + RAR </w:t>
            </w:r>
          </w:p>
        </w:tc>
        <w:tc>
          <w:tcPr>
            <w:tcW w:w="1940" w:type="dxa"/>
            <w:hideMark/>
          </w:tcPr>
          <w:p w14:paraId="47A1FCE6"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72</w:t>
            </w:r>
          </w:p>
        </w:tc>
        <w:tc>
          <w:tcPr>
            <w:tcW w:w="1940" w:type="dxa"/>
            <w:hideMark/>
          </w:tcPr>
          <w:p w14:paraId="2C6FE8DC"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288</w:t>
            </w:r>
          </w:p>
        </w:tc>
        <w:tc>
          <w:tcPr>
            <w:tcW w:w="1940" w:type="dxa"/>
            <w:hideMark/>
          </w:tcPr>
          <w:p w14:paraId="5C450993"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240</w:t>
            </w:r>
          </w:p>
        </w:tc>
      </w:tr>
      <w:tr w:rsidR="00AB41BE" w:rsidRPr="00AB41BE" w14:paraId="404DDAED" w14:textId="77777777" w:rsidTr="008167E9">
        <w:trPr>
          <w:trHeight w:val="279"/>
        </w:trPr>
        <w:tc>
          <w:tcPr>
            <w:tcW w:w="3780" w:type="dxa"/>
            <w:hideMark/>
          </w:tcPr>
          <w:p w14:paraId="482E6599" w14:textId="77777777" w:rsidR="00AB41BE" w:rsidRPr="00AB41BE" w:rsidRDefault="00AB41BE" w:rsidP="00AB41BE">
            <w:pPr>
              <w:overflowPunct/>
              <w:autoSpaceDE/>
              <w:autoSpaceDN/>
              <w:adjustRightInd/>
              <w:spacing w:after="0"/>
              <w:jc w:val="lef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Msg3</w:t>
            </w:r>
          </w:p>
        </w:tc>
        <w:tc>
          <w:tcPr>
            <w:tcW w:w="1940" w:type="dxa"/>
            <w:hideMark/>
          </w:tcPr>
          <w:p w14:paraId="36FC689D"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349</w:t>
            </w:r>
          </w:p>
        </w:tc>
        <w:tc>
          <w:tcPr>
            <w:tcW w:w="1940" w:type="dxa"/>
            <w:hideMark/>
          </w:tcPr>
          <w:p w14:paraId="0C461433"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349</w:t>
            </w:r>
          </w:p>
        </w:tc>
        <w:tc>
          <w:tcPr>
            <w:tcW w:w="1940" w:type="dxa"/>
            <w:hideMark/>
          </w:tcPr>
          <w:p w14:paraId="77818EBD"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349</w:t>
            </w:r>
          </w:p>
        </w:tc>
      </w:tr>
      <w:tr w:rsidR="00AB41BE" w:rsidRPr="00AB41BE" w14:paraId="6C09105F" w14:textId="77777777" w:rsidTr="008167E9">
        <w:trPr>
          <w:trHeight w:val="279"/>
        </w:trPr>
        <w:tc>
          <w:tcPr>
            <w:tcW w:w="3780" w:type="dxa"/>
            <w:hideMark/>
          </w:tcPr>
          <w:p w14:paraId="05D49017" w14:textId="77777777" w:rsidR="00AB41BE" w:rsidRPr="00AB41BE" w:rsidRDefault="00AB41BE" w:rsidP="00AB41BE">
            <w:pPr>
              <w:overflowPunct/>
              <w:autoSpaceDE/>
              <w:autoSpaceDN/>
              <w:adjustRightInd/>
              <w:spacing w:after="0"/>
              <w:jc w:val="lef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DCI + Msg4</w:t>
            </w:r>
          </w:p>
        </w:tc>
        <w:tc>
          <w:tcPr>
            <w:tcW w:w="1940" w:type="dxa"/>
            <w:hideMark/>
          </w:tcPr>
          <w:p w14:paraId="46A87B9A"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83</w:t>
            </w:r>
          </w:p>
        </w:tc>
        <w:tc>
          <w:tcPr>
            <w:tcW w:w="1940" w:type="dxa"/>
            <w:hideMark/>
          </w:tcPr>
          <w:p w14:paraId="489A9418"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299</w:t>
            </w:r>
          </w:p>
        </w:tc>
        <w:tc>
          <w:tcPr>
            <w:tcW w:w="1940" w:type="dxa"/>
            <w:hideMark/>
          </w:tcPr>
          <w:p w14:paraId="6D302BB1"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251</w:t>
            </w:r>
          </w:p>
        </w:tc>
      </w:tr>
      <w:tr w:rsidR="00AB41BE" w:rsidRPr="00AB41BE" w14:paraId="2153DD63" w14:textId="77777777" w:rsidTr="008167E9">
        <w:trPr>
          <w:trHeight w:val="279"/>
        </w:trPr>
        <w:tc>
          <w:tcPr>
            <w:tcW w:w="3780" w:type="dxa"/>
            <w:hideMark/>
          </w:tcPr>
          <w:p w14:paraId="32C5FC15" w14:textId="77777777" w:rsidR="00AB41BE" w:rsidRPr="00AB41BE" w:rsidRDefault="00AB41BE" w:rsidP="00AB41BE">
            <w:pPr>
              <w:overflowPunct/>
              <w:autoSpaceDE/>
              <w:autoSpaceDN/>
              <w:adjustRightInd/>
              <w:spacing w:after="0"/>
              <w:jc w:val="lef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DCI (UL grant)</w:t>
            </w:r>
          </w:p>
        </w:tc>
        <w:tc>
          <w:tcPr>
            <w:tcW w:w="1940" w:type="dxa"/>
            <w:hideMark/>
          </w:tcPr>
          <w:p w14:paraId="706476EF"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45</w:t>
            </w:r>
          </w:p>
        </w:tc>
        <w:tc>
          <w:tcPr>
            <w:tcW w:w="1940" w:type="dxa"/>
            <w:hideMark/>
          </w:tcPr>
          <w:p w14:paraId="5933AFB3"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153</w:t>
            </w:r>
          </w:p>
        </w:tc>
        <w:tc>
          <w:tcPr>
            <w:tcW w:w="1940" w:type="dxa"/>
            <w:hideMark/>
          </w:tcPr>
          <w:p w14:paraId="2EE8500D"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129</w:t>
            </w:r>
          </w:p>
        </w:tc>
      </w:tr>
      <w:tr w:rsidR="00AB41BE" w:rsidRPr="00AB41BE" w14:paraId="643DC649" w14:textId="77777777" w:rsidTr="008167E9">
        <w:trPr>
          <w:trHeight w:val="279"/>
        </w:trPr>
        <w:tc>
          <w:tcPr>
            <w:tcW w:w="3780" w:type="dxa"/>
            <w:hideMark/>
          </w:tcPr>
          <w:p w14:paraId="2960F090" w14:textId="77777777" w:rsidR="00AB41BE" w:rsidRPr="00AB41BE" w:rsidRDefault="00AB41BE" w:rsidP="00AB41BE">
            <w:pPr>
              <w:overflowPunct/>
              <w:autoSpaceDE/>
              <w:autoSpaceDN/>
              <w:adjustRightInd/>
              <w:spacing w:after="0"/>
              <w:jc w:val="lef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UL Data Tx</w:t>
            </w:r>
          </w:p>
        </w:tc>
        <w:tc>
          <w:tcPr>
            <w:tcW w:w="1940" w:type="dxa"/>
            <w:hideMark/>
          </w:tcPr>
          <w:p w14:paraId="06F996BD"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2163</w:t>
            </w:r>
          </w:p>
        </w:tc>
        <w:tc>
          <w:tcPr>
            <w:tcW w:w="1940" w:type="dxa"/>
            <w:hideMark/>
          </w:tcPr>
          <w:p w14:paraId="30187CA5"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2163</w:t>
            </w:r>
          </w:p>
        </w:tc>
        <w:tc>
          <w:tcPr>
            <w:tcW w:w="1940" w:type="dxa"/>
            <w:hideMark/>
          </w:tcPr>
          <w:p w14:paraId="36729152"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2163</w:t>
            </w:r>
          </w:p>
        </w:tc>
      </w:tr>
      <w:tr w:rsidR="00AB41BE" w:rsidRPr="00AB41BE" w14:paraId="371A44F8" w14:textId="77777777" w:rsidTr="008167E9">
        <w:trPr>
          <w:trHeight w:val="279"/>
        </w:trPr>
        <w:tc>
          <w:tcPr>
            <w:tcW w:w="3780" w:type="dxa"/>
            <w:hideMark/>
          </w:tcPr>
          <w:p w14:paraId="30ECD402" w14:textId="77777777" w:rsidR="00AB41BE" w:rsidRPr="00AB41BE" w:rsidRDefault="00AB41BE" w:rsidP="00AB41BE">
            <w:pPr>
              <w:overflowPunct/>
              <w:autoSpaceDE/>
              <w:autoSpaceDN/>
              <w:adjustRightInd/>
              <w:spacing w:after="0"/>
              <w:jc w:val="lef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90% confidence</w:t>
            </w:r>
          </w:p>
        </w:tc>
        <w:tc>
          <w:tcPr>
            <w:tcW w:w="1940" w:type="dxa"/>
            <w:hideMark/>
          </w:tcPr>
          <w:p w14:paraId="088E2360"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5884</w:t>
            </w:r>
          </w:p>
        </w:tc>
        <w:tc>
          <w:tcPr>
            <w:tcW w:w="1940" w:type="dxa"/>
            <w:hideMark/>
          </w:tcPr>
          <w:p w14:paraId="4FEFDAC3"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9162</w:t>
            </w:r>
          </w:p>
        </w:tc>
        <w:tc>
          <w:tcPr>
            <w:tcW w:w="1940" w:type="dxa"/>
            <w:hideMark/>
          </w:tcPr>
          <w:p w14:paraId="3FA85038"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8802</w:t>
            </w:r>
          </w:p>
        </w:tc>
      </w:tr>
      <w:tr w:rsidR="00AB41BE" w:rsidRPr="00AB41BE" w14:paraId="7BF0B505" w14:textId="77777777" w:rsidTr="008167E9">
        <w:trPr>
          <w:trHeight w:val="279"/>
        </w:trPr>
        <w:tc>
          <w:tcPr>
            <w:tcW w:w="3780" w:type="dxa"/>
            <w:hideMark/>
          </w:tcPr>
          <w:p w14:paraId="05D4A2A8" w14:textId="77777777" w:rsidR="00AB41BE" w:rsidRPr="00AB41BE" w:rsidRDefault="00AB41BE" w:rsidP="00AB41BE">
            <w:pPr>
              <w:overflowPunct/>
              <w:autoSpaceDE/>
              <w:autoSpaceDN/>
              <w:adjustRightInd/>
              <w:spacing w:after="0"/>
              <w:jc w:val="lef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 </w:t>
            </w:r>
          </w:p>
        </w:tc>
        <w:tc>
          <w:tcPr>
            <w:tcW w:w="1940" w:type="dxa"/>
            <w:hideMark/>
          </w:tcPr>
          <w:p w14:paraId="4970C239"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 </w:t>
            </w:r>
          </w:p>
        </w:tc>
        <w:tc>
          <w:tcPr>
            <w:tcW w:w="1940" w:type="dxa"/>
            <w:hideMark/>
          </w:tcPr>
          <w:p w14:paraId="05D7F195"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 </w:t>
            </w:r>
          </w:p>
        </w:tc>
        <w:tc>
          <w:tcPr>
            <w:tcW w:w="1940" w:type="dxa"/>
            <w:hideMark/>
          </w:tcPr>
          <w:p w14:paraId="485B91AF"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 </w:t>
            </w:r>
          </w:p>
        </w:tc>
      </w:tr>
      <w:tr w:rsidR="00AB41BE" w:rsidRPr="00AB41BE" w14:paraId="2478D5D7" w14:textId="77777777" w:rsidTr="008167E9">
        <w:trPr>
          <w:trHeight w:val="481"/>
        </w:trPr>
        <w:tc>
          <w:tcPr>
            <w:tcW w:w="3780" w:type="dxa"/>
            <w:hideMark/>
          </w:tcPr>
          <w:p w14:paraId="5C5D87D6" w14:textId="3355E3B6" w:rsidR="00AB41BE" w:rsidRPr="00AB41BE" w:rsidRDefault="00AB41BE" w:rsidP="00AB41BE">
            <w:pPr>
              <w:overflowPunct/>
              <w:autoSpaceDE/>
              <w:autoSpaceDN/>
              <w:adjustRightInd/>
              <w:spacing w:after="0"/>
              <w:jc w:val="lef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DCI (UL grant)</w:t>
            </w:r>
          </w:p>
        </w:tc>
        <w:tc>
          <w:tcPr>
            <w:tcW w:w="1940" w:type="dxa"/>
            <w:hideMark/>
          </w:tcPr>
          <w:p w14:paraId="0B3102DF" w14:textId="34919A64" w:rsidR="00AB41BE" w:rsidRPr="00AB41BE" w:rsidRDefault="00D443A0" w:rsidP="00AB41BE">
            <w:pPr>
              <w:overflowPunct/>
              <w:autoSpaceDE/>
              <w:autoSpaceDN/>
              <w:adjustRightInd/>
              <w:spacing w:after="0"/>
              <w:jc w:val="right"/>
              <w:textAlignment w:val="center"/>
              <w:rPr>
                <w:rFonts w:ascii="Arial" w:eastAsia="Times New Roman" w:hAnsi="Arial" w:cs="Arial"/>
                <w:sz w:val="36"/>
                <w:szCs w:val="36"/>
                <w:lang w:val="en-US" w:eastAsia="en-US"/>
              </w:rPr>
            </w:pPr>
            <w:r>
              <w:rPr>
                <w:rFonts w:ascii="Arial" w:eastAsia="Times New Roman" w:hAnsi="Arial" w:cs="Arial"/>
                <w:color w:val="151616"/>
                <w:kern w:val="24"/>
                <w:szCs w:val="22"/>
                <w:lang w:val="en-US" w:eastAsia="en-US"/>
              </w:rPr>
              <w:t>45</w:t>
            </w:r>
          </w:p>
        </w:tc>
        <w:tc>
          <w:tcPr>
            <w:tcW w:w="1940" w:type="dxa"/>
            <w:hideMark/>
          </w:tcPr>
          <w:p w14:paraId="7247EE97" w14:textId="7AA8628E" w:rsidR="00AB41BE" w:rsidRPr="00AB41BE" w:rsidRDefault="00D443A0" w:rsidP="00AB41BE">
            <w:pPr>
              <w:overflowPunct/>
              <w:autoSpaceDE/>
              <w:autoSpaceDN/>
              <w:adjustRightInd/>
              <w:spacing w:after="0"/>
              <w:jc w:val="right"/>
              <w:textAlignment w:val="center"/>
              <w:rPr>
                <w:rFonts w:ascii="Arial" w:eastAsia="Times New Roman" w:hAnsi="Arial" w:cs="Arial"/>
                <w:sz w:val="36"/>
                <w:szCs w:val="36"/>
                <w:lang w:val="en-US" w:eastAsia="en-US"/>
              </w:rPr>
            </w:pPr>
            <w:r>
              <w:rPr>
                <w:rFonts w:ascii="Arial" w:eastAsia="Times New Roman" w:hAnsi="Arial" w:cs="Arial"/>
                <w:color w:val="151616"/>
                <w:kern w:val="24"/>
                <w:szCs w:val="22"/>
                <w:lang w:val="en-US" w:eastAsia="en-US"/>
              </w:rPr>
              <w:t>153</w:t>
            </w:r>
          </w:p>
        </w:tc>
        <w:tc>
          <w:tcPr>
            <w:tcW w:w="1940" w:type="dxa"/>
            <w:hideMark/>
          </w:tcPr>
          <w:p w14:paraId="4C98FEEE" w14:textId="6ED3299D" w:rsidR="00AB41BE" w:rsidRPr="00AB41BE" w:rsidRDefault="00D443A0" w:rsidP="00AB41BE">
            <w:pPr>
              <w:overflowPunct/>
              <w:autoSpaceDE/>
              <w:autoSpaceDN/>
              <w:adjustRightInd/>
              <w:spacing w:after="0"/>
              <w:jc w:val="right"/>
              <w:textAlignment w:val="center"/>
              <w:rPr>
                <w:rFonts w:ascii="Arial" w:eastAsia="Times New Roman" w:hAnsi="Arial" w:cs="Arial"/>
                <w:sz w:val="36"/>
                <w:szCs w:val="36"/>
                <w:lang w:val="en-US" w:eastAsia="en-US"/>
              </w:rPr>
            </w:pPr>
            <w:r>
              <w:rPr>
                <w:rFonts w:ascii="Arial" w:eastAsia="Times New Roman" w:hAnsi="Arial" w:cs="Arial"/>
                <w:color w:val="151616"/>
                <w:kern w:val="24"/>
                <w:szCs w:val="22"/>
                <w:lang w:val="en-US" w:eastAsia="en-US"/>
              </w:rPr>
              <w:t>129</w:t>
            </w:r>
          </w:p>
        </w:tc>
      </w:tr>
      <w:tr w:rsidR="00AB41BE" w:rsidRPr="00AB41BE" w14:paraId="709FC99F" w14:textId="77777777" w:rsidTr="008167E9">
        <w:trPr>
          <w:trHeight w:val="279"/>
        </w:trPr>
        <w:tc>
          <w:tcPr>
            <w:tcW w:w="3780" w:type="dxa"/>
            <w:hideMark/>
          </w:tcPr>
          <w:p w14:paraId="4AB069BA" w14:textId="77777777" w:rsidR="00AB41BE" w:rsidRPr="00AB41BE" w:rsidRDefault="00AB41BE" w:rsidP="00AB41BE">
            <w:pPr>
              <w:overflowPunct/>
              <w:autoSpaceDE/>
              <w:autoSpaceDN/>
              <w:adjustRightInd/>
              <w:spacing w:after="0"/>
              <w:jc w:val="lef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UL Data Tx</w:t>
            </w:r>
          </w:p>
        </w:tc>
        <w:tc>
          <w:tcPr>
            <w:tcW w:w="1940" w:type="dxa"/>
            <w:hideMark/>
          </w:tcPr>
          <w:p w14:paraId="6CD4EF7E"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2163</w:t>
            </w:r>
          </w:p>
        </w:tc>
        <w:tc>
          <w:tcPr>
            <w:tcW w:w="1940" w:type="dxa"/>
            <w:hideMark/>
          </w:tcPr>
          <w:p w14:paraId="3FF49655"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2163</w:t>
            </w:r>
          </w:p>
        </w:tc>
        <w:tc>
          <w:tcPr>
            <w:tcW w:w="1940" w:type="dxa"/>
            <w:hideMark/>
          </w:tcPr>
          <w:p w14:paraId="2538018A" w14:textId="77777777" w:rsidR="00AB41BE" w:rsidRPr="00AB41BE" w:rsidRDefault="00AB41BE" w:rsidP="00AB41BE">
            <w:pPr>
              <w:overflowPunct/>
              <w:autoSpaceDE/>
              <w:autoSpaceDN/>
              <w:adjustRightInd/>
              <w:spacing w:after="0"/>
              <w:jc w:val="righ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2163</w:t>
            </w:r>
          </w:p>
        </w:tc>
      </w:tr>
      <w:tr w:rsidR="00AB41BE" w:rsidRPr="00AB41BE" w14:paraId="3146B6E1" w14:textId="77777777" w:rsidTr="008167E9">
        <w:trPr>
          <w:trHeight w:val="279"/>
        </w:trPr>
        <w:tc>
          <w:tcPr>
            <w:tcW w:w="3780" w:type="dxa"/>
            <w:hideMark/>
          </w:tcPr>
          <w:p w14:paraId="3D06C555" w14:textId="77777777" w:rsidR="00AB41BE" w:rsidRPr="00AB41BE" w:rsidRDefault="00AB41BE" w:rsidP="00AB41BE">
            <w:pPr>
              <w:overflowPunct/>
              <w:autoSpaceDE/>
              <w:autoSpaceDN/>
              <w:adjustRightInd/>
              <w:spacing w:after="0"/>
              <w:jc w:val="left"/>
              <w:textAlignment w:val="center"/>
              <w:rPr>
                <w:rFonts w:ascii="Arial" w:eastAsia="Times New Roman" w:hAnsi="Arial" w:cs="Arial"/>
                <w:sz w:val="36"/>
                <w:szCs w:val="36"/>
                <w:lang w:val="en-US" w:eastAsia="en-US"/>
              </w:rPr>
            </w:pPr>
            <w:r w:rsidRPr="00AB41BE">
              <w:rPr>
                <w:rFonts w:ascii="Arial" w:eastAsia="Times New Roman" w:hAnsi="Arial" w:cs="Arial"/>
                <w:color w:val="151616"/>
                <w:kern w:val="24"/>
                <w:szCs w:val="22"/>
                <w:lang w:val="en-US" w:eastAsia="en-US"/>
              </w:rPr>
              <w:t>99% confidence</w:t>
            </w:r>
          </w:p>
        </w:tc>
        <w:tc>
          <w:tcPr>
            <w:tcW w:w="1940" w:type="dxa"/>
            <w:hideMark/>
          </w:tcPr>
          <w:p w14:paraId="47CD2F5C" w14:textId="10DBE26E" w:rsidR="00AB41BE" w:rsidRPr="00AB41BE" w:rsidRDefault="00D443A0" w:rsidP="00AB41BE">
            <w:pPr>
              <w:overflowPunct/>
              <w:autoSpaceDE/>
              <w:autoSpaceDN/>
              <w:adjustRightInd/>
              <w:spacing w:after="0"/>
              <w:jc w:val="right"/>
              <w:textAlignment w:val="center"/>
              <w:rPr>
                <w:rFonts w:ascii="Arial" w:eastAsia="Times New Roman" w:hAnsi="Arial" w:cs="Arial"/>
                <w:sz w:val="36"/>
                <w:szCs w:val="36"/>
                <w:lang w:val="en-US" w:eastAsia="en-US"/>
              </w:rPr>
            </w:pPr>
            <w:r>
              <w:rPr>
                <w:rFonts w:ascii="Arial" w:eastAsia="Times New Roman" w:hAnsi="Arial" w:cs="Arial"/>
                <w:color w:val="151616"/>
                <w:kern w:val="24"/>
                <w:szCs w:val="22"/>
                <w:lang w:val="en-US" w:eastAsia="en-US"/>
              </w:rPr>
              <w:t>8092</w:t>
            </w:r>
          </w:p>
        </w:tc>
        <w:tc>
          <w:tcPr>
            <w:tcW w:w="1940" w:type="dxa"/>
            <w:hideMark/>
          </w:tcPr>
          <w:p w14:paraId="259EC254" w14:textId="43F1AFBA" w:rsidR="00AB41BE" w:rsidRPr="00AB41BE" w:rsidRDefault="00D443A0" w:rsidP="00AB41BE">
            <w:pPr>
              <w:overflowPunct/>
              <w:autoSpaceDE/>
              <w:autoSpaceDN/>
              <w:adjustRightInd/>
              <w:spacing w:after="0"/>
              <w:jc w:val="right"/>
              <w:textAlignment w:val="center"/>
              <w:rPr>
                <w:rFonts w:ascii="Arial" w:eastAsia="Times New Roman" w:hAnsi="Arial" w:cs="Arial"/>
                <w:sz w:val="36"/>
                <w:szCs w:val="36"/>
                <w:lang w:val="en-US" w:eastAsia="en-US"/>
              </w:rPr>
            </w:pPr>
            <w:r>
              <w:rPr>
                <w:rFonts w:ascii="Arial" w:eastAsia="Times New Roman" w:hAnsi="Arial" w:cs="Arial"/>
                <w:color w:val="151616"/>
                <w:kern w:val="24"/>
                <w:szCs w:val="22"/>
                <w:lang w:val="en-US" w:eastAsia="en-US"/>
              </w:rPr>
              <w:t>11478</w:t>
            </w:r>
          </w:p>
        </w:tc>
        <w:tc>
          <w:tcPr>
            <w:tcW w:w="1940" w:type="dxa"/>
            <w:hideMark/>
          </w:tcPr>
          <w:p w14:paraId="5691C530" w14:textId="3502B844" w:rsidR="00AB41BE" w:rsidRPr="00AB41BE" w:rsidRDefault="00D443A0" w:rsidP="00AB41BE">
            <w:pPr>
              <w:overflowPunct/>
              <w:autoSpaceDE/>
              <w:autoSpaceDN/>
              <w:adjustRightInd/>
              <w:spacing w:after="0"/>
              <w:jc w:val="right"/>
              <w:textAlignment w:val="center"/>
              <w:rPr>
                <w:rFonts w:ascii="Arial" w:eastAsia="Times New Roman" w:hAnsi="Arial" w:cs="Arial"/>
                <w:sz w:val="36"/>
                <w:szCs w:val="36"/>
                <w:lang w:val="en-US" w:eastAsia="en-US"/>
              </w:rPr>
            </w:pPr>
            <w:r>
              <w:rPr>
                <w:rFonts w:ascii="Arial" w:eastAsia="Times New Roman" w:hAnsi="Arial" w:cs="Arial"/>
                <w:color w:val="151616"/>
                <w:kern w:val="24"/>
                <w:szCs w:val="22"/>
                <w:lang w:val="en-US" w:eastAsia="en-US"/>
              </w:rPr>
              <w:t>11094</w:t>
            </w:r>
          </w:p>
        </w:tc>
      </w:tr>
    </w:tbl>
    <w:p w14:paraId="00E2938F" w14:textId="77777777" w:rsidR="00AB41BE" w:rsidRDefault="00AB41BE" w:rsidP="0001356A"/>
    <w:p w14:paraId="0F4382CF" w14:textId="77777777" w:rsidR="00AB41BE" w:rsidRDefault="00AB41BE" w:rsidP="0001356A">
      <w:pPr>
        <w:rPr>
          <w:lang w:val="en-US"/>
        </w:rPr>
      </w:pPr>
      <w:r w:rsidRPr="00AB41BE">
        <w:rPr>
          <w:lang w:val="en-US"/>
        </w:rPr>
        <w:t>Exception report latency of &lt;10 second can be achieved in all scenarios with 90% confidence</w:t>
      </w:r>
      <w:r>
        <w:rPr>
          <w:lang w:val="en-US"/>
        </w:rPr>
        <w:t>.</w:t>
      </w:r>
    </w:p>
    <w:p w14:paraId="2BFDF8F9" w14:textId="77777777" w:rsidR="00AB41BE" w:rsidRPr="00AB41BE" w:rsidRDefault="00AB41BE" w:rsidP="0001356A">
      <w:pPr>
        <w:rPr>
          <w:lang w:val="en-US"/>
        </w:rPr>
      </w:pPr>
    </w:p>
    <w:p w14:paraId="49452928" w14:textId="77777777" w:rsidR="0001356A" w:rsidRDefault="0001356A" w:rsidP="00AB41BE">
      <w:pPr>
        <w:pStyle w:val="Heading2"/>
      </w:pPr>
      <w:r>
        <w:lastRenderedPageBreak/>
        <w:t>B</w:t>
      </w:r>
      <w:r w:rsidRPr="0001356A">
        <w:t>attery</w:t>
      </w:r>
      <w:r>
        <w:t xml:space="preserve"> life</w:t>
      </w:r>
    </w:p>
    <w:p w14:paraId="7D48CAAB" w14:textId="77777777" w:rsidR="0001356A" w:rsidRDefault="00AB41BE" w:rsidP="0001356A">
      <w:r>
        <w:t xml:space="preserve">Battery lifetime has been evaluated in </w:t>
      </w:r>
      <w:r>
        <w:fldChar w:fldCharType="begin"/>
      </w:r>
      <w:r>
        <w:instrText xml:space="preserve"> REF _Ref434313436 \r \h </w:instrText>
      </w:r>
      <w:r>
        <w:fldChar w:fldCharType="separate"/>
      </w:r>
      <w:r w:rsidR="00286C68">
        <w:t>[15]</w:t>
      </w:r>
      <w:r>
        <w:fldChar w:fldCharType="end"/>
      </w:r>
      <w:r>
        <w:t xml:space="preserve">, </w:t>
      </w:r>
      <w:r>
        <w:fldChar w:fldCharType="begin"/>
      </w:r>
      <w:r>
        <w:instrText xml:space="preserve"> REF _Ref434313437 \r \h </w:instrText>
      </w:r>
      <w:r>
        <w:fldChar w:fldCharType="separate"/>
      </w:r>
      <w:r w:rsidR="00286C68">
        <w:t>[16]</w:t>
      </w:r>
      <w:r>
        <w:fldChar w:fldCharType="end"/>
      </w:r>
      <w:r>
        <w:t xml:space="preserve">, and </w:t>
      </w:r>
      <w:r>
        <w:fldChar w:fldCharType="begin"/>
      </w:r>
      <w:r>
        <w:instrText xml:space="preserve"> REF _Ref434313439 \r \h </w:instrText>
      </w:r>
      <w:r>
        <w:fldChar w:fldCharType="separate"/>
      </w:r>
      <w:r w:rsidR="00286C68">
        <w:t>[17]</w:t>
      </w:r>
      <w:r>
        <w:fldChar w:fldCharType="end"/>
      </w:r>
      <w:r>
        <w:t xml:space="preserve"> based on the assumptions in </w:t>
      </w:r>
      <w:r>
        <w:fldChar w:fldCharType="begin"/>
      </w:r>
      <w:r>
        <w:instrText xml:space="preserve"> REF _Ref425332273 \r \h </w:instrText>
      </w:r>
      <w:r>
        <w:fldChar w:fldCharType="separate"/>
      </w:r>
      <w:r w:rsidR="00241BE1">
        <w:t>[2]</w:t>
      </w:r>
      <w:r>
        <w:fldChar w:fldCharType="end"/>
      </w:r>
      <w:r>
        <w:t>. The battery lifetime has been summarized in the table below.</w:t>
      </w:r>
    </w:p>
    <w:p w14:paraId="6C93F043" w14:textId="77777777" w:rsidR="00AB41BE" w:rsidRDefault="00AB41BE" w:rsidP="0001356A"/>
    <w:p w14:paraId="02753B25" w14:textId="77777777" w:rsidR="00AB41BE" w:rsidRPr="00AB41BE" w:rsidRDefault="00AB41BE" w:rsidP="00AB41BE">
      <w:pPr>
        <w:pStyle w:val="Caption"/>
        <w:keepNext/>
        <w:rPr>
          <w:rFonts w:ascii="Arial" w:hAnsi="Arial"/>
        </w:rPr>
      </w:pPr>
      <w:r w:rsidRPr="006E3BDB">
        <w:rPr>
          <w:rFonts w:ascii="Arial" w:hAnsi="Arial"/>
        </w:rPr>
        <w:t xml:space="preserve">Table </w:t>
      </w:r>
      <w:r w:rsidRPr="006E3BDB">
        <w:rPr>
          <w:rFonts w:ascii="Arial" w:hAnsi="Arial"/>
        </w:rPr>
        <w:fldChar w:fldCharType="begin"/>
      </w:r>
      <w:r w:rsidRPr="006E3BDB">
        <w:rPr>
          <w:rFonts w:ascii="Arial" w:hAnsi="Arial"/>
        </w:rPr>
        <w:instrText xml:space="preserve"> SEQ Table \* ARABIC </w:instrText>
      </w:r>
      <w:r w:rsidRPr="006E3BDB">
        <w:rPr>
          <w:rFonts w:ascii="Arial" w:hAnsi="Arial"/>
        </w:rPr>
        <w:fldChar w:fldCharType="separate"/>
      </w:r>
      <w:r w:rsidR="00241BE1">
        <w:rPr>
          <w:rFonts w:ascii="Arial" w:hAnsi="Arial"/>
          <w:noProof/>
        </w:rPr>
        <w:t>3</w:t>
      </w:r>
      <w:r w:rsidRPr="006E3BDB">
        <w:rPr>
          <w:rFonts w:ascii="Arial" w:hAnsi="Arial"/>
        </w:rPr>
        <w:fldChar w:fldCharType="end"/>
      </w:r>
      <w:r w:rsidRPr="006E3BDB">
        <w:rPr>
          <w:rFonts w:ascii="Arial" w:hAnsi="Arial"/>
        </w:rPr>
        <w:t xml:space="preserve"> </w:t>
      </w:r>
      <w:r>
        <w:rPr>
          <w:rFonts w:ascii="Arial" w:hAnsi="Arial"/>
        </w:rPr>
        <w:t>Battery lifetime evaluations</w:t>
      </w:r>
      <w:r w:rsidRPr="006E3BDB">
        <w:rPr>
          <w:rFonts w:ascii="Arial" w:hAnsi="Arial"/>
        </w:rPr>
        <w:t>.</w:t>
      </w:r>
    </w:p>
    <w:tbl>
      <w:tblPr>
        <w:tblW w:w="6720" w:type="dxa"/>
        <w:jc w:val="center"/>
        <w:tblLook w:val="04A0" w:firstRow="1" w:lastRow="0" w:firstColumn="1" w:lastColumn="0" w:noHBand="0" w:noVBand="1"/>
      </w:tblPr>
      <w:tblGrid>
        <w:gridCol w:w="3620"/>
        <w:gridCol w:w="960"/>
        <w:gridCol w:w="1180"/>
        <w:gridCol w:w="960"/>
      </w:tblGrid>
      <w:tr w:rsidR="00E50D37" w:rsidRPr="00E50D37" w14:paraId="006F6745" w14:textId="77777777" w:rsidTr="00E50D37">
        <w:trPr>
          <w:trHeight w:val="300"/>
          <w:jc w:val="center"/>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1BCD7" w14:textId="77777777" w:rsidR="00E50D37" w:rsidRPr="00E50D37" w:rsidRDefault="00E50D37" w:rsidP="00E50D37">
            <w:pPr>
              <w:overflowPunct/>
              <w:autoSpaceDE/>
              <w:autoSpaceDN/>
              <w:adjustRightInd/>
              <w:spacing w:after="0"/>
              <w:jc w:val="lef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Packet size, reporting interval</w:t>
            </w:r>
          </w:p>
        </w:tc>
        <w:tc>
          <w:tcPr>
            <w:tcW w:w="3100" w:type="dxa"/>
            <w:gridSpan w:val="3"/>
            <w:tcBorders>
              <w:top w:val="single" w:sz="4" w:space="0" w:color="auto"/>
              <w:left w:val="nil"/>
              <w:bottom w:val="single" w:sz="4" w:space="0" w:color="auto"/>
              <w:right w:val="single" w:sz="4" w:space="0" w:color="auto"/>
            </w:tcBorders>
            <w:shd w:val="clear" w:color="auto" w:fill="auto"/>
            <w:noWrap/>
            <w:vAlign w:val="bottom"/>
            <w:hideMark/>
          </w:tcPr>
          <w:p w14:paraId="7E3633D5" w14:textId="77777777" w:rsidR="00E50D37" w:rsidRPr="00E50D37" w:rsidRDefault="00E50D37" w:rsidP="00E50D37">
            <w:pPr>
              <w:overflowPunct/>
              <w:autoSpaceDE/>
              <w:autoSpaceDN/>
              <w:adjustRightInd/>
              <w:spacing w:after="0"/>
              <w:jc w:val="center"/>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164 dB MCL</w:t>
            </w:r>
          </w:p>
        </w:tc>
      </w:tr>
      <w:tr w:rsidR="00E50D37" w:rsidRPr="00E50D37" w14:paraId="06B84759" w14:textId="77777777" w:rsidTr="00E50D37">
        <w:trPr>
          <w:trHeight w:val="600"/>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4CD98354" w14:textId="77777777" w:rsidR="00E50D37" w:rsidRPr="00E50D37" w:rsidRDefault="00E50D37" w:rsidP="00E50D37">
            <w:pPr>
              <w:overflowPunct/>
              <w:autoSpaceDE/>
              <w:autoSpaceDN/>
              <w:adjustRightInd/>
              <w:spacing w:after="0"/>
              <w:jc w:val="lef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 </w:t>
            </w:r>
          </w:p>
        </w:tc>
        <w:tc>
          <w:tcPr>
            <w:tcW w:w="960" w:type="dxa"/>
            <w:tcBorders>
              <w:top w:val="nil"/>
              <w:left w:val="nil"/>
              <w:bottom w:val="single" w:sz="4" w:space="0" w:color="auto"/>
              <w:right w:val="single" w:sz="4" w:space="0" w:color="auto"/>
            </w:tcBorders>
            <w:shd w:val="clear" w:color="auto" w:fill="auto"/>
            <w:hideMark/>
          </w:tcPr>
          <w:p w14:paraId="4F900F5F" w14:textId="77777777" w:rsidR="00E50D37" w:rsidRPr="00E50D37" w:rsidRDefault="00E50D37" w:rsidP="00E50D37">
            <w:pPr>
              <w:overflowPunct/>
              <w:autoSpaceDE/>
              <w:autoSpaceDN/>
              <w:adjustRightInd/>
              <w:spacing w:after="0"/>
              <w:jc w:val="lef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Stand Alone</w:t>
            </w:r>
          </w:p>
        </w:tc>
        <w:tc>
          <w:tcPr>
            <w:tcW w:w="1180" w:type="dxa"/>
            <w:tcBorders>
              <w:top w:val="nil"/>
              <w:left w:val="nil"/>
              <w:bottom w:val="nil"/>
              <w:right w:val="nil"/>
            </w:tcBorders>
            <w:shd w:val="clear" w:color="auto" w:fill="auto"/>
            <w:hideMark/>
          </w:tcPr>
          <w:p w14:paraId="64AA9D5B" w14:textId="77777777" w:rsidR="00E50D37" w:rsidRPr="00E50D37" w:rsidRDefault="00E50D37" w:rsidP="00E50D37">
            <w:pPr>
              <w:overflowPunct/>
              <w:autoSpaceDE/>
              <w:autoSpaceDN/>
              <w:adjustRightInd/>
              <w:spacing w:after="0"/>
              <w:jc w:val="lef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In-Band</w:t>
            </w:r>
          </w:p>
        </w:tc>
        <w:tc>
          <w:tcPr>
            <w:tcW w:w="960" w:type="dxa"/>
            <w:tcBorders>
              <w:top w:val="nil"/>
              <w:left w:val="single" w:sz="4" w:space="0" w:color="auto"/>
              <w:bottom w:val="single" w:sz="4" w:space="0" w:color="auto"/>
              <w:right w:val="single" w:sz="4" w:space="0" w:color="auto"/>
            </w:tcBorders>
            <w:shd w:val="clear" w:color="auto" w:fill="auto"/>
            <w:hideMark/>
          </w:tcPr>
          <w:p w14:paraId="006390D7" w14:textId="77777777" w:rsidR="00E50D37" w:rsidRPr="00E50D37" w:rsidRDefault="00E50D37" w:rsidP="00E50D37">
            <w:pPr>
              <w:overflowPunct/>
              <w:autoSpaceDE/>
              <w:autoSpaceDN/>
              <w:adjustRightInd/>
              <w:spacing w:after="0"/>
              <w:jc w:val="lef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Guard-Band</w:t>
            </w:r>
          </w:p>
        </w:tc>
      </w:tr>
      <w:tr w:rsidR="00E50D37" w:rsidRPr="00E50D37" w14:paraId="1C21C775" w14:textId="77777777" w:rsidTr="00E50D37">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6695E07F" w14:textId="77777777" w:rsidR="00E50D37" w:rsidRPr="00E50D37" w:rsidRDefault="00E50D37" w:rsidP="00E50D37">
            <w:pPr>
              <w:overflowPunct/>
              <w:autoSpaceDE/>
              <w:autoSpaceDN/>
              <w:adjustRightInd/>
              <w:spacing w:after="0"/>
              <w:jc w:val="lef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50 bytes, 2 hours</w:t>
            </w:r>
          </w:p>
        </w:tc>
        <w:tc>
          <w:tcPr>
            <w:tcW w:w="960" w:type="dxa"/>
            <w:tcBorders>
              <w:top w:val="nil"/>
              <w:left w:val="nil"/>
              <w:bottom w:val="single" w:sz="4" w:space="0" w:color="auto"/>
              <w:right w:val="single" w:sz="4" w:space="0" w:color="auto"/>
            </w:tcBorders>
            <w:shd w:val="clear" w:color="auto" w:fill="auto"/>
            <w:noWrap/>
            <w:vAlign w:val="bottom"/>
            <w:hideMark/>
          </w:tcPr>
          <w:p w14:paraId="1ED25513"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2,6</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06168882"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2,4</w:t>
            </w:r>
          </w:p>
        </w:tc>
        <w:tc>
          <w:tcPr>
            <w:tcW w:w="960" w:type="dxa"/>
            <w:tcBorders>
              <w:top w:val="nil"/>
              <w:left w:val="nil"/>
              <w:bottom w:val="single" w:sz="4" w:space="0" w:color="auto"/>
              <w:right w:val="single" w:sz="4" w:space="0" w:color="auto"/>
            </w:tcBorders>
            <w:shd w:val="clear" w:color="auto" w:fill="auto"/>
            <w:noWrap/>
            <w:vAlign w:val="bottom"/>
            <w:hideMark/>
          </w:tcPr>
          <w:p w14:paraId="297F8519"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2,4</w:t>
            </w:r>
          </w:p>
        </w:tc>
      </w:tr>
      <w:tr w:rsidR="00E50D37" w:rsidRPr="00E50D37" w14:paraId="23329B87" w14:textId="77777777" w:rsidTr="00E50D37">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56ED8FE5" w14:textId="77777777" w:rsidR="00E50D37" w:rsidRPr="00E50D37" w:rsidRDefault="00E50D37" w:rsidP="00E50D37">
            <w:pPr>
              <w:overflowPunct/>
              <w:autoSpaceDE/>
              <w:autoSpaceDN/>
              <w:adjustRightInd/>
              <w:spacing w:after="0"/>
              <w:jc w:val="lef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200 bytes, 2 hours</w:t>
            </w:r>
          </w:p>
        </w:tc>
        <w:tc>
          <w:tcPr>
            <w:tcW w:w="960" w:type="dxa"/>
            <w:tcBorders>
              <w:top w:val="nil"/>
              <w:left w:val="nil"/>
              <w:bottom w:val="single" w:sz="4" w:space="0" w:color="auto"/>
              <w:right w:val="single" w:sz="4" w:space="0" w:color="auto"/>
            </w:tcBorders>
            <w:shd w:val="clear" w:color="auto" w:fill="auto"/>
            <w:noWrap/>
            <w:vAlign w:val="bottom"/>
            <w:hideMark/>
          </w:tcPr>
          <w:p w14:paraId="72B62D76"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1,2</w:t>
            </w:r>
          </w:p>
        </w:tc>
        <w:tc>
          <w:tcPr>
            <w:tcW w:w="1180" w:type="dxa"/>
            <w:tcBorders>
              <w:top w:val="nil"/>
              <w:left w:val="nil"/>
              <w:bottom w:val="single" w:sz="4" w:space="0" w:color="auto"/>
              <w:right w:val="single" w:sz="4" w:space="0" w:color="auto"/>
            </w:tcBorders>
            <w:shd w:val="clear" w:color="auto" w:fill="auto"/>
            <w:noWrap/>
            <w:vAlign w:val="bottom"/>
            <w:hideMark/>
          </w:tcPr>
          <w:p w14:paraId="51FB0FF0"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1,2</w:t>
            </w:r>
          </w:p>
        </w:tc>
        <w:tc>
          <w:tcPr>
            <w:tcW w:w="960" w:type="dxa"/>
            <w:tcBorders>
              <w:top w:val="nil"/>
              <w:left w:val="nil"/>
              <w:bottom w:val="single" w:sz="4" w:space="0" w:color="auto"/>
              <w:right w:val="single" w:sz="4" w:space="0" w:color="auto"/>
            </w:tcBorders>
            <w:shd w:val="clear" w:color="auto" w:fill="auto"/>
            <w:noWrap/>
            <w:vAlign w:val="bottom"/>
            <w:hideMark/>
          </w:tcPr>
          <w:p w14:paraId="279F3EA2"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1,2</w:t>
            </w:r>
          </w:p>
        </w:tc>
      </w:tr>
      <w:tr w:rsidR="00E50D37" w:rsidRPr="00E50D37" w14:paraId="3F7368D0" w14:textId="77777777" w:rsidTr="00E50D37">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6785593D" w14:textId="77777777" w:rsidR="00E50D37" w:rsidRPr="00E50D37" w:rsidRDefault="00E50D37" w:rsidP="00E50D37">
            <w:pPr>
              <w:overflowPunct/>
              <w:autoSpaceDE/>
              <w:autoSpaceDN/>
              <w:adjustRightInd/>
              <w:spacing w:after="0"/>
              <w:jc w:val="lef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50 bytes, 1 day</w:t>
            </w:r>
          </w:p>
        </w:tc>
        <w:tc>
          <w:tcPr>
            <w:tcW w:w="960" w:type="dxa"/>
            <w:tcBorders>
              <w:top w:val="nil"/>
              <w:left w:val="nil"/>
              <w:bottom w:val="single" w:sz="4" w:space="0" w:color="auto"/>
              <w:right w:val="single" w:sz="4" w:space="0" w:color="auto"/>
            </w:tcBorders>
            <w:shd w:val="clear" w:color="auto" w:fill="auto"/>
            <w:noWrap/>
            <w:vAlign w:val="bottom"/>
            <w:hideMark/>
          </w:tcPr>
          <w:p w14:paraId="01BD7924"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18,0</w:t>
            </w:r>
          </w:p>
        </w:tc>
        <w:tc>
          <w:tcPr>
            <w:tcW w:w="1180" w:type="dxa"/>
            <w:tcBorders>
              <w:top w:val="nil"/>
              <w:left w:val="nil"/>
              <w:bottom w:val="single" w:sz="4" w:space="0" w:color="auto"/>
              <w:right w:val="single" w:sz="4" w:space="0" w:color="auto"/>
            </w:tcBorders>
            <w:shd w:val="clear" w:color="auto" w:fill="auto"/>
            <w:noWrap/>
            <w:vAlign w:val="bottom"/>
            <w:hideMark/>
          </w:tcPr>
          <w:p w14:paraId="5CDD16D8"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16,8</w:t>
            </w:r>
          </w:p>
        </w:tc>
        <w:tc>
          <w:tcPr>
            <w:tcW w:w="960" w:type="dxa"/>
            <w:tcBorders>
              <w:top w:val="nil"/>
              <w:left w:val="nil"/>
              <w:bottom w:val="single" w:sz="4" w:space="0" w:color="auto"/>
              <w:right w:val="single" w:sz="4" w:space="0" w:color="auto"/>
            </w:tcBorders>
            <w:shd w:val="clear" w:color="auto" w:fill="auto"/>
            <w:noWrap/>
            <w:vAlign w:val="bottom"/>
            <w:hideMark/>
          </w:tcPr>
          <w:p w14:paraId="28C2423A"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17,0</w:t>
            </w:r>
          </w:p>
        </w:tc>
      </w:tr>
      <w:tr w:rsidR="00E50D37" w:rsidRPr="00E50D37" w14:paraId="627B1ACB" w14:textId="77777777" w:rsidTr="00E50D37">
        <w:trPr>
          <w:trHeight w:val="300"/>
          <w:jc w:val="center"/>
        </w:trPr>
        <w:tc>
          <w:tcPr>
            <w:tcW w:w="3620" w:type="dxa"/>
            <w:tcBorders>
              <w:top w:val="nil"/>
              <w:left w:val="single" w:sz="4" w:space="0" w:color="auto"/>
              <w:bottom w:val="single" w:sz="4" w:space="0" w:color="auto"/>
              <w:right w:val="single" w:sz="4" w:space="0" w:color="auto"/>
            </w:tcBorders>
            <w:shd w:val="clear" w:color="auto" w:fill="auto"/>
            <w:noWrap/>
            <w:vAlign w:val="bottom"/>
            <w:hideMark/>
          </w:tcPr>
          <w:p w14:paraId="4988C0D0" w14:textId="77777777" w:rsidR="00E50D37" w:rsidRPr="00E50D37" w:rsidRDefault="00E50D37" w:rsidP="00E50D37">
            <w:pPr>
              <w:overflowPunct/>
              <w:autoSpaceDE/>
              <w:autoSpaceDN/>
              <w:adjustRightInd/>
              <w:spacing w:after="0"/>
              <w:jc w:val="lef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200 bytes, 1 day</w:t>
            </w:r>
          </w:p>
        </w:tc>
        <w:tc>
          <w:tcPr>
            <w:tcW w:w="960" w:type="dxa"/>
            <w:tcBorders>
              <w:top w:val="nil"/>
              <w:left w:val="nil"/>
              <w:bottom w:val="single" w:sz="4" w:space="0" w:color="auto"/>
              <w:right w:val="single" w:sz="4" w:space="0" w:color="auto"/>
            </w:tcBorders>
            <w:shd w:val="clear" w:color="auto" w:fill="auto"/>
            <w:noWrap/>
            <w:vAlign w:val="bottom"/>
            <w:hideMark/>
          </w:tcPr>
          <w:p w14:paraId="1E59CFD2"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11,0</w:t>
            </w:r>
          </w:p>
        </w:tc>
        <w:tc>
          <w:tcPr>
            <w:tcW w:w="1180" w:type="dxa"/>
            <w:tcBorders>
              <w:top w:val="nil"/>
              <w:left w:val="nil"/>
              <w:bottom w:val="single" w:sz="4" w:space="0" w:color="auto"/>
              <w:right w:val="single" w:sz="4" w:space="0" w:color="auto"/>
            </w:tcBorders>
            <w:shd w:val="clear" w:color="auto" w:fill="auto"/>
            <w:noWrap/>
            <w:vAlign w:val="bottom"/>
            <w:hideMark/>
          </w:tcPr>
          <w:p w14:paraId="7686601C"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10,5</w:t>
            </w:r>
          </w:p>
        </w:tc>
        <w:tc>
          <w:tcPr>
            <w:tcW w:w="960" w:type="dxa"/>
            <w:tcBorders>
              <w:top w:val="nil"/>
              <w:left w:val="nil"/>
              <w:bottom w:val="single" w:sz="4" w:space="0" w:color="auto"/>
              <w:right w:val="single" w:sz="4" w:space="0" w:color="auto"/>
            </w:tcBorders>
            <w:shd w:val="clear" w:color="auto" w:fill="auto"/>
            <w:noWrap/>
            <w:vAlign w:val="bottom"/>
            <w:hideMark/>
          </w:tcPr>
          <w:p w14:paraId="1C22148D" w14:textId="77777777" w:rsidR="00E50D37" w:rsidRPr="00E50D37" w:rsidRDefault="00E50D37" w:rsidP="00E50D37">
            <w:pPr>
              <w:overflowPunct/>
              <w:autoSpaceDE/>
              <w:autoSpaceDN/>
              <w:adjustRightInd/>
              <w:spacing w:after="0"/>
              <w:jc w:val="right"/>
              <w:textAlignment w:val="auto"/>
              <w:rPr>
                <w:rFonts w:ascii="Calibri" w:eastAsia="Times New Roman" w:hAnsi="Calibri"/>
                <w:color w:val="000000"/>
                <w:szCs w:val="22"/>
                <w:lang w:val="en-US" w:eastAsia="en-US"/>
              </w:rPr>
            </w:pPr>
            <w:r w:rsidRPr="00E50D37">
              <w:rPr>
                <w:rFonts w:ascii="Calibri" w:eastAsia="Times New Roman" w:hAnsi="Calibri"/>
                <w:color w:val="000000"/>
                <w:szCs w:val="22"/>
                <w:lang w:val="en-US" w:eastAsia="en-US"/>
              </w:rPr>
              <w:t>10,6</w:t>
            </w:r>
          </w:p>
        </w:tc>
      </w:tr>
    </w:tbl>
    <w:p w14:paraId="0295C601" w14:textId="77777777" w:rsidR="00E50D37" w:rsidRDefault="00E50D37" w:rsidP="0001356A"/>
    <w:p w14:paraId="46D9B3E8" w14:textId="77777777" w:rsidR="00E50D37" w:rsidRDefault="00E50D37" w:rsidP="0001356A"/>
    <w:p w14:paraId="1215BBED" w14:textId="77777777" w:rsidR="00AB41BE" w:rsidRDefault="00880990" w:rsidP="0001356A">
      <w:r w:rsidRPr="00880990">
        <w:t>The energy consumption evaluation shows that the 10 year battery life objective can be met or exceeded for “once per day” traffic scenarios in standalone operation.</w:t>
      </w:r>
    </w:p>
    <w:p w14:paraId="66D73BED" w14:textId="77777777" w:rsidR="0001356A" w:rsidRPr="0001356A" w:rsidRDefault="0001356A" w:rsidP="00AB41BE">
      <w:pPr>
        <w:pStyle w:val="Heading2"/>
      </w:pPr>
      <w:r>
        <w:t>C</w:t>
      </w:r>
      <w:r w:rsidRPr="0001356A">
        <w:t>apacity</w:t>
      </w:r>
    </w:p>
    <w:p w14:paraId="6A22E237" w14:textId="7B922D0C" w:rsidR="008735E1" w:rsidRDefault="00C01803" w:rsidP="008735E1">
      <w:pPr>
        <w:rPr>
          <w:rFonts w:eastAsia="Malgun Gothic"/>
        </w:rPr>
      </w:pPr>
      <w:r>
        <w:rPr>
          <w:rFonts w:eastAsia="Malgun Gothic"/>
        </w:rPr>
        <w:t xml:space="preserve">Capacity has been </w:t>
      </w:r>
      <w:r w:rsidR="00E57B6B">
        <w:rPr>
          <w:rFonts w:eastAsia="Malgun Gothic"/>
        </w:rPr>
        <w:t xml:space="preserve">evaluated in </w:t>
      </w:r>
      <w:r w:rsidR="00E57B6B">
        <w:rPr>
          <w:rFonts w:eastAsia="Malgun Gothic"/>
        </w:rPr>
        <w:fldChar w:fldCharType="begin"/>
      </w:r>
      <w:r w:rsidR="00E57B6B">
        <w:rPr>
          <w:rFonts w:eastAsia="Malgun Gothic"/>
        </w:rPr>
        <w:instrText xml:space="preserve"> REF _Ref434480208 \r \h </w:instrText>
      </w:r>
      <w:r w:rsidR="00E57B6B">
        <w:rPr>
          <w:rFonts w:eastAsia="Malgun Gothic"/>
        </w:rPr>
      </w:r>
      <w:r w:rsidR="00E57B6B">
        <w:rPr>
          <w:rFonts w:eastAsia="Malgun Gothic"/>
        </w:rPr>
        <w:fldChar w:fldCharType="separate"/>
      </w:r>
      <w:r w:rsidR="00286C68">
        <w:rPr>
          <w:rFonts w:eastAsia="Malgun Gothic"/>
        </w:rPr>
        <w:t>[18]</w:t>
      </w:r>
      <w:r w:rsidR="00E57B6B">
        <w:rPr>
          <w:rFonts w:eastAsia="Malgun Gothic"/>
        </w:rPr>
        <w:fldChar w:fldCharType="end"/>
      </w:r>
      <w:r w:rsidR="00E57B6B">
        <w:rPr>
          <w:rFonts w:eastAsia="Malgun Gothic"/>
        </w:rPr>
        <w:t xml:space="preserve"> showing that the required 50k user per cell can easily be achieved. </w:t>
      </w:r>
      <w:r w:rsidR="00305525">
        <w:rPr>
          <w:rFonts w:eastAsia="Malgun Gothic"/>
        </w:rPr>
        <w:t xml:space="preserve">The system capacity will remain unchanged deploying </w:t>
      </w:r>
      <w:r w:rsidR="00F826AE" w:rsidRPr="009A2B5D">
        <w:rPr>
          <w:lang w:val="en-US"/>
        </w:rPr>
        <w:t xml:space="preserve">single tone transmission </w:t>
      </w:r>
      <w:r w:rsidR="00F826AE">
        <w:rPr>
          <w:lang w:val="en-US"/>
        </w:rPr>
        <w:t xml:space="preserve">while the UE capacity/throughput will be limited to single subcarrier capacity. For higher </w:t>
      </w:r>
      <w:r w:rsidR="002D7F97">
        <w:rPr>
          <w:lang w:val="en-US"/>
        </w:rPr>
        <w:t xml:space="preserve">UE </w:t>
      </w:r>
      <w:r w:rsidR="00A24DD0">
        <w:rPr>
          <w:lang w:val="en-US"/>
        </w:rPr>
        <w:t>throughput</w:t>
      </w:r>
      <w:r w:rsidR="00F826AE">
        <w:rPr>
          <w:lang w:val="en-US"/>
        </w:rPr>
        <w:t xml:space="preserve"> multitoned UE can be deployed. </w:t>
      </w:r>
    </w:p>
    <w:p w14:paraId="574D4021" w14:textId="77777777" w:rsidR="008735E1" w:rsidRPr="004A1413" w:rsidRDefault="004A1413" w:rsidP="008735E1">
      <w:pPr>
        <w:rPr>
          <w:rFonts w:eastAsia="Malgun Gothic"/>
          <w:b/>
        </w:rPr>
      </w:pPr>
      <w:r w:rsidRPr="004A1413">
        <w:rPr>
          <w:rFonts w:eastAsia="Malgun Gothic"/>
          <w:b/>
        </w:rPr>
        <w:t>Observation: Latency, battery life and capacity are fulfilling and even exceeding the NB-IoT objectives.</w:t>
      </w:r>
    </w:p>
    <w:p w14:paraId="49A21E42" w14:textId="77777777" w:rsidR="008735E1" w:rsidRDefault="008735E1" w:rsidP="008735E1">
      <w:pPr>
        <w:pStyle w:val="Heading1"/>
      </w:pPr>
      <w:r>
        <w:t>Conclusions</w:t>
      </w:r>
    </w:p>
    <w:p w14:paraId="6B6FB5DF" w14:textId="0287B9CF" w:rsidR="00E57B6B" w:rsidRPr="004A1413" w:rsidRDefault="00C74C26" w:rsidP="008735E1">
      <w:pPr>
        <w:rPr>
          <w:szCs w:val="22"/>
        </w:rPr>
      </w:pPr>
      <w:r w:rsidRPr="004A1413">
        <w:rPr>
          <w:szCs w:val="22"/>
        </w:rPr>
        <w:t>The analysis collected in this paper indicates that the LTE based numerology for NB IoT either exceeds the performance requirements or performs on par with alternative technical solution</w:t>
      </w:r>
      <w:r w:rsidR="004A1413" w:rsidRPr="004A1413">
        <w:rPr>
          <w:szCs w:val="22"/>
        </w:rPr>
        <w:t>s</w:t>
      </w:r>
      <w:r w:rsidRPr="004A1413">
        <w:rPr>
          <w:szCs w:val="22"/>
        </w:rPr>
        <w:t xml:space="preserve">. </w:t>
      </w:r>
      <w:r w:rsidR="00E57B6B" w:rsidRPr="004A1413">
        <w:rPr>
          <w:szCs w:val="22"/>
        </w:rPr>
        <w:t xml:space="preserve">The key requirements for NB IoT are </w:t>
      </w:r>
      <w:r w:rsidR="00E57B6B" w:rsidRPr="004A1413">
        <w:rPr>
          <w:szCs w:val="22"/>
        </w:rPr>
        <w:fldChar w:fldCharType="begin"/>
      </w:r>
      <w:r w:rsidR="00E57B6B" w:rsidRPr="004A1413">
        <w:rPr>
          <w:szCs w:val="22"/>
        </w:rPr>
        <w:instrText xml:space="preserve"> REF _Ref425332273 \r \h </w:instrText>
      </w:r>
      <w:r w:rsidR="004A1413">
        <w:rPr>
          <w:szCs w:val="22"/>
        </w:rPr>
        <w:instrText xml:space="preserve"> \* MERGEFORMAT </w:instrText>
      </w:r>
      <w:r w:rsidR="00E57B6B" w:rsidRPr="004A1413">
        <w:rPr>
          <w:szCs w:val="22"/>
        </w:rPr>
      </w:r>
      <w:r w:rsidR="00E57B6B" w:rsidRPr="004A1413">
        <w:rPr>
          <w:szCs w:val="22"/>
        </w:rPr>
        <w:fldChar w:fldCharType="separate"/>
      </w:r>
      <w:r w:rsidR="00241BE1" w:rsidRPr="004A1413">
        <w:rPr>
          <w:szCs w:val="22"/>
        </w:rPr>
        <w:t>[2]</w:t>
      </w:r>
      <w:r w:rsidR="00E57B6B" w:rsidRPr="004A1413">
        <w:rPr>
          <w:szCs w:val="22"/>
        </w:rPr>
        <w:fldChar w:fldCharType="end"/>
      </w:r>
      <w:r w:rsidR="00E57B6B" w:rsidRPr="004A1413">
        <w:rPr>
          <w:szCs w:val="22"/>
        </w:rPr>
        <w:t>:</w:t>
      </w:r>
    </w:p>
    <w:p w14:paraId="37A11B6E" w14:textId="77777777" w:rsidR="00E57B6B" w:rsidRPr="00A24DD0" w:rsidRDefault="00E57B6B" w:rsidP="00E57B6B">
      <w:pPr>
        <w:pStyle w:val="ListParagraph"/>
        <w:numPr>
          <w:ilvl w:val="0"/>
          <w:numId w:val="47"/>
        </w:numPr>
        <w:rPr>
          <w:sz w:val="22"/>
        </w:rPr>
      </w:pPr>
      <w:r w:rsidRPr="00A24DD0">
        <w:rPr>
          <w:color w:val="000000"/>
          <w:sz w:val="22"/>
        </w:rPr>
        <w:t>Improved indoor coverage: 160 bps for 164 dB MCL</w:t>
      </w:r>
    </w:p>
    <w:p w14:paraId="3AA628B2" w14:textId="77777777" w:rsidR="00E57B6B" w:rsidRPr="00A24DD0" w:rsidRDefault="00E57B6B" w:rsidP="00E57B6B">
      <w:pPr>
        <w:pStyle w:val="ListParagraph"/>
        <w:numPr>
          <w:ilvl w:val="0"/>
          <w:numId w:val="47"/>
        </w:numPr>
        <w:rPr>
          <w:sz w:val="22"/>
        </w:rPr>
      </w:pPr>
      <w:r w:rsidRPr="00A24DD0">
        <w:rPr>
          <w:sz w:val="22"/>
        </w:rPr>
        <w:t xml:space="preserve">Support of massive number of low throughput devices: 52547 </w:t>
      </w:r>
      <w:r w:rsidR="00675C94" w:rsidRPr="00A24DD0">
        <w:rPr>
          <w:sz w:val="22"/>
        </w:rPr>
        <w:t xml:space="preserve">devices </w:t>
      </w:r>
      <w:r w:rsidRPr="00A24DD0">
        <w:rPr>
          <w:sz w:val="22"/>
        </w:rPr>
        <w:t>per cell</w:t>
      </w:r>
    </w:p>
    <w:p w14:paraId="1374176C" w14:textId="77777777" w:rsidR="00E57B6B" w:rsidRPr="00A24DD0" w:rsidRDefault="00E57B6B" w:rsidP="00E57B6B">
      <w:pPr>
        <w:pStyle w:val="ListParagraph"/>
        <w:numPr>
          <w:ilvl w:val="0"/>
          <w:numId w:val="47"/>
        </w:numPr>
        <w:rPr>
          <w:sz w:val="22"/>
        </w:rPr>
      </w:pPr>
      <w:r w:rsidRPr="00A24DD0">
        <w:rPr>
          <w:sz w:val="22"/>
        </w:rPr>
        <w:t>Reduced complexity: Very low cost (no objective target)</w:t>
      </w:r>
    </w:p>
    <w:p w14:paraId="67B34D25" w14:textId="77777777" w:rsidR="00E57B6B" w:rsidRPr="00A24DD0" w:rsidRDefault="00E57B6B" w:rsidP="00E57B6B">
      <w:pPr>
        <w:pStyle w:val="ListParagraph"/>
        <w:numPr>
          <w:ilvl w:val="0"/>
          <w:numId w:val="47"/>
        </w:numPr>
        <w:rPr>
          <w:sz w:val="22"/>
        </w:rPr>
      </w:pPr>
      <w:r w:rsidRPr="00A24DD0">
        <w:rPr>
          <w:sz w:val="22"/>
        </w:rPr>
        <w:t>Improved power efficiency: 10 year battery life at 164 dB MCL with a 5Wh battery</w:t>
      </w:r>
    </w:p>
    <w:p w14:paraId="64A36625" w14:textId="77777777" w:rsidR="00E57B6B" w:rsidRPr="00A24DD0" w:rsidRDefault="00E57B6B" w:rsidP="00E57B6B">
      <w:pPr>
        <w:pStyle w:val="ListParagraph"/>
        <w:numPr>
          <w:ilvl w:val="0"/>
          <w:numId w:val="47"/>
        </w:numPr>
        <w:rPr>
          <w:sz w:val="22"/>
        </w:rPr>
      </w:pPr>
      <w:r w:rsidRPr="00A24DD0">
        <w:rPr>
          <w:sz w:val="22"/>
        </w:rPr>
        <w:t>Latency: 10 seconds from ‘trigger event’ to ready for transmission in uplink</w:t>
      </w:r>
    </w:p>
    <w:p w14:paraId="6B92943F" w14:textId="77777777" w:rsidR="00E57B6B" w:rsidRPr="004A1413" w:rsidRDefault="00E57B6B" w:rsidP="008735E1">
      <w:pPr>
        <w:rPr>
          <w:szCs w:val="22"/>
        </w:rPr>
      </w:pPr>
    </w:p>
    <w:p w14:paraId="714E29EC" w14:textId="6C1ED730" w:rsidR="00675C94" w:rsidRPr="004A1413" w:rsidRDefault="00675C94" w:rsidP="008735E1">
      <w:pPr>
        <w:rPr>
          <w:szCs w:val="22"/>
        </w:rPr>
      </w:pPr>
      <w:r w:rsidRPr="004A1413">
        <w:rPr>
          <w:szCs w:val="22"/>
        </w:rPr>
        <w:t xml:space="preserve">Furthermore, the requirements need to be fulfilled in all three deployment scenarios </w:t>
      </w:r>
      <w:r w:rsidRPr="004A1413">
        <w:rPr>
          <w:szCs w:val="22"/>
        </w:rPr>
        <w:fldChar w:fldCharType="begin"/>
      </w:r>
      <w:r w:rsidRPr="004A1413">
        <w:rPr>
          <w:szCs w:val="22"/>
        </w:rPr>
        <w:instrText xml:space="preserve"> REF _Ref433636538 \r \h </w:instrText>
      </w:r>
      <w:r w:rsidR="004A1413">
        <w:rPr>
          <w:szCs w:val="22"/>
        </w:rPr>
        <w:instrText xml:space="preserve"> \* MERGEFORMAT </w:instrText>
      </w:r>
      <w:r w:rsidRPr="004A1413">
        <w:rPr>
          <w:szCs w:val="22"/>
        </w:rPr>
      </w:r>
      <w:r w:rsidRPr="004A1413">
        <w:rPr>
          <w:szCs w:val="22"/>
        </w:rPr>
        <w:fldChar w:fldCharType="separate"/>
      </w:r>
      <w:r w:rsidR="00241BE1" w:rsidRPr="004A1413">
        <w:rPr>
          <w:szCs w:val="22"/>
        </w:rPr>
        <w:t>[1]</w:t>
      </w:r>
      <w:r w:rsidRPr="004A1413">
        <w:rPr>
          <w:szCs w:val="22"/>
        </w:rPr>
        <w:fldChar w:fldCharType="end"/>
      </w:r>
      <w:r w:rsidRPr="004A1413">
        <w:rPr>
          <w:szCs w:val="22"/>
        </w:rPr>
        <w:t>:</w:t>
      </w:r>
    </w:p>
    <w:p w14:paraId="5EAB3872" w14:textId="77777777" w:rsidR="00675C94" w:rsidRPr="00A24DD0" w:rsidRDefault="00675C94" w:rsidP="00675C94">
      <w:pPr>
        <w:pStyle w:val="ListParagraph"/>
        <w:numPr>
          <w:ilvl w:val="0"/>
          <w:numId w:val="48"/>
        </w:numPr>
        <w:rPr>
          <w:sz w:val="22"/>
        </w:rPr>
      </w:pPr>
      <w:r w:rsidRPr="00A24DD0">
        <w:rPr>
          <w:sz w:val="22"/>
        </w:rPr>
        <w:t>‘Stand-alone operation’ utilizing for example the spectrum currently being used by GERAN systems as a replacement of one or more GSM carriers</w:t>
      </w:r>
    </w:p>
    <w:p w14:paraId="69A1550A" w14:textId="77777777" w:rsidR="00675C94" w:rsidRPr="00A24DD0" w:rsidRDefault="00675C94" w:rsidP="00675C94">
      <w:pPr>
        <w:pStyle w:val="ListParagraph"/>
        <w:numPr>
          <w:ilvl w:val="0"/>
          <w:numId w:val="48"/>
        </w:numPr>
        <w:rPr>
          <w:sz w:val="22"/>
        </w:rPr>
      </w:pPr>
      <w:r w:rsidRPr="00A24DD0">
        <w:rPr>
          <w:sz w:val="22"/>
        </w:rPr>
        <w:t xml:space="preserve">‘Guard band operation’ utilizing the unused resource blocks within a LTE carrier’s guard-band </w:t>
      </w:r>
    </w:p>
    <w:p w14:paraId="6D48427D" w14:textId="77777777" w:rsidR="00675C94" w:rsidRPr="00A24DD0" w:rsidRDefault="00675C94" w:rsidP="00675C94">
      <w:pPr>
        <w:pStyle w:val="ListParagraph"/>
        <w:numPr>
          <w:ilvl w:val="0"/>
          <w:numId w:val="48"/>
        </w:numPr>
        <w:rPr>
          <w:sz w:val="22"/>
        </w:rPr>
      </w:pPr>
      <w:r w:rsidRPr="00A24DD0">
        <w:rPr>
          <w:sz w:val="22"/>
        </w:rPr>
        <w:t>‘In-band operation’ utilizing resource blocks within a normal LTE carrier</w:t>
      </w:r>
    </w:p>
    <w:p w14:paraId="082B97CB" w14:textId="77777777" w:rsidR="00675C94" w:rsidRPr="00A24DD0" w:rsidRDefault="00675C94" w:rsidP="00675C94">
      <w:pPr>
        <w:pStyle w:val="ListParagraph"/>
        <w:rPr>
          <w:sz w:val="22"/>
        </w:rPr>
      </w:pPr>
    </w:p>
    <w:p w14:paraId="0B6B0D42" w14:textId="4D7A0154" w:rsidR="00E57B6B" w:rsidRPr="004A1413" w:rsidRDefault="00E57B6B" w:rsidP="008735E1">
      <w:pPr>
        <w:rPr>
          <w:szCs w:val="22"/>
        </w:rPr>
      </w:pPr>
      <w:r w:rsidRPr="004A1413">
        <w:rPr>
          <w:szCs w:val="22"/>
        </w:rPr>
        <w:t xml:space="preserve">The solution laid out in this document based on OFDMA 15 kHz subcarrier spacing in downlink and SC-FDMA uplink </w:t>
      </w:r>
      <w:r w:rsidR="003F35F5">
        <w:rPr>
          <w:szCs w:val="22"/>
        </w:rPr>
        <w:t xml:space="preserve">with single-tone transmission </w:t>
      </w:r>
      <w:r w:rsidRPr="004A1413">
        <w:rPr>
          <w:szCs w:val="22"/>
        </w:rPr>
        <w:t>do meet or exceed the requirements:</w:t>
      </w:r>
    </w:p>
    <w:p w14:paraId="24E84D88" w14:textId="77777777" w:rsidR="00675C94" w:rsidRDefault="00675C94" w:rsidP="008735E1"/>
    <w:p w14:paraId="7EF328DA" w14:textId="77777777" w:rsidR="00675C94" w:rsidRDefault="00675C94" w:rsidP="008735E1"/>
    <w:p w14:paraId="51733A37" w14:textId="77777777" w:rsidR="00675C94" w:rsidRDefault="00675C94" w:rsidP="008735E1"/>
    <w:p w14:paraId="4C8D361B" w14:textId="77777777" w:rsidR="00675C94" w:rsidRPr="00675C94" w:rsidRDefault="00675C94" w:rsidP="00675C94">
      <w:pPr>
        <w:pStyle w:val="Caption"/>
        <w:keepNext/>
        <w:rPr>
          <w:rFonts w:ascii="Arial" w:hAnsi="Arial"/>
        </w:rPr>
      </w:pPr>
      <w:r w:rsidRPr="006E3BDB">
        <w:rPr>
          <w:rFonts w:ascii="Arial" w:hAnsi="Arial"/>
        </w:rPr>
        <w:lastRenderedPageBreak/>
        <w:t xml:space="preserve">Table </w:t>
      </w:r>
      <w:r w:rsidRPr="006E3BDB">
        <w:rPr>
          <w:rFonts w:ascii="Arial" w:hAnsi="Arial"/>
        </w:rPr>
        <w:fldChar w:fldCharType="begin"/>
      </w:r>
      <w:r w:rsidRPr="006E3BDB">
        <w:rPr>
          <w:rFonts w:ascii="Arial" w:hAnsi="Arial"/>
        </w:rPr>
        <w:instrText xml:space="preserve"> SEQ Table \* ARABIC </w:instrText>
      </w:r>
      <w:r w:rsidRPr="006E3BDB">
        <w:rPr>
          <w:rFonts w:ascii="Arial" w:hAnsi="Arial"/>
        </w:rPr>
        <w:fldChar w:fldCharType="separate"/>
      </w:r>
      <w:r w:rsidR="00241BE1">
        <w:rPr>
          <w:rFonts w:ascii="Arial" w:hAnsi="Arial"/>
          <w:noProof/>
        </w:rPr>
        <w:t>4</w:t>
      </w:r>
      <w:r w:rsidRPr="006E3BDB">
        <w:rPr>
          <w:rFonts w:ascii="Arial" w:hAnsi="Arial"/>
        </w:rPr>
        <w:fldChar w:fldCharType="end"/>
      </w:r>
      <w:r w:rsidRPr="006E3BDB">
        <w:rPr>
          <w:rFonts w:ascii="Arial" w:hAnsi="Arial"/>
        </w:rPr>
        <w:t xml:space="preserve"> </w:t>
      </w:r>
      <w:r>
        <w:rPr>
          <w:rFonts w:ascii="Arial" w:hAnsi="Arial"/>
        </w:rPr>
        <w:t>NB IoT compliance summary</w:t>
      </w:r>
      <w:r w:rsidRPr="006E3BDB">
        <w:rPr>
          <w:rFonts w:ascii="Arial" w:hAnsi="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3203"/>
        <w:gridCol w:w="3206"/>
      </w:tblGrid>
      <w:tr w:rsidR="00675C94" w14:paraId="7DB0E9A8" w14:textId="77777777" w:rsidTr="00A24DD0">
        <w:tc>
          <w:tcPr>
            <w:tcW w:w="3285" w:type="dxa"/>
            <w:shd w:val="clear" w:color="auto" w:fill="auto"/>
          </w:tcPr>
          <w:p w14:paraId="606199C0" w14:textId="77777777" w:rsidR="00675C94" w:rsidRPr="008B2C4F" w:rsidRDefault="00675C94" w:rsidP="008735E1">
            <w:pPr>
              <w:rPr>
                <w:rFonts w:eastAsia="MS Mincho"/>
              </w:rPr>
            </w:pPr>
            <w:r w:rsidRPr="008B2C4F">
              <w:rPr>
                <w:rFonts w:eastAsia="MS Mincho"/>
              </w:rPr>
              <w:t>Requirement</w:t>
            </w:r>
          </w:p>
        </w:tc>
        <w:tc>
          <w:tcPr>
            <w:tcW w:w="3285" w:type="dxa"/>
            <w:shd w:val="clear" w:color="auto" w:fill="auto"/>
          </w:tcPr>
          <w:p w14:paraId="1B5442D4" w14:textId="77777777" w:rsidR="00675C94" w:rsidRPr="008B2C4F" w:rsidRDefault="00675C94" w:rsidP="008735E1">
            <w:pPr>
              <w:rPr>
                <w:rFonts w:eastAsia="MS Mincho"/>
              </w:rPr>
            </w:pPr>
            <w:r w:rsidRPr="008B2C4F">
              <w:rPr>
                <w:rFonts w:eastAsia="MS Mincho"/>
              </w:rPr>
              <w:t xml:space="preserve">Target </w:t>
            </w:r>
            <w:r w:rsidRPr="008B2C4F">
              <w:rPr>
                <w:rFonts w:eastAsia="MS Mincho"/>
              </w:rPr>
              <w:fldChar w:fldCharType="begin"/>
            </w:r>
            <w:r w:rsidRPr="008B2C4F">
              <w:rPr>
                <w:rFonts w:eastAsia="MS Mincho"/>
              </w:rPr>
              <w:instrText xml:space="preserve"> REF _Ref425332273 \r \h </w:instrText>
            </w:r>
            <w:r w:rsidRPr="008B2C4F">
              <w:rPr>
                <w:rFonts w:eastAsia="MS Mincho"/>
              </w:rPr>
            </w:r>
            <w:r w:rsidRPr="008B2C4F">
              <w:rPr>
                <w:rFonts w:eastAsia="MS Mincho"/>
              </w:rPr>
              <w:fldChar w:fldCharType="separate"/>
            </w:r>
            <w:r w:rsidR="00241BE1">
              <w:rPr>
                <w:rFonts w:eastAsia="MS Mincho"/>
              </w:rPr>
              <w:t>[2]</w:t>
            </w:r>
            <w:r w:rsidRPr="008B2C4F">
              <w:rPr>
                <w:rFonts w:eastAsia="MS Mincho"/>
              </w:rPr>
              <w:fldChar w:fldCharType="end"/>
            </w:r>
          </w:p>
        </w:tc>
        <w:tc>
          <w:tcPr>
            <w:tcW w:w="3285" w:type="dxa"/>
            <w:tcBorders>
              <w:bottom w:val="single" w:sz="4" w:space="0" w:color="auto"/>
            </w:tcBorders>
            <w:shd w:val="clear" w:color="auto" w:fill="auto"/>
          </w:tcPr>
          <w:p w14:paraId="0A947DF5" w14:textId="77777777" w:rsidR="00675C94" w:rsidRPr="008B2C4F" w:rsidRDefault="00675C94" w:rsidP="008735E1">
            <w:pPr>
              <w:rPr>
                <w:rFonts w:eastAsia="MS Mincho"/>
              </w:rPr>
            </w:pPr>
            <w:r w:rsidRPr="008B2C4F">
              <w:rPr>
                <w:rFonts w:eastAsia="MS Mincho"/>
              </w:rPr>
              <w:t>Solution</w:t>
            </w:r>
          </w:p>
        </w:tc>
      </w:tr>
      <w:tr w:rsidR="00675C94" w14:paraId="1E2D4C1F" w14:textId="77777777" w:rsidTr="00A24DD0">
        <w:tc>
          <w:tcPr>
            <w:tcW w:w="3285" w:type="dxa"/>
            <w:shd w:val="clear" w:color="auto" w:fill="auto"/>
          </w:tcPr>
          <w:p w14:paraId="0700C114" w14:textId="77777777" w:rsidR="00675C94" w:rsidRPr="008B2C4F" w:rsidRDefault="00675C94" w:rsidP="008735E1">
            <w:pPr>
              <w:rPr>
                <w:rFonts w:eastAsia="MS Mincho"/>
              </w:rPr>
            </w:pPr>
            <w:r w:rsidRPr="008B2C4F">
              <w:rPr>
                <w:rFonts w:eastAsia="MS Mincho" w:cs="Arial"/>
                <w:color w:val="000000"/>
                <w:szCs w:val="28"/>
              </w:rPr>
              <w:t>Improved indoor coverage</w:t>
            </w:r>
          </w:p>
        </w:tc>
        <w:tc>
          <w:tcPr>
            <w:tcW w:w="3285" w:type="dxa"/>
            <w:shd w:val="clear" w:color="auto" w:fill="auto"/>
          </w:tcPr>
          <w:p w14:paraId="42FBD73C" w14:textId="77777777" w:rsidR="00675C94" w:rsidRPr="008B2C4F" w:rsidRDefault="00675C94" w:rsidP="008735E1">
            <w:pPr>
              <w:rPr>
                <w:rFonts w:eastAsia="MS Mincho"/>
              </w:rPr>
            </w:pPr>
            <w:r w:rsidRPr="008B2C4F">
              <w:rPr>
                <w:rFonts w:eastAsia="MS Mincho" w:cs="Arial"/>
                <w:color w:val="000000"/>
                <w:szCs w:val="28"/>
                <w:lang w:eastAsia="en-US"/>
              </w:rPr>
              <w:t>160 bps for 164 dB MCL</w:t>
            </w:r>
          </w:p>
        </w:tc>
        <w:tc>
          <w:tcPr>
            <w:tcW w:w="3285" w:type="dxa"/>
            <w:shd w:val="clear" w:color="auto" w:fill="00B050"/>
          </w:tcPr>
          <w:p w14:paraId="527CF0C3" w14:textId="77777777" w:rsidR="00675C94" w:rsidRPr="008B2C4F" w:rsidRDefault="00675C94" w:rsidP="008735E1">
            <w:pPr>
              <w:rPr>
                <w:rFonts w:eastAsia="MS Mincho"/>
              </w:rPr>
            </w:pPr>
            <w:r w:rsidRPr="008B2C4F">
              <w:rPr>
                <w:rFonts w:eastAsia="MS Mincho"/>
              </w:rPr>
              <w:t>&gt; 310 bps @ 164 dB MCL</w:t>
            </w:r>
          </w:p>
        </w:tc>
      </w:tr>
      <w:tr w:rsidR="00675C94" w14:paraId="3905C13F" w14:textId="77777777" w:rsidTr="00A24DD0">
        <w:tc>
          <w:tcPr>
            <w:tcW w:w="3285" w:type="dxa"/>
            <w:shd w:val="clear" w:color="auto" w:fill="auto"/>
          </w:tcPr>
          <w:p w14:paraId="4ACE0E96" w14:textId="77777777" w:rsidR="00675C94" w:rsidRPr="008B2C4F" w:rsidRDefault="00675C94" w:rsidP="008735E1">
            <w:pPr>
              <w:rPr>
                <w:rFonts w:eastAsia="MS Mincho"/>
              </w:rPr>
            </w:pPr>
            <w:r w:rsidRPr="008B2C4F">
              <w:rPr>
                <w:rFonts w:eastAsia="MS Mincho"/>
              </w:rPr>
              <w:t>Massive number of devices</w:t>
            </w:r>
          </w:p>
        </w:tc>
        <w:tc>
          <w:tcPr>
            <w:tcW w:w="3285" w:type="dxa"/>
            <w:shd w:val="clear" w:color="auto" w:fill="auto"/>
          </w:tcPr>
          <w:p w14:paraId="5E127BB7" w14:textId="77777777" w:rsidR="00675C94" w:rsidRPr="008B2C4F" w:rsidRDefault="00675C94" w:rsidP="008735E1">
            <w:pPr>
              <w:rPr>
                <w:rFonts w:eastAsia="MS Mincho"/>
              </w:rPr>
            </w:pPr>
            <w:r w:rsidRPr="008B2C4F">
              <w:rPr>
                <w:rFonts w:eastAsia="MS Mincho"/>
              </w:rPr>
              <w:t>52547 devices per cell</w:t>
            </w:r>
          </w:p>
        </w:tc>
        <w:tc>
          <w:tcPr>
            <w:tcW w:w="3285" w:type="dxa"/>
            <w:shd w:val="clear" w:color="auto" w:fill="00B050"/>
          </w:tcPr>
          <w:p w14:paraId="0620F28D" w14:textId="3ECFB1D2" w:rsidR="00675C94" w:rsidRPr="008B2C4F" w:rsidRDefault="00191CED" w:rsidP="008735E1">
            <w:pPr>
              <w:rPr>
                <w:rFonts w:eastAsia="MS Mincho"/>
              </w:rPr>
            </w:pPr>
            <w:r>
              <w:rPr>
                <w:rFonts w:eastAsia="MS Mincho"/>
              </w:rPr>
              <w:t>&gt; 71</w:t>
            </w:r>
            <w:r w:rsidR="00675C94" w:rsidRPr="008B2C4F">
              <w:rPr>
                <w:rFonts w:eastAsia="MS Mincho"/>
              </w:rPr>
              <w:t>k user per cell</w:t>
            </w:r>
          </w:p>
        </w:tc>
      </w:tr>
      <w:tr w:rsidR="00675C94" w14:paraId="56FB9E61" w14:textId="77777777" w:rsidTr="00A24DD0">
        <w:tc>
          <w:tcPr>
            <w:tcW w:w="3285" w:type="dxa"/>
            <w:shd w:val="clear" w:color="auto" w:fill="auto"/>
          </w:tcPr>
          <w:p w14:paraId="2CD3664E" w14:textId="77777777" w:rsidR="00675C94" w:rsidRPr="008B2C4F" w:rsidRDefault="00675C94" w:rsidP="008735E1">
            <w:pPr>
              <w:rPr>
                <w:rFonts w:eastAsia="MS Mincho"/>
              </w:rPr>
            </w:pPr>
            <w:r w:rsidRPr="008B2C4F">
              <w:rPr>
                <w:rFonts w:eastAsia="MS Mincho"/>
              </w:rPr>
              <w:t>Reduced complexity</w:t>
            </w:r>
          </w:p>
        </w:tc>
        <w:tc>
          <w:tcPr>
            <w:tcW w:w="3285" w:type="dxa"/>
            <w:shd w:val="clear" w:color="auto" w:fill="auto"/>
          </w:tcPr>
          <w:p w14:paraId="45087EB3" w14:textId="77777777" w:rsidR="00675C94" w:rsidRPr="008B2C4F" w:rsidRDefault="00675C94" w:rsidP="008735E1">
            <w:pPr>
              <w:rPr>
                <w:rFonts w:eastAsia="MS Mincho"/>
              </w:rPr>
            </w:pPr>
            <w:r w:rsidRPr="008B2C4F">
              <w:rPr>
                <w:rFonts w:eastAsia="MS Mincho"/>
              </w:rPr>
              <w:t>Very low cost</w:t>
            </w:r>
          </w:p>
        </w:tc>
        <w:tc>
          <w:tcPr>
            <w:tcW w:w="3285" w:type="dxa"/>
            <w:shd w:val="clear" w:color="auto" w:fill="00B050"/>
          </w:tcPr>
          <w:p w14:paraId="71F173FD" w14:textId="77777777" w:rsidR="00675C94" w:rsidRPr="008B2C4F" w:rsidRDefault="00675C94" w:rsidP="008735E1">
            <w:pPr>
              <w:rPr>
                <w:rFonts w:eastAsia="MS Mincho"/>
              </w:rPr>
            </w:pPr>
            <w:r w:rsidRPr="008B2C4F">
              <w:rPr>
                <w:rFonts w:eastAsia="MS Mincho"/>
              </w:rPr>
              <w:t>PAPR &lt; 0.5dB @ 99.9%</w:t>
            </w:r>
          </w:p>
        </w:tc>
      </w:tr>
      <w:tr w:rsidR="00675C94" w14:paraId="5C6C9067" w14:textId="77777777" w:rsidTr="00A24DD0">
        <w:tc>
          <w:tcPr>
            <w:tcW w:w="3285" w:type="dxa"/>
            <w:shd w:val="clear" w:color="auto" w:fill="auto"/>
          </w:tcPr>
          <w:p w14:paraId="0DF7D79E" w14:textId="77777777" w:rsidR="00675C94" w:rsidRPr="008B2C4F" w:rsidRDefault="00675C94" w:rsidP="008735E1">
            <w:pPr>
              <w:rPr>
                <w:rFonts w:eastAsia="MS Mincho"/>
              </w:rPr>
            </w:pPr>
            <w:r w:rsidRPr="008B2C4F">
              <w:rPr>
                <w:rFonts w:eastAsia="MS Mincho"/>
              </w:rPr>
              <w:t>Improved power efficiency</w:t>
            </w:r>
          </w:p>
        </w:tc>
        <w:tc>
          <w:tcPr>
            <w:tcW w:w="3285" w:type="dxa"/>
            <w:shd w:val="clear" w:color="auto" w:fill="auto"/>
          </w:tcPr>
          <w:p w14:paraId="78177CD8" w14:textId="77777777" w:rsidR="00675C94" w:rsidRPr="008B2C4F" w:rsidRDefault="00675C94" w:rsidP="008735E1">
            <w:pPr>
              <w:rPr>
                <w:rFonts w:eastAsia="MS Mincho"/>
              </w:rPr>
            </w:pPr>
            <w:r w:rsidRPr="008B2C4F">
              <w:rPr>
                <w:rFonts w:eastAsia="MS Mincho"/>
              </w:rPr>
              <w:t>10 year battery @ 164 dB MCL</w:t>
            </w:r>
          </w:p>
        </w:tc>
        <w:tc>
          <w:tcPr>
            <w:tcW w:w="3285" w:type="dxa"/>
            <w:shd w:val="clear" w:color="auto" w:fill="00B050"/>
          </w:tcPr>
          <w:p w14:paraId="381D705E" w14:textId="1819512E" w:rsidR="00675C94" w:rsidRPr="008B2C4F" w:rsidRDefault="004D379F" w:rsidP="008735E1">
            <w:pPr>
              <w:rPr>
                <w:rFonts w:eastAsia="MS Mincho"/>
              </w:rPr>
            </w:pPr>
            <w:r>
              <w:rPr>
                <w:rFonts w:eastAsia="MS Mincho"/>
              </w:rPr>
              <w:t>&gt;10.5</w:t>
            </w:r>
            <w:r w:rsidR="00675C94" w:rsidRPr="008B2C4F">
              <w:rPr>
                <w:rFonts w:eastAsia="MS Mincho"/>
              </w:rPr>
              <w:t xml:space="preserve"> years</w:t>
            </w:r>
          </w:p>
        </w:tc>
      </w:tr>
      <w:tr w:rsidR="00675C94" w14:paraId="1CD2BA80" w14:textId="77777777" w:rsidTr="00A24DD0">
        <w:tc>
          <w:tcPr>
            <w:tcW w:w="3285" w:type="dxa"/>
            <w:shd w:val="clear" w:color="auto" w:fill="auto"/>
          </w:tcPr>
          <w:p w14:paraId="4BEC997B" w14:textId="77777777" w:rsidR="00675C94" w:rsidRPr="008B2C4F" w:rsidRDefault="00675C94" w:rsidP="008735E1">
            <w:pPr>
              <w:rPr>
                <w:rFonts w:eastAsia="MS Mincho"/>
              </w:rPr>
            </w:pPr>
            <w:r w:rsidRPr="008B2C4F">
              <w:rPr>
                <w:rFonts w:eastAsia="MS Mincho"/>
              </w:rPr>
              <w:t>Latency</w:t>
            </w:r>
          </w:p>
        </w:tc>
        <w:tc>
          <w:tcPr>
            <w:tcW w:w="3285" w:type="dxa"/>
            <w:shd w:val="clear" w:color="auto" w:fill="auto"/>
          </w:tcPr>
          <w:p w14:paraId="4EC8EA43" w14:textId="77777777" w:rsidR="00675C94" w:rsidRPr="008B2C4F" w:rsidRDefault="00675C94" w:rsidP="008735E1">
            <w:pPr>
              <w:rPr>
                <w:rFonts w:eastAsia="MS Mincho"/>
              </w:rPr>
            </w:pPr>
            <w:r w:rsidRPr="008B2C4F">
              <w:rPr>
                <w:rFonts w:eastAsia="MS Mincho"/>
              </w:rPr>
              <w:t>10 s</w:t>
            </w:r>
          </w:p>
        </w:tc>
        <w:tc>
          <w:tcPr>
            <w:tcW w:w="3285" w:type="dxa"/>
            <w:shd w:val="clear" w:color="auto" w:fill="00B050"/>
          </w:tcPr>
          <w:p w14:paraId="0CCFD95F" w14:textId="77777777" w:rsidR="00675C94" w:rsidRPr="008B2C4F" w:rsidRDefault="00675C94" w:rsidP="008735E1">
            <w:pPr>
              <w:rPr>
                <w:rFonts w:eastAsia="MS Mincho"/>
              </w:rPr>
            </w:pPr>
            <w:r w:rsidRPr="008B2C4F">
              <w:rPr>
                <w:rFonts w:eastAsia="MS Mincho"/>
              </w:rPr>
              <w:t>&lt; 10s</w:t>
            </w:r>
          </w:p>
        </w:tc>
      </w:tr>
    </w:tbl>
    <w:p w14:paraId="5B4981B0" w14:textId="77777777" w:rsidR="00675C94" w:rsidRDefault="00675C94" w:rsidP="008735E1"/>
    <w:p w14:paraId="2E0117D4" w14:textId="77777777" w:rsidR="00E57B6B" w:rsidRDefault="00E57B6B" w:rsidP="008735E1"/>
    <w:p w14:paraId="7AFBE027" w14:textId="7F67C2CE" w:rsidR="008751D1" w:rsidRDefault="00C74C26" w:rsidP="008735E1">
      <w:r>
        <w:t xml:space="preserve">Thus, for the sake of </w:t>
      </w:r>
      <w:r w:rsidR="00E0300B">
        <w:t xml:space="preserve">compliance, </w:t>
      </w:r>
      <w:r>
        <w:t>implementation and standardization simplicity, the paper suggest</w:t>
      </w:r>
      <w:r w:rsidR="008751D1">
        <w:t>s</w:t>
      </w:r>
      <w:r>
        <w:t xml:space="preserve"> the following</w:t>
      </w:r>
      <w:r w:rsidR="008751D1">
        <w:t>:</w:t>
      </w:r>
    </w:p>
    <w:p w14:paraId="2BD32497" w14:textId="77777777" w:rsidR="008751D1" w:rsidRDefault="008751D1" w:rsidP="008735E1"/>
    <w:p w14:paraId="5E2F8866" w14:textId="77777777" w:rsidR="00C74C26" w:rsidRPr="00A24DD0" w:rsidRDefault="008751D1" w:rsidP="008735E1">
      <w:pPr>
        <w:rPr>
          <w:b/>
        </w:rPr>
      </w:pPr>
      <w:r w:rsidRPr="008751D1">
        <w:rPr>
          <w:b/>
        </w:rPr>
        <w:t>Proposal</w:t>
      </w:r>
      <w:r>
        <w:rPr>
          <w:b/>
        </w:rPr>
        <w:t>:</w:t>
      </w:r>
      <w:r w:rsidR="00C74C26" w:rsidRPr="00A24DD0">
        <w:rPr>
          <w:b/>
        </w:rPr>
        <w:t xml:space="preserve"> recommendation for RAN#70:</w:t>
      </w:r>
    </w:p>
    <w:p w14:paraId="60909F33" w14:textId="77777777" w:rsidR="00C74C26" w:rsidRPr="00A24DD0" w:rsidRDefault="00C74C26" w:rsidP="00C74C26">
      <w:pPr>
        <w:numPr>
          <w:ilvl w:val="0"/>
          <w:numId w:val="45"/>
        </w:numPr>
        <w:spacing w:after="180"/>
        <w:ind w:right="-99"/>
        <w:jc w:val="left"/>
        <w:rPr>
          <w:b/>
        </w:rPr>
      </w:pPr>
      <w:r w:rsidRPr="00A24DD0">
        <w:rPr>
          <w:b/>
        </w:rPr>
        <w:t xml:space="preserve">OFDMA on the downlink: </w:t>
      </w:r>
    </w:p>
    <w:p w14:paraId="273841D1" w14:textId="77777777" w:rsidR="00C74C26" w:rsidRPr="00A24DD0" w:rsidRDefault="00C74C26" w:rsidP="00C74C26">
      <w:pPr>
        <w:numPr>
          <w:ilvl w:val="1"/>
          <w:numId w:val="45"/>
        </w:numPr>
        <w:spacing w:after="180"/>
        <w:ind w:right="-99"/>
        <w:jc w:val="left"/>
        <w:rPr>
          <w:b/>
        </w:rPr>
      </w:pPr>
      <w:r w:rsidRPr="00A24DD0">
        <w:rPr>
          <w:b/>
        </w:rPr>
        <w:t xml:space="preserve">15 kHz sub-carrier spacing (with normal or extended CP) and </w:t>
      </w:r>
    </w:p>
    <w:p w14:paraId="3441C40C" w14:textId="77777777" w:rsidR="00C74C26" w:rsidRPr="00A24DD0" w:rsidRDefault="00C74C26" w:rsidP="00C74C26">
      <w:pPr>
        <w:numPr>
          <w:ilvl w:val="0"/>
          <w:numId w:val="45"/>
        </w:numPr>
        <w:spacing w:after="180"/>
        <w:ind w:right="-99"/>
        <w:jc w:val="left"/>
        <w:rPr>
          <w:b/>
        </w:rPr>
      </w:pPr>
      <w:r w:rsidRPr="00A24DD0">
        <w:rPr>
          <w:b/>
        </w:rPr>
        <w:t xml:space="preserve">For the uplink: </w:t>
      </w:r>
    </w:p>
    <w:p w14:paraId="5A0AC105" w14:textId="77777777" w:rsidR="00C74C26" w:rsidRPr="00A24DD0" w:rsidRDefault="00C74C26" w:rsidP="00C74C26">
      <w:pPr>
        <w:numPr>
          <w:ilvl w:val="1"/>
          <w:numId w:val="45"/>
        </w:numPr>
        <w:spacing w:after="180"/>
        <w:ind w:right="-99"/>
        <w:jc w:val="left"/>
        <w:rPr>
          <w:b/>
        </w:rPr>
      </w:pPr>
      <w:r w:rsidRPr="00A24DD0">
        <w:rPr>
          <w:b/>
        </w:rPr>
        <w:t>SC-FDMA (</w:t>
      </w:r>
      <w:r w:rsidRPr="00A24DD0">
        <w:rPr>
          <w:rFonts w:hint="eastAsia"/>
          <w:b/>
        </w:rPr>
        <w:t>including single</w:t>
      </w:r>
      <w:r w:rsidRPr="00A24DD0">
        <w:rPr>
          <w:b/>
        </w:rPr>
        <w:t>-</w:t>
      </w:r>
      <w:r w:rsidRPr="00A24DD0">
        <w:rPr>
          <w:rFonts w:hint="eastAsia"/>
          <w:b/>
        </w:rPr>
        <w:t>tone transmission as a special case of SC-FDMA</w:t>
      </w:r>
      <w:r w:rsidRPr="00A24DD0">
        <w:rPr>
          <w:b/>
        </w:rPr>
        <w:t xml:space="preserve">) </w:t>
      </w:r>
    </w:p>
    <w:p w14:paraId="699BD3A7" w14:textId="00B87030" w:rsidR="008735E1" w:rsidRPr="00A24DD0" w:rsidRDefault="00F826AE" w:rsidP="008735E1">
      <w:pPr>
        <w:rPr>
          <w:b/>
        </w:rPr>
      </w:pPr>
      <w:r w:rsidRPr="00A24DD0">
        <w:rPr>
          <w:b/>
        </w:rPr>
        <w:t xml:space="preserve">The above numerology meets or exceeds all the targets for NB IoT as described in </w:t>
      </w:r>
      <w:r w:rsidRPr="008751D1">
        <w:rPr>
          <w:rFonts w:eastAsia="Malgun Gothic"/>
          <w:b/>
        </w:rPr>
        <w:fldChar w:fldCharType="begin"/>
      </w:r>
      <w:r w:rsidRPr="008751D1">
        <w:rPr>
          <w:rFonts w:eastAsia="Malgun Gothic"/>
          <w:b/>
        </w:rPr>
        <w:instrText xml:space="preserve"> REF _Ref425332273 \r \h </w:instrText>
      </w:r>
      <w:r w:rsidR="008751D1">
        <w:rPr>
          <w:rFonts w:eastAsia="Malgun Gothic"/>
          <w:b/>
        </w:rPr>
        <w:instrText xml:space="preserve"> \* MERGEFORMAT </w:instrText>
      </w:r>
      <w:r w:rsidRPr="008751D1">
        <w:rPr>
          <w:rFonts w:eastAsia="Malgun Gothic"/>
          <w:b/>
        </w:rPr>
      </w:r>
      <w:r w:rsidRPr="008751D1">
        <w:rPr>
          <w:rFonts w:eastAsia="Malgun Gothic"/>
          <w:b/>
        </w:rPr>
        <w:fldChar w:fldCharType="separate"/>
      </w:r>
      <w:r w:rsidR="00241BE1" w:rsidRPr="008751D1">
        <w:rPr>
          <w:rFonts w:eastAsia="Malgun Gothic"/>
          <w:b/>
        </w:rPr>
        <w:t>[2]</w:t>
      </w:r>
      <w:r w:rsidRPr="008751D1">
        <w:rPr>
          <w:rFonts w:eastAsia="Malgun Gothic"/>
          <w:b/>
        </w:rPr>
        <w:fldChar w:fldCharType="end"/>
      </w:r>
      <w:r w:rsidRPr="00A24DD0">
        <w:rPr>
          <w:b/>
        </w:rPr>
        <w:t>.</w:t>
      </w:r>
    </w:p>
    <w:p w14:paraId="1A138AA8" w14:textId="77777777" w:rsidR="00F826AE" w:rsidRPr="00D60E4F" w:rsidRDefault="00F826AE" w:rsidP="008735E1">
      <w:pPr>
        <w:rPr>
          <w:rFonts w:eastAsia="Malgun Gothic"/>
        </w:rPr>
      </w:pPr>
    </w:p>
    <w:p w14:paraId="7ABB1277" w14:textId="77777777" w:rsidR="001B4C46" w:rsidRPr="00763114" w:rsidRDefault="001B4C46" w:rsidP="001B4C46">
      <w:pPr>
        <w:pStyle w:val="Heading1"/>
      </w:pPr>
      <w:r w:rsidRPr="00763114">
        <w:t>References</w:t>
      </w:r>
    </w:p>
    <w:p w14:paraId="75C04B59" w14:textId="77777777" w:rsidR="001B4C46" w:rsidRPr="003D6FCC" w:rsidRDefault="00F75D60" w:rsidP="001B4C46">
      <w:pPr>
        <w:pStyle w:val="Reference"/>
        <w:rPr>
          <w:rFonts w:ascii="Times New Roman" w:hAnsi="Times New Roman"/>
        </w:rPr>
      </w:pPr>
      <w:bookmarkStart w:id="9" w:name="_Ref433636538"/>
      <w:r w:rsidRPr="003D6FCC">
        <w:rPr>
          <w:rFonts w:ascii="Times New Roman" w:hAnsi="Times New Roman"/>
        </w:rPr>
        <w:t>RP-151621, “New Work Item: NarrowBand IOT (NB-IOT)”, Qualcomm</w:t>
      </w:r>
      <w:bookmarkEnd w:id="9"/>
    </w:p>
    <w:p w14:paraId="6D1799BA" w14:textId="77777777" w:rsidR="008003AC" w:rsidRPr="003D6FCC" w:rsidRDefault="008003AC" w:rsidP="008003AC">
      <w:pPr>
        <w:pStyle w:val="Reference"/>
        <w:rPr>
          <w:rFonts w:ascii="Times New Roman" w:hAnsi="Times New Roman"/>
        </w:rPr>
      </w:pPr>
      <w:bookmarkStart w:id="10" w:name="_Ref425332273"/>
      <w:r w:rsidRPr="003D6FCC">
        <w:rPr>
          <w:rFonts w:ascii="Times New Roman" w:hAnsi="Times New Roman"/>
        </w:rPr>
        <w:t>TR 45.820 v13.0.0, “Cellular System Support for Ultra Low Complexity and Low Throughput Internet of Things”</w:t>
      </w:r>
      <w:bookmarkEnd w:id="10"/>
    </w:p>
    <w:p w14:paraId="3D717346" w14:textId="77777777" w:rsidR="006B214D" w:rsidRPr="003D6FCC" w:rsidRDefault="006B214D" w:rsidP="006B214D">
      <w:pPr>
        <w:pStyle w:val="Reference"/>
        <w:rPr>
          <w:rFonts w:ascii="Times New Roman" w:hAnsi="Times New Roman"/>
        </w:rPr>
      </w:pPr>
      <w:bookmarkStart w:id="11" w:name="_Ref431245969"/>
      <w:bookmarkStart w:id="12" w:name="_Ref429466372"/>
      <w:r w:rsidRPr="003D6FCC">
        <w:rPr>
          <w:rFonts w:ascii="Times New Roman" w:hAnsi="Times New Roman"/>
        </w:rPr>
        <w:t>R1-156010, “NB-LTE – General L1 concept description”, Ericsson</w:t>
      </w:r>
      <w:bookmarkEnd w:id="11"/>
    </w:p>
    <w:p w14:paraId="44602443" w14:textId="14A8B8A8" w:rsidR="00395E4E" w:rsidRPr="008167E9" w:rsidRDefault="00265564" w:rsidP="00265564">
      <w:pPr>
        <w:pStyle w:val="Reference"/>
      </w:pPr>
      <w:bookmarkStart w:id="13" w:name="_Ref433793889"/>
      <w:r w:rsidRPr="00265564">
        <w:rPr>
          <w:rFonts w:ascii="Times New Roman" w:hAnsi="Times New Roman"/>
        </w:rPr>
        <w:t>R1-</w:t>
      </w:r>
      <w:r w:rsidR="00395E4E" w:rsidRPr="00286C68">
        <w:rPr>
          <w:rFonts w:ascii="Times New Roman" w:hAnsi="Times New Roman"/>
        </w:rPr>
        <w:t>15</w:t>
      </w:r>
      <w:r w:rsidR="002A7863">
        <w:rPr>
          <w:rFonts w:ascii="Times New Roman" w:hAnsi="Times New Roman"/>
        </w:rPr>
        <w:t>7252</w:t>
      </w:r>
      <w:r w:rsidR="00395E4E" w:rsidRPr="008167E9">
        <w:t>, “</w:t>
      </w:r>
      <w:r w:rsidR="00055E9A" w:rsidRPr="008167E9">
        <w:t>Coverage Evaluation for In-band Operation</w:t>
      </w:r>
      <w:r w:rsidR="00395E4E" w:rsidRPr="008167E9">
        <w:t xml:space="preserve">”, </w:t>
      </w:r>
      <w:r w:rsidR="00974148" w:rsidRPr="008167E9">
        <w:t xml:space="preserve">Nokia Networks </w:t>
      </w:r>
      <w:bookmarkEnd w:id="13"/>
    </w:p>
    <w:p w14:paraId="375C0465" w14:textId="77777777" w:rsidR="00395E4E" w:rsidRPr="003D6FCC" w:rsidRDefault="00395E4E" w:rsidP="00395E4E">
      <w:pPr>
        <w:pStyle w:val="Reference"/>
        <w:rPr>
          <w:rFonts w:ascii="Times New Roman" w:hAnsi="Times New Roman"/>
        </w:rPr>
      </w:pPr>
      <w:bookmarkStart w:id="14" w:name="_Ref433793894"/>
      <w:r w:rsidRPr="003D6FCC">
        <w:rPr>
          <w:rFonts w:ascii="Times New Roman" w:hAnsi="Times New Roman"/>
        </w:rPr>
        <w:t>R1-156018, “Coverage analysis in inband operation”, Ericsson</w:t>
      </w:r>
      <w:bookmarkEnd w:id="14"/>
    </w:p>
    <w:p w14:paraId="6021594D" w14:textId="27C0D07C" w:rsidR="00B27A95" w:rsidRPr="008167E9" w:rsidRDefault="00265564" w:rsidP="00265564">
      <w:pPr>
        <w:pStyle w:val="Reference"/>
      </w:pPr>
      <w:bookmarkStart w:id="15" w:name="_Ref433794147"/>
      <w:r w:rsidRPr="00265564">
        <w:rPr>
          <w:rFonts w:ascii="Times New Roman" w:hAnsi="Times New Roman"/>
        </w:rPr>
        <w:t>R1-</w:t>
      </w:r>
      <w:r w:rsidR="00B27A95" w:rsidRPr="003D6FCC">
        <w:rPr>
          <w:rFonts w:ascii="Times New Roman" w:hAnsi="Times New Roman"/>
        </w:rPr>
        <w:t>15</w:t>
      </w:r>
      <w:r w:rsidR="002A7863">
        <w:rPr>
          <w:rFonts w:ascii="Times New Roman" w:hAnsi="Times New Roman"/>
        </w:rPr>
        <w:t>7249</w:t>
      </w:r>
      <w:r w:rsidR="00B27A95" w:rsidRPr="008167E9">
        <w:t>, “</w:t>
      </w:r>
      <w:r w:rsidR="005B3B99" w:rsidRPr="008167E9">
        <w:t>Coverage Evaluation for Guard-band Operation</w:t>
      </w:r>
      <w:r w:rsidR="00B27A95" w:rsidRPr="008167E9">
        <w:t xml:space="preserve">”, </w:t>
      </w:r>
      <w:r w:rsidR="00974148" w:rsidRPr="008167E9">
        <w:t xml:space="preserve">Nokia Networks </w:t>
      </w:r>
      <w:bookmarkEnd w:id="15"/>
    </w:p>
    <w:p w14:paraId="7A6BCB2A" w14:textId="2B0AFB84" w:rsidR="006F4536" w:rsidRPr="008167E9" w:rsidRDefault="00265564" w:rsidP="00265564">
      <w:pPr>
        <w:pStyle w:val="Reference"/>
      </w:pPr>
      <w:r w:rsidRPr="00265564">
        <w:rPr>
          <w:rFonts w:ascii="Times New Roman" w:hAnsi="Times New Roman"/>
        </w:rPr>
        <w:t>R1-</w:t>
      </w:r>
      <w:r w:rsidR="006F4536">
        <w:rPr>
          <w:rFonts w:ascii="Times New Roman" w:hAnsi="Times New Roman"/>
        </w:rPr>
        <w:t>15</w:t>
      </w:r>
      <w:r w:rsidR="002A7863">
        <w:rPr>
          <w:rFonts w:ascii="Times New Roman" w:hAnsi="Times New Roman"/>
        </w:rPr>
        <w:t>7245</w:t>
      </w:r>
      <w:r w:rsidR="006F4536" w:rsidRPr="008167E9">
        <w:t>, “S</w:t>
      </w:r>
      <w:r w:rsidR="004D151D" w:rsidRPr="008167E9">
        <w:t>tand-alone deployment using GSM spectrum M</w:t>
      </w:r>
      <w:r w:rsidR="006F4536" w:rsidRPr="008167E9">
        <w:t>ask”, Nokia Networks</w:t>
      </w:r>
    </w:p>
    <w:p w14:paraId="145E158D" w14:textId="5F5FC1F4" w:rsidR="00850293" w:rsidRPr="008167E9" w:rsidRDefault="00877B3E" w:rsidP="00877B3E">
      <w:pPr>
        <w:pStyle w:val="Reference"/>
      </w:pPr>
      <w:r w:rsidRPr="00877B3E">
        <w:rPr>
          <w:rFonts w:ascii="Times New Roman" w:hAnsi="Times New Roman"/>
        </w:rPr>
        <w:t>R1-</w:t>
      </w:r>
      <w:r w:rsidR="00850293">
        <w:rPr>
          <w:rFonts w:ascii="Times New Roman" w:hAnsi="Times New Roman"/>
        </w:rPr>
        <w:t>15</w:t>
      </w:r>
      <w:r w:rsidR="002A7863">
        <w:rPr>
          <w:rFonts w:ascii="Times New Roman" w:hAnsi="Times New Roman"/>
        </w:rPr>
        <w:t>7246</w:t>
      </w:r>
      <w:r w:rsidR="00850293" w:rsidRPr="008167E9">
        <w:t>, “Coverage Evaluation for Stand-alone Operation”, Nokia Neworks</w:t>
      </w:r>
    </w:p>
    <w:p w14:paraId="786D8F78" w14:textId="77777777" w:rsidR="00B27A95" w:rsidRPr="00A24DD0" w:rsidRDefault="00A569B9" w:rsidP="00A569B9">
      <w:pPr>
        <w:pStyle w:val="Reference"/>
        <w:rPr>
          <w:rFonts w:ascii="Times New Roman" w:hAnsi="Times New Roman"/>
        </w:rPr>
      </w:pPr>
      <w:bookmarkStart w:id="16" w:name="_Ref433794148"/>
      <w:r w:rsidRPr="00A24DD0">
        <w:rPr>
          <w:rFonts w:ascii="Times New Roman" w:hAnsi="Times New Roman"/>
        </w:rPr>
        <w:t>R1-155797 “Discussion on guard band operation for NB-IoT”, LGE</w:t>
      </w:r>
      <w:bookmarkEnd w:id="16"/>
    </w:p>
    <w:p w14:paraId="1E25F937" w14:textId="77777777" w:rsidR="00376C74" w:rsidRPr="00A24DD0" w:rsidRDefault="00376C74" w:rsidP="00376C74">
      <w:pPr>
        <w:pStyle w:val="Reference"/>
        <w:rPr>
          <w:rFonts w:ascii="Times New Roman" w:hAnsi="Times New Roman"/>
        </w:rPr>
      </w:pPr>
      <w:bookmarkStart w:id="17" w:name="_Ref433794283"/>
      <w:r w:rsidRPr="00A24DD0">
        <w:rPr>
          <w:rFonts w:ascii="Times New Roman" w:hAnsi="Times New Roman"/>
        </w:rPr>
        <w:t>R1-156017, “NB-LTE – Impacts of Downlink TX filter”, Ericsson</w:t>
      </w:r>
      <w:bookmarkEnd w:id="17"/>
    </w:p>
    <w:p w14:paraId="31D667F5" w14:textId="77A0A705" w:rsidR="003D6FCC" w:rsidRPr="008167E9" w:rsidRDefault="00265564" w:rsidP="00265564">
      <w:pPr>
        <w:pStyle w:val="Reference"/>
      </w:pPr>
      <w:bookmarkStart w:id="18" w:name="_Ref433794284"/>
      <w:r>
        <w:rPr>
          <w:rFonts w:ascii="Times New Roman" w:hAnsi="Times New Roman"/>
        </w:rPr>
        <w:t xml:space="preserve"> </w:t>
      </w:r>
      <w:r w:rsidRPr="00265564">
        <w:rPr>
          <w:rFonts w:ascii="Times New Roman" w:hAnsi="Times New Roman"/>
        </w:rPr>
        <w:t>R1-</w:t>
      </w:r>
      <w:r w:rsidR="00F35519" w:rsidRPr="003D6FCC">
        <w:rPr>
          <w:rFonts w:ascii="Times New Roman" w:hAnsi="Times New Roman"/>
        </w:rPr>
        <w:t>15</w:t>
      </w:r>
      <w:r w:rsidR="002A7863">
        <w:rPr>
          <w:rFonts w:ascii="Times New Roman" w:hAnsi="Times New Roman"/>
        </w:rPr>
        <w:t>7244</w:t>
      </w:r>
      <w:r w:rsidR="00F35519" w:rsidRPr="008167E9">
        <w:t>, “</w:t>
      </w:r>
      <w:r w:rsidR="003D6FCC" w:rsidRPr="008167E9">
        <w:t>Performance Comparison of 3.75 kHz and 15 kHz Sub-carrier Spacing</w:t>
      </w:r>
      <w:r w:rsidR="00F35519" w:rsidRPr="008167E9">
        <w:t xml:space="preserve">”, </w:t>
      </w:r>
      <w:r w:rsidR="00974148" w:rsidRPr="008167E9">
        <w:t>Nokia Networks</w:t>
      </w:r>
      <w:bookmarkStart w:id="19" w:name="_Ref434313209"/>
      <w:bookmarkEnd w:id="18"/>
    </w:p>
    <w:p w14:paraId="095EE598" w14:textId="693474E8" w:rsidR="00AB41BE" w:rsidRPr="008167E9" w:rsidRDefault="00265564" w:rsidP="00265564">
      <w:pPr>
        <w:pStyle w:val="Reference"/>
      </w:pPr>
      <w:bookmarkStart w:id="20" w:name="_Ref434506181"/>
      <w:r>
        <w:rPr>
          <w:rFonts w:ascii="Times New Roman" w:hAnsi="Times New Roman"/>
        </w:rPr>
        <w:t xml:space="preserve"> </w:t>
      </w:r>
      <w:r w:rsidRPr="00265564">
        <w:rPr>
          <w:rFonts w:ascii="Times New Roman" w:hAnsi="Times New Roman"/>
        </w:rPr>
        <w:t>R1-</w:t>
      </w:r>
      <w:r w:rsidR="00AB41BE" w:rsidRPr="003D6FCC">
        <w:rPr>
          <w:rFonts w:ascii="Times New Roman" w:hAnsi="Times New Roman"/>
        </w:rPr>
        <w:t>15</w:t>
      </w:r>
      <w:r w:rsidR="002A7863">
        <w:rPr>
          <w:rFonts w:ascii="Times New Roman" w:hAnsi="Times New Roman"/>
        </w:rPr>
        <w:t>7243</w:t>
      </w:r>
      <w:r w:rsidR="00AB41BE" w:rsidRPr="008167E9">
        <w:t xml:space="preserve">, “Latency Evaluation for Stand-alone Operation”, </w:t>
      </w:r>
      <w:r w:rsidR="00974148" w:rsidRPr="008167E9">
        <w:t>Nokia Networks</w:t>
      </w:r>
      <w:bookmarkEnd w:id="19"/>
      <w:bookmarkEnd w:id="20"/>
    </w:p>
    <w:p w14:paraId="189AA58E" w14:textId="1C75DF7F" w:rsidR="00AB41BE" w:rsidRPr="008167E9" w:rsidRDefault="00265564" w:rsidP="00265564">
      <w:pPr>
        <w:pStyle w:val="Reference"/>
      </w:pPr>
      <w:bookmarkStart w:id="21" w:name="_Ref434313211"/>
      <w:r>
        <w:rPr>
          <w:rFonts w:ascii="Times New Roman" w:hAnsi="Times New Roman"/>
        </w:rPr>
        <w:lastRenderedPageBreak/>
        <w:t xml:space="preserve"> </w:t>
      </w:r>
      <w:r w:rsidRPr="00265564">
        <w:rPr>
          <w:rFonts w:ascii="Times New Roman" w:hAnsi="Times New Roman"/>
        </w:rPr>
        <w:t>R1-</w:t>
      </w:r>
      <w:r w:rsidR="00AB41BE" w:rsidRPr="003D6FCC">
        <w:rPr>
          <w:rFonts w:ascii="Times New Roman" w:hAnsi="Times New Roman"/>
        </w:rPr>
        <w:t>15</w:t>
      </w:r>
      <w:r w:rsidR="002A7863">
        <w:rPr>
          <w:rFonts w:ascii="Times New Roman" w:hAnsi="Times New Roman"/>
        </w:rPr>
        <w:t>7253</w:t>
      </w:r>
      <w:r w:rsidR="00AB41BE" w:rsidRPr="008167E9">
        <w:t xml:space="preserve">, “Latency Evaluation for in-band Operation”, </w:t>
      </w:r>
      <w:r w:rsidR="00974148" w:rsidRPr="008167E9">
        <w:t>Nokia Networks</w:t>
      </w:r>
      <w:bookmarkEnd w:id="21"/>
    </w:p>
    <w:p w14:paraId="7FCDE7F0" w14:textId="710BBE3C" w:rsidR="00AB41BE" w:rsidRPr="008167E9" w:rsidRDefault="00265564" w:rsidP="00265564">
      <w:pPr>
        <w:pStyle w:val="Reference"/>
      </w:pPr>
      <w:bookmarkStart w:id="22" w:name="_Ref434313213"/>
      <w:r>
        <w:rPr>
          <w:rFonts w:ascii="Times New Roman" w:hAnsi="Times New Roman"/>
        </w:rPr>
        <w:t xml:space="preserve"> </w:t>
      </w:r>
      <w:r w:rsidRPr="00265564">
        <w:rPr>
          <w:rFonts w:ascii="Times New Roman" w:hAnsi="Times New Roman"/>
        </w:rPr>
        <w:t>R1-</w:t>
      </w:r>
      <w:r w:rsidR="00AB41BE" w:rsidRPr="003D6FCC">
        <w:rPr>
          <w:rFonts w:ascii="Times New Roman" w:hAnsi="Times New Roman"/>
        </w:rPr>
        <w:t>15</w:t>
      </w:r>
      <w:r w:rsidR="002A7863">
        <w:rPr>
          <w:rFonts w:ascii="Times New Roman" w:hAnsi="Times New Roman"/>
        </w:rPr>
        <w:t>7250</w:t>
      </w:r>
      <w:r w:rsidR="00AB41BE" w:rsidRPr="008167E9">
        <w:t xml:space="preserve">, “Latency Evaluation for guard band Operation”, </w:t>
      </w:r>
      <w:r w:rsidR="00974148" w:rsidRPr="008167E9">
        <w:t>Nokia Networks</w:t>
      </w:r>
      <w:bookmarkEnd w:id="22"/>
    </w:p>
    <w:p w14:paraId="1947DA9A" w14:textId="6A8DFF5A" w:rsidR="00AB41BE" w:rsidRPr="008167E9" w:rsidRDefault="00265564" w:rsidP="00265564">
      <w:pPr>
        <w:pStyle w:val="Reference"/>
      </w:pPr>
      <w:bookmarkStart w:id="23" w:name="_Ref434313436"/>
      <w:r>
        <w:rPr>
          <w:rFonts w:ascii="Times New Roman" w:hAnsi="Times New Roman"/>
        </w:rPr>
        <w:t xml:space="preserve"> </w:t>
      </w:r>
      <w:r w:rsidRPr="00265564">
        <w:rPr>
          <w:rFonts w:ascii="Times New Roman" w:hAnsi="Times New Roman"/>
        </w:rPr>
        <w:t>R1-</w:t>
      </w:r>
      <w:r w:rsidR="00AB41BE" w:rsidRPr="003D6FCC">
        <w:rPr>
          <w:rFonts w:ascii="Times New Roman" w:hAnsi="Times New Roman"/>
        </w:rPr>
        <w:t>15</w:t>
      </w:r>
      <w:r w:rsidR="002A7863">
        <w:rPr>
          <w:rFonts w:ascii="Times New Roman" w:hAnsi="Times New Roman"/>
        </w:rPr>
        <w:t>7247</w:t>
      </w:r>
      <w:r w:rsidR="00AB41BE" w:rsidRPr="008167E9">
        <w:t xml:space="preserve">, “NB IoT – Battery lifetime evaluation in standalone operation”, </w:t>
      </w:r>
      <w:r w:rsidR="00974148" w:rsidRPr="008167E9">
        <w:t>Nokia Networks</w:t>
      </w:r>
      <w:bookmarkEnd w:id="23"/>
    </w:p>
    <w:p w14:paraId="7499F586" w14:textId="648A0DC3" w:rsidR="00AB41BE" w:rsidRPr="008167E9" w:rsidRDefault="00265564" w:rsidP="00265564">
      <w:pPr>
        <w:pStyle w:val="Reference"/>
      </w:pPr>
      <w:bookmarkStart w:id="24" w:name="_Ref434313437"/>
      <w:r>
        <w:rPr>
          <w:rFonts w:ascii="Times New Roman" w:hAnsi="Times New Roman"/>
        </w:rPr>
        <w:t xml:space="preserve"> </w:t>
      </w:r>
      <w:r w:rsidRPr="00265564">
        <w:rPr>
          <w:rFonts w:ascii="Times New Roman" w:hAnsi="Times New Roman"/>
        </w:rPr>
        <w:t>R1-</w:t>
      </w:r>
      <w:r w:rsidR="00AB41BE" w:rsidRPr="003D6FCC">
        <w:rPr>
          <w:rFonts w:ascii="Times New Roman" w:hAnsi="Times New Roman"/>
        </w:rPr>
        <w:t>15</w:t>
      </w:r>
      <w:r w:rsidR="002A7863">
        <w:rPr>
          <w:rFonts w:ascii="Times New Roman" w:hAnsi="Times New Roman"/>
        </w:rPr>
        <w:t>7254</w:t>
      </w:r>
      <w:r w:rsidR="00AB41BE" w:rsidRPr="008167E9">
        <w:t xml:space="preserve">, “NB IoT – Battery lifetime evaluation in in-band operation”, </w:t>
      </w:r>
      <w:r w:rsidR="00974148" w:rsidRPr="008167E9">
        <w:t>Nokia Networks</w:t>
      </w:r>
      <w:bookmarkEnd w:id="24"/>
    </w:p>
    <w:p w14:paraId="516CFCA1" w14:textId="1F3EEB87" w:rsidR="00AB41BE" w:rsidRPr="008167E9" w:rsidRDefault="00265564" w:rsidP="00265564">
      <w:pPr>
        <w:pStyle w:val="Reference"/>
      </w:pPr>
      <w:bookmarkStart w:id="25" w:name="_Ref434313439"/>
      <w:r>
        <w:rPr>
          <w:rFonts w:ascii="Times New Roman" w:hAnsi="Times New Roman"/>
        </w:rPr>
        <w:t xml:space="preserve"> </w:t>
      </w:r>
      <w:r w:rsidRPr="00265564">
        <w:rPr>
          <w:rFonts w:ascii="Times New Roman" w:hAnsi="Times New Roman"/>
        </w:rPr>
        <w:t>R1-</w:t>
      </w:r>
      <w:r w:rsidR="00AB41BE" w:rsidRPr="003D6FCC">
        <w:rPr>
          <w:rFonts w:ascii="Times New Roman" w:hAnsi="Times New Roman"/>
        </w:rPr>
        <w:t>15</w:t>
      </w:r>
      <w:r w:rsidR="002A7863">
        <w:rPr>
          <w:rFonts w:ascii="Times New Roman" w:hAnsi="Times New Roman"/>
        </w:rPr>
        <w:t>7251</w:t>
      </w:r>
      <w:r w:rsidR="00AB41BE" w:rsidRPr="008167E9">
        <w:t xml:space="preserve">, “NB IoT – Battery lifetime evaluation in guard band operation”, </w:t>
      </w:r>
      <w:r w:rsidR="00974148" w:rsidRPr="008167E9">
        <w:t>Nokia Networks</w:t>
      </w:r>
      <w:bookmarkEnd w:id="25"/>
    </w:p>
    <w:p w14:paraId="5D249C81" w14:textId="4BDE4CEB" w:rsidR="00BE03A7" w:rsidRPr="008167E9" w:rsidRDefault="00265564" w:rsidP="00265564">
      <w:pPr>
        <w:pStyle w:val="Reference"/>
      </w:pPr>
      <w:bookmarkStart w:id="26" w:name="_Ref434480208"/>
      <w:r>
        <w:rPr>
          <w:rFonts w:ascii="Times New Roman" w:hAnsi="Times New Roman"/>
        </w:rPr>
        <w:t xml:space="preserve"> </w:t>
      </w:r>
      <w:r w:rsidRPr="00265564">
        <w:rPr>
          <w:rFonts w:ascii="Times New Roman" w:hAnsi="Times New Roman"/>
        </w:rPr>
        <w:t>R1-</w:t>
      </w:r>
      <w:r w:rsidR="00BE03A7" w:rsidRPr="003D6FCC">
        <w:rPr>
          <w:rFonts w:ascii="Times New Roman" w:hAnsi="Times New Roman"/>
        </w:rPr>
        <w:t>15</w:t>
      </w:r>
      <w:r w:rsidR="002A7863">
        <w:rPr>
          <w:rFonts w:ascii="Times New Roman" w:hAnsi="Times New Roman"/>
        </w:rPr>
        <w:t>7248</w:t>
      </w:r>
      <w:r w:rsidR="00BE03A7" w:rsidRPr="008167E9">
        <w:t xml:space="preserve">, “NB IoT – Capacity evaluation”, </w:t>
      </w:r>
      <w:r w:rsidR="00974148" w:rsidRPr="008167E9">
        <w:t>Nokia Networks</w:t>
      </w:r>
      <w:r w:rsidR="00BE03A7" w:rsidRPr="008167E9">
        <w:t xml:space="preserve"> </w:t>
      </w:r>
      <w:bookmarkEnd w:id="26"/>
    </w:p>
    <w:p w14:paraId="6094EFE8" w14:textId="2A39BA06" w:rsidR="00A01271" w:rsidRPr="008167E9" w:rsidRDefault="00265564" w:rsidP="00265564">
      <w:pPr>
        <w:pStyle w:val="Reference"/>
      </w:pPr>
      <w:bookmarkStart w:id="27" w:name="_Ref434509655"/>
      <w:r>
        <w:rPr>
          <w:rFonts w:ascii="Times New Roman" w:hAnsi="Times New Roman"/>
        </w:rPr>
        <w:t xml:space="preserve"> </w:t>
      </w:r>
      <w:r w:rsidRPr="00265564">
        <w:rPr>
          <w:rFonts w:ascii="Times New Roman" w:hAnsi="Times New Roman"/>
        </w:rPr>
        <w:t>R1-</w:t>
      </w:r>
      <w:r w:rsidR="00A01271">
        <w:rPr>
          <w:rFonts w:ascii="Times New Roman" w:hAnsi="Times New Roman"/>
        </w:rPr>
        <w:t>15</w:t>
      </w:r>
      <w:r w:rsidR="002A7863">
        <w:rPr>
          <w:rFonts w:ascii="Times New Roman" w:hAnsi="Times New Roman"/>
        </w:rPr>
        <w:t>7276</w:t>
      </w:r>
      <w:r w:rsidR="00A01271" w:rsidRPr="008167E9">
        <w:t>, “Evaluation of SC-FDMA UL for NB-IoT”, Nokia Networks</w:t>
      </w:r>
      <w:bookmarkEnd w:id="27"/>
    </w:p>
    <w:bookmarkEnd w:id="5"/>
    <w:bookmarkEnd w:id="6"/>
    <w:bookmarkEnd w:id="12"/>
    <w:p w14:paraId="4CC47876" w14:textId="77777777" w:rsidR="0091339F" w:rsidRDefault="0091339F" w:rsidP="00F72B72">
      <w:pPr>
        <w:pStyle w:val="Reference"/>
        <w:numPr>
          <w:ilvl w:val="0"/>
          <w:numId w:val="0"/>
        </w:numPr>
        <w:rPr>
          <w:rFonts w:ascii="Times New Roman" w:hAnsi="Times New Roman"/>
        </w:rPr>
      </w:pPr>
    </w:p>
    <w:sectPr w:rsidR="0091339F" w:rsidSect="00A4095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31133" w14:textId="77777777" w:rsidR="00297153" w:rsidRDefault="00297153">
      <w:r>
        <w:separator/>
      </w:r>
    </w:p>
  </w:endnote>
  <w:endnote w:type="continuationSeparator" w:id="0">
    <w:p w14:paraId="70775698" w14:textId="77777777" w:rsidR="00297153" w:rsidRDefault="00297153">
      <w:r>
        <w:continuationSeparator/>
      </w:r>
    </w:p>
  </w:endnote>
  <w:endnote w:type="continuationNotice" w:id="1">
    <w:p w14:paraId="5960CBC6" w14:textId="77777777" w:rsidR="00297153" w:rsidRDefault="00297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ricsson Capital TT">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597AD" w14:textId="77777777" w:rsidR="00EA37D6" w:rsidRDefault="00EA37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6386B" w14:textId="77777777" w:rsidR="003C036F" w:rsidRDefault="003C036F" w:rsidP="005F3927">
    <w:pPr>
      <w:pStyle w:val="Footer"/>
      <w:tabs>
        <w:tab w:val="center" w:pos="4820"/>
        <w:tab w:val="right" w:pos="9639"/>
      </w:tabs>
      <w:jc w:val="left"/>
    </w:pPr>
    <w:r>
      <w:tab/>
    </w:r>
    <w:r w:rsidR="00DF2F5B">
      <w:rPr>
        <w:rStyle w:val="PageNumber"/>
      </w:rPr>
      <w:fldChar w:fldCharType="begin"/>
    </w:r>
    <w:r>
      <w:rPr>
        <w:rStyle w:val="PageNumber"/>
      </w:rPr>
      <w:instrText xml:space="preserve"> PAGE </w:instrText>
    </w:r>
    <w:r w:rsidR="00DF2F5B">
      <w:rPr>
        <w:rStyle w:val="PageNumber"/>
      </w:rPr>
      <w:fldChar w:fldCharType="separate"/>
    </w:r>
    <w:r w:rsidR="00BE3C63">
      <w:rPr>
        <w:rStyle w:val="PageNumber"/>
      </w:rPr>
      <w:t>3</w:t>
    </w:r>
    <w:r w:rsidR="00DF2F5B">
      <w:rPr>
        <w:rStyle w:val="PageNumber"/>
      </w:rPr>
      <w:fldChar w:fldCharType="end"/>
    </w:r>
    <w:r>
      <w:rPr>
        <w:rStyle w:val="PageNumber"/>
      </w:rPr>
      <w:t>/</w:t>
    </w:r>
    <w:r w:rsidR="00DF2F5B">
      <w:rPr>
        <w:rStyle w:val="PageNumber"/>
      </w:rPr>
      <w:fldChar w:fldCharType="begin"/>
    </w:r>
    <w:r>
      <w:rPr>
        <w:rStyle w:val="PageNumber"/>
      </w:rPr>
      <w:instrText xml:space="preserve"> NUMPAGES </w:instrText>
    </w:r>
    <w:r w:rsidR="00DF2F5B">
      <w:rPr>
        <w:rStyle w:val="PageNumber"/>
      </w:rPr>
      <w:fldChar w:fldCharType="separate"/>
    </w:r>
    <w:r w:rsidR="00BE3C63">
      <w:rPr>
        <w:rStyle w:val="PageNumber"/>
      </w:rPr>
      <w:t>6</w:t>
    </w:r>
    <w:r w:rsidR="00DF2F5B">
      <w:rPr>
        <w:rStyle w:val="PageNumber"/>
      </w:rPr>
      <w:fldChar w:fldCharType="end"/>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8C88F" w14:textId="77777777" w:rsidR="00EA37D6" w:rsidRDefault="00EA37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65B1D" w14:textId="77777777" w:rsidR="00297153" w:rsidRDefault="00297153">
      <w:r>
        <w:separator/>
      </w:r>
    </w:p>
  </w:footnote>
  <w:footnote w:type="continuationSeparator" w:id="0">
    <w:p w14:paraId="30BDA2FE" w14:textId="77777777" w:rsidR="00297153" w:rsidRDefault="00297153">
      <w:r>
        <w:continuationSeparator/>
      </w:r>
    </w:p>
  </w:footnote>
  <w:footnote w:type="continuationNotice" w:id="1">
    <w:p w14:paraId="2ADC4B79" w14:textId="77777777" w:rsidR="00297153" w:rsidRDefault="002971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E3743" w14:textId="77777777" w:rsidR="003C036F" w:rsidRDefault="003C036F">
    <w:r>
      <w:t xml:space="preserve">Page </w:t>
    </w:r>
    <w:r w:rsidR="00DF2F5B">
      <w:fldChar w:fldCharType="begin"/>
    </w:r>
    <w:r>
      <w:instrText>PAGE</w:instrText>
    </w:r>
    <w:r w:rsidR="00DF2F5B">
      <w:fldChar w:fldCharType="separate"/>
    </w:r>
    <w:r>
      <w:t>4</w:t>
    </w:r>
    <w:r w:rsidR="00DF2F5B">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A6802" w14:textId="77777777" w:rsidR="00EA37D6" w:rsidRDefault="00EA37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98F58" w14:textId="77777777" w:rsidR="00EA37D6" w:rsidRDefault="00EA37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99C473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2844"/>
        </w:tabs>
        <w:ind w:left="2844"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D7165"/>
    <w:multiLevelType w:val="hybridMultilevel"/>
    <w:tmpl w:val="24505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15:restartNumberingAfterBreak="0">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3" w15:restartNumberingAfterBreak="0">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1A3589"/>
    <w:multiLevelType w:val="multilevel"/>
    <w:tmpl w:val="66BCC6A2"/>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4759" w:hanging="709"/>
      </w:pPr>
      <w:rPr>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8" w15:restartNumberingAfterBreak="0">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4B5E07"/>
    <w:multiLevelType w:val="hybridMultilevel"/>
    <w:tmpl w:val="1DE06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3" w15:restartNumberingAfterBreak="0">
    <w:nsid w:val="5B3728C9"/>
    <w:multiLevelType w:val="hybridMultilevel"/>
    <w:tmpl w:val="B8ECC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7C05D2"/>
    <w:multiLevelType w:val="hybridMultilevel"/>
    <w:tmpl w:val="BC7C8CC0"/>
    <w:lvl w:ilvl="0" w:tplc="9C807C94">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29"/>
  </w:num>
  <w:num w:numId="3">
    <w:abstractNumId w:val="34"/>
  </w:num>
  <w:num w:numId="4">
    <w:abstractNumId w:val="42"/>
  </w:num>
  <w:num w:numId="5">
    <w:abstractNumId w:val="37"/>
  </w:num>
  <w:num w:numId="6">
    <w:abstractNumId w:val="44"/>
  </w:num>
  <w:num w:numId="7">
    <w:abstractNumId w:val="20"/>
  </w:num>
  <w:num w:numId="8">
    <w:abstractNumId w:val="18"/>
  </w:num>
  <w:num w:numId="9">
    <w:abstractNumId w:val="40"/>
  </w:num>
  <w:num w:numId="10">
    <w:abstractNumId w:val="22"/>
  </w:num>
  <w:num w:numId="11">
    <w:abstractNumId w:val="41"/>
  </w:num>
  <w:num w:numId="12">
    <w:abstractNumId w:val="38"/>
  </w:num>
  <w:num w:numId="13">
    <w:abstractNumId w:val="4"/>
  </w:num>
  <w:num w:numId="14">
    <w:abstractNumId w:val="6"/>
  </w:num>
  <w:num w:numId="15">
    <w:abstractNumId w:val="15"/>
  </w:num>
  <w:num w:numId="16">
    <w:abstractNumId w:val="28"/>
  </w:num>
  <w:num w:numId="17">
    <w:abstractNumId w:val="16"/>
  </w:num>
  <w:num w:numId="18">
    <w:abstractNumId w:val="7"/>
  </w:num>
  <w:num w:numId="19">
    <w:abstractNumId w:val="27"/>
  </w:num>
  <w:num w:numId="20">
    <w:abstractNumId w:val="19"/>
  </w:num>
  <w:num w:numId="21">
    <w:abstractNumId w:val="21"/>
  </w:num>
  <w:num w:numId="22">
    <w:abstractNumId w:val="8"/>
  </w:num>
  <w:num w:numId="23">
    <w:abstractNumId w:val="2"/>
  </w:num>
  <w:num w:numId="24">
    <w:abstractNumId w:val="25"/>
  </w:num>
  <w:num w:numId="25">
    <w:abstractNumId w:val="30"/>
  </w:num>
  <w:num w:numId="26">
    <w:abstractNumId w:val="10"/>
  </w:num>
  <w:num w:numId="27">
    <w:abstractNumId w:val="13"/>
  </w:num>
  <w:num w:numId="28">
    <w:abstractNumId w:val="17"/>
  </w:num>
  <w:num w:numId="29">
    <w:abstractNumId w:val="26"/>
  </w:num>
  <w:num w:numId="30">
    <w:abstractNumId w:val="9"/>
  </w:num>
  <w:num w:numId="31">
    <w:abstractNumId w:val="5"/>
  </w:num>
  <w:num w:numId="32">
    <w:abstractNumId w:val="45"/>
  </w:num>
  <w:num w:numId="33">
    <w:abstractNumId w:val="12"/>
  </w:num>
  <w:num w:numId="34">
    <w:abstractNumId w:val="11"/>
  </w:num>
  <w:num w:numId="35">
    <w:abstractNumId w:val="35"/>
  </w:num>
  <w:num w:numId="36">
    <w:abstractNumId w:val="43"/>
  </w:num>
  <w:num w:numId="37">
    <w:abstractNumId w:val="9"/>
  </w:num>
  <w:num w:numId="38">
    <w:abstractNumId w:val="14"/>
  </w:num>
  <w:num w:numId="39">
    <w:abstractNumId w:val="39"/>
  </w:num>
  <w:num w:numId="40">
    <w:abstractNumId w:val="3"/>
  </w:num>
  <w:num w:numId="41">
    <w:abstractNumId w:val="9"/>
  </w:num>
  <w:num w:numId="42">
    <w:abstractNumId w:val="24"/>
  </w:num>
  <w:num w:numId="43">
    <w:abstractNumId w:val="23"/>
  </w:num>
  <w:num w:numId="44">
    <w:abstractNumId w:val="36"/>
  </w:num>
  <w:num w:numId="45">
    <w:abstractNumId w:val="32"/>
  </w:num>
  <w:num w:numId="46">
    <w:abstractNumId w:val="31"/>
  </w:num>
  <w:num w:numId="47">
    <w:abstractNumId w:val="1"/>
  </w:num>
  <w:num w:numId="48">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356A"/>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3AFB"/>
    <w:rsid w:val="00043D07"/>
    <w:rsid w:val="0004474E"/>
    <w:rsid w:val="0005105B"/>
    <w:rsid w:val="0005240C"/>
    <w:rsid w:val="0005242B"/>
    <w:rsid w:val="0005343C"/>
    <w:rsid w:val="0005376F"/>
    <w:rsid w:val="00055E9A"/>
    <w:rsid w:val="00057E6E"/>
    <w:rsid w:val="00060581"/>
    <w:rsid w:val="0006063C"/>
    <w:rsid w:val="00060A0A"/>
    <w:rsid w:val="00063047"/>
    <w:rsid w:val="00064432"/>
    <w:rsid w:val="000650CD"/>
    <w:rsid w:val="000674EF"/>
    <w:rsid w:val="000675AE"/>
    <w:rsid w:val="00072127"/>
    <w:rsid w:val="00072CCA"/>
    <w:rsid w:val="00075BE0"/>
    <w:rsid w:val="000768F7"/>
    <w:rsid w:val="00080027"/>
    <w:rsid w:val="00081384"/>
    <w:rsid w:val="0008221E"/>
    <w:rsid w:val="00082FAB"/>
    <w:rsid w:val="0008336A"/>
    <w:rsid w:val="00084CEC"/>
    <w:rsid w:val="00084FB4"/>
    <w:rsid w:val="00086587"/>
    <w:rsid w:val="00086F37"/>
    <w:rsid w:val="000902E2"/>
    <w:rsid w:val="0009154F"/>
    <w:rsid w:val="00094048"/>
    <w:rsid w:val="000948D4"/>
    <w:rsid w:val="00095777"/>
    <w:rsid w:val="00095B16"/>
    <w:rsid w:val="000962EF"/>
    <w:rsid w:val="00096701"/>
    <w:rsid w:val="00096D1A"/>
    <w:rsid w:val="000A02AB"/>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71C0"/>
    <w:rsid w:val="000D04E8"/>
    <w:rsid w:val="000D19DC"/>
    <w:rsid w:val="000D2BF7"/>
    <w:rsid w:val="000D33B5"/>
    <w:rsid w:val="000D390B"/>
    <w:rsid w:val="000D451D"/>
    <w:rsid w:val="000D5524"/>
    <w:rsid w:val="000E1230"/>
    <w:rsid w:val="000E20F5"/>
    <w:rsid w:val="000E3DE2"/>
    <w:rsid w:val="000E65AC"/>
    <w:rsid w:val="000F144F"/>
    <w:rsid w:val="000F3AF1"/>
    <w:rsid w:val="000F5037"/>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7701"/>
    <w:rsid w:val="001319AF"/>
    <w:rsid w:val="00131CAC"/>
    <w:rsid w:val="00131F98"/>
    <w:rsid w:val="00132565"/>
    <w:rsid w:val="0013778A"/>
    <w:rsid w:val="00140EA3"/>
    <w:rsid w:val="00141BF0"/>
    <w:rsid w:val="0014302B"/>
    <w:rsid w:val="001449C2"/>
    <w:rsid w:val="00145850"/>
    <w:rsid w:val="00146184"/>
    <w:rsid w:val="00151312"/>
    <w:rsid w:val="00152F2A"/>
    <w:rsid w:val="001532D7"/>
    <w:rsid w:val="00153BA9"/>
    <w:rsid w:val="00155796"/>
    <w:rsid w:val="0016024D"/>
    <w:rsid w:val="00160FC2"/>
    <w:rsid w:val="00161340"/>
    <w:rsid w:val="001613DB"/>
    <w:rsid w:val="00163A68"/>
    <w:rsid w:val="00166D37"/>
    <w:rsid w:val="00167BA2"/>
    <w:rsid w:val="00173849"/>
    <w:rsid w:val="00177608"/>
    <w:rsid w:val="00177E3E"/>
    <w:rsid w:val="001805E5"/>
    <w:rsid w:val="001807D0"/>
    <w:rsid w:val="00182390"/>
    <w:rsid w:val="0018445C"/>
    <w:rsid w:val="001844BE"/>
    <w:rsid w:val="001849C3"/>
    <w:rsid w:val="001860B6"/>
    <w:rsid w:val="001866DD"/>
    <w:rsid w:val="00186839"/>
    <w:rsid w:val="001875B8"/>
    <w:rsid w:val="00190AFE"/>
    <w:rsid w:val="0019129C"/>
    <w:rsid w:val="00191CED"/>
    <w:rsid w:val="00193032"/>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C019F"/>
    <w:rsid w:val="001C0AD4"/>
    <w:rsid w:val="001C1426"/>
    <w:rsid w:val="001C5CE5"/>
    <w:rsid w:val="001D218F"/>
    <w:rsid w:val="001D40DD"/>
    <w:rsid w:val="001D439C"/>
    <w:rsid w:val="001D4420"/>
    <w:rsid w:val="001D6428"/>
    <w:rsid w:val="001D6E54"/>
    <w:rsid w:val="001D7E90"/>
    <w:rsid w:val="001E23AD"/>
    <w:rsid w:val="001E2BCB"/>
    <w:rsid w:val="001E2C93"/>
    <w:rsid w:val="001E34AE"/>
    <w:rsid w:val="001E3944"/>
    <w:rsid w:val="001E3A2E"/>
    <w:rsid w:val="001E3EBE"/>
    <w:rsid w:val="001E3FFB"/>
    <w:rsid w:val="001E5234"/>
    <w:rsid w:val="001E5BB4"/>
    <w:rsid w:val="001F0191"/>
    <w:rsid w:val="001F2511"/>
    <w:rsid w:val="001F2699"/>
    <w:rsid w:val="001F345F"/>
    <w:rsid w:val="001F5400"/>
    <w:rsid w:val="001F57F3"/>
    <w:rsid w:val="001F5D93"/>
    <w:rsid w:val="001F5DE8"/>
    <w:rsid w:val="001F5E00"/>
    <w:rsid w:val="001F6CDF"/>
    <w:rsid w:val="001F7FF8"/>
    <w:rsid w:val="00200D31"/>
    <w:rsid w:val="00202150"/>
    <w:rsid w:val="002024F0"/>
    <w:rsid w:val="00202A1B"/>
    <w:rsid w:val="00203E2B"/>
    <w:rsid w:val="002046E6"/>
    <w:rsid w:val="00205508"/>
    <w:rsid w:val="002065E3"/>
    <w:rsid w:val="00206817"/>
    <w:rsid w:val="00211F41"/>
    <w:rsid w:val="002131B1"/>
    <w:rsid w:val="00213CB3"/>
    <w:rsid w:val="00214E0B"/>
    <w:rsid w:val="0021559A"/>
    <w:rsid w:val="00216465"/>
    <w:rsid w:val="00216D83"/>
    <w:rsid w:val="00221532"/>
    <w:rsid w:val="00222072"/>
    <w:rsid w:val="002222A4"/>
    <w:rsid w:val="00223ED7"/>
    <w:rsid w:val="0023122F"/>
    <w:rsid w:val="002318E7"/>
    <w:rsid w:val="00231A5C"/>
    <w:rsid w:val="00231E02"/>
    <w:rsid w:val="0023356D"/>
    <w:rsid w:val="002348B1"/>
    <w:rsid w:val="00235E2E"/>
    <w:rsid w:val="002367CC"/>
    <w:rsid w:val="002373B4"/>
    <w:rsid w:val="00237E20"/>
    <w:rsid w:val="00241BE1"/>
    <w:rsid w:val="00243B78"/>
    <w:rsid w:val="0024454B"/>
    <w:rsid w:val="00244ADE"/>
    <w:rsid w:val="0024797B"/>
    <w:rsid w:val="00247BAB"/>
    <w:rsid w:val="002508E6"/>
    <w:rsid w:val="00250B2A"/>
    <w:rsid w:val="00253A32"/>
    <w:rsid w:val="00253BD6"/>
    <w:rsid w:val="00253FD4"/>
    <w:rsid w:val="002550AE"/>
    <w:rsid w:val="0025510E"/>
    <w:rsid w:val="002558B1"/>
    <w:rsid w:val="00255B7B"/>
    <w:rsid w:val="00255EF7"/>
    <w:rsid w:val="002575A3"/>
    <w:rsid w:val="00257757"/>
    <w:rsid w:val="00261554"/>
    <w:rsid w:val="002619ED"/>
    <w:rsid w:val="002633A9"/>
    <w:rsid w:val="00265564"/>
    <w:rsid w:val="002664D7"/>
    <w:rsid w:val="00270647"/>
    <w:rsid w:val="00270BBC"/>
    <w:rsid w:val="00272573"/>
    <w:rsid w:val="00272A0C"/>
    <w:rsid w:val="00273972"/>
    <w:rsid w:val="00273F1D"/>
    <w:rsid w:val="0027751B"/>
    <w:rsid w:val="00277DD1"/>
    <w:rsid w:val="00280843"/>
    <w:rsid w:val="00282962"/>
    <w:rsid w:val="00282A60"/>
    <w:rsid w:val="002838F1"/>
    <w:rsid w:val="002846A9"/>
    <w:rsid w:val="00284E52"/>
    <w:rsid w:val="00285876"/>
    <w:rsid w:val="00286C68"/>
    <w:rsid w:val="00287C76"/>
    <w:rsid w:val="00290F74"/>
    <w:rsid w:val="002910A4"/>
    <w:rsid w:val="002912DC"/>
    <w:rsid w:val="0029360C"/>
    <w:rsid w:val="0029402D"/>
    <w:rsid w:val="002956A7"/>
    <w:rsid w:val="00297153"/>
    <w:rsid w:val="002977EA"/>
    <w:rsid w:val="002A1174"/>
    <w:rsid w:val="002A18D9"/>
    <w:rsid w:val="002A1F00"/>
    <w:rsid w:val="002A2856"/>
    <w:rsid w:val="002A3017"/>
    <w:rsid w:val="002A301D"/>
    <w:rsid w:val="002A3B1A"/>
    <w:rsid w:val="002A4789"/>
    <w:rsid w:val="002A68EA"/>
    <w:rsid w:val="002A785F"/>
    <w:rsid w:val="002A7863"/>
    <w:rsid w:val="002A7989"/>
    <w:rsid w:val="002B0F0A"/>
    <w:rsid w:val="002B35FB"/>
    <w:rsid w:val="002B4EE8"/>
    <w:rsid w:val="002B4F6A"/>
    <w:rsid w:val="002B5041"/>
    <w:rsid w:val="002C0882"/>
    <w:rsid w:val="002C0C7C"/>
    <w:rsid w:val="002C4083"/>
    <w:rsid w:val="002C428B"/>
    <w:rsid w:val="002C5932"/>
    <w:rsid w:val="002C7D07"/>
    <w:rsid w:val="002D15DC"/>
    <w:rsid w:val="002D34AF"/>
    <w:rsid w:val="002D5862"/>
    <w:rsid w:val="002D5960"/>
    <w:rsid w:val="002D7695"/>
    <w:rsid w:val="002D7F97"/>
    <w:rsid w:val="002E0094"/>
    <w:rsid w:val="002E1760"/>
    <w:rsid w:val="002E2B4A"/>
    <w:rsid w:val="002E3ED5"/>
    <w:rsid w:val="002E487A"/>
    <w:rsid w:val="002E48DA"/>
    <w:rsid w:val="002E6775"/>
    <w:rsid w:val="002E7B6E"/>
    <w:rsid w:val="002F194B"/>
    <w:rsid w:val="002F1C46"/>
    <w:rsid w:val="002F21CD"/>
    <w:rsid w:val="002F34EB"/>
    <w:rsid w:val="002F4A9C"/>
    <w:rsid w:val="002F60BC"/>
    <w:rsid w:val="002F6970"/>
    <w:rsid w:val="00300390"/>
    <w:rsid w:val="00300A13"/>
    <w:rsid w:val="00300F8A"/>
    <w:rsid w:val="00301B94"/>
    <w:rsid w:val="00302AC9"/>
    <w:rsid w:val="003035B6"/>
    <w:rsid w:val="00303D52"/>
    <w:rsid w:val="0030426B"/>
    <w:rsid w:val="00305525"/>
    <w:rsid w:val="00310A5A"/>
    <w:rsid w:val="00313C45"/>
    <w:rsid w:val="003154F9"/>
    <w:rsid w:val="00316B2B"/>
    <w:rsid w:val="0032109D"/>
    <w:rsid w:val="00321626"/>
    <w:rsid w:val="003216DA"/>
    <w:rsid w:val="00325DD4"/>
    <w:rsid w:val="0032606A"/>
    <w:rsid w:val="0032674B"/>
    <w:rsid w:val="00326817"/>
    <w:rsid w:val="00326ACD"/>
    <w:rsid w:val="003276B1"/>
    <w:rsid w:val="00327D8E"/>
    <w:rsid w:val="0033227D"/>
    <w:rsid w:val="0033683D"/>
    <w:rsid w:val="00336F62"/>
    <w:rsid w:val="00337A42"/>
    <w:rsid w:val="0034059C"/>
    <w:rsid w:val="003420DC"/>
    <w:rsid w:val="003447B4"/>
    <w:rsid w:val="003468F1"/>
    <w:rsid w:val="00350228"/>
    <w:rsid w:val="00350528"/>
    <w:rsid w:val="003516B1"/>
    <w:rsid w:val="00353586"/>
    <w:rsid w:val="00355CE4"/>
    <w:rsid w:val="00356360"/>
    <w:rsid w:val="003607AE"/>
    <w:rsid w:val="00360EAD"/>
    <w:rsid w:val="00363358"/>
    <w:rsid w:val="00365AD7"/>
    <w:rsid w:val="003660C1"/>
    <w:rsid w:val="0036618E"/>
    <w:rsid w:val="00371145"/>
    <w:rsid w:val="00371150"/>
    <w:rsid w:val="00371D6E"/>
    <w:rsid w:val="00371F87"/>
    <w:rsid w:val="0037335F"/>
    <w:rsid w:val="00373ACB"/>
    <w:rsid w:val="00374124"/>
    <w:rsid w:val="00375CFE"/>
    <w:rsid w:val="00376C74"/>
    <w:rsid w:val="00377BAE"/>
    <w:rsid w:val="003816C3"/>
    <w:rsid w:val="00382D96"/>
    <w:rsid w:val="00384AB5"/>
    <w:rsid w:val="00387A0C"/>
    <w:rsid w:val="00390671"/>
    <w:rsid w:val="00390F6F"/>
    <w:rsid w:val="0039138C"/>
    <w:rsid w:val="003913BC"/>
    <w:rsid w:val="0039330D"/>
    <w:rsid w:val="003949FF"/>
    <w:rsid w:val="00394EF9"/>
    <w:rsid w:val="0039592D"/>
    <w:rsid w:val="00395E4E"/>
    <w:rsid w:val="0039635F"/>
    <w:rsid w:val="00396E4D"/>
    <w:rsid w:val="00397EBA"/>
    <w:rsid w:val="00397FFB"/>
    <w:rsid w:val="003A0E9F"/>
    <w:rsid w:val="003A2944"/>
    <w:rsid w:val="003A2B31"/>
    <w:rsid w:val="003A2B5C"/>
    <w:rsid w:val="003A3F67"/>
    <w:rsid w:val="003A4324"/>
    <w:rsid w:val="003A4340"/>
    <w:rsid w:val="003A5407"/>
    <w:rsid w:val="003A5799"/>
    <w:rsid w:val="003A6F61"/>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D0DEB"/>
    <w:rsid w:val="003D23D7"/>
    <w:rsid w:val="003D30D9"/>
    <w:rsid w:val="003D3FAA"/>
    <w:rsid w:val="003D4E28"/>
    <w:rsid w:val="003D6EA9"/>
    <w:rsid w:val="003D6FCC"/>
    <w:rsid w:val="003E2130"/>
    <w:rsid w:val="003E220E"/>
    <w:rsid w:val="003E319E"/>
    <w:rsid w:val="003E4C38"/>
    <w:rsid w:val="003E517D"/>
    <w:rsid w:val="003E744B"/>
    <w:rsid w:val="003F05DB"/>
    <w:rsid w:val="003F0607"/>
    <w:rsid w:val="003F2174"/>
    <w:rsid w:val="003F35F5"/>
    <w:rsid w:val="003F4D1C"/>
    <w:rsid w:val="0040218B"/>
    <w:rsid w:val="004031F6"/>
    <w:rsid w:val="00403288"/>
    <w:rsid w:val="004065AD"/>
    <w:rsid w:val="0041465A"/>
    <w:rsid w:val="0041592E"/>
    <w:rsid w:val="00416660"/>
    <w:rsid w:val="00416EC3"/>
    <w:rsid w:val="00417DAB"/>
    <w:rsid w:val="00417F6B"/>
    <w:rsid w:val="00420B01"/>
    <w:rsid w:val="00423DC7"/>
    <w:rsid w:val="00426041"/>
    <w:rsid w:val="004260F7"/>
    <w:rsid w:val="00433392"/>
    <w:rsid w:val="00433FF0"/>
    <w:rsid w:val="0043422C"/>
    <w:rsid w:val="0043464D"/>
    <w:rsid w:val="00435423"/>
    <w:rsid w:val="0044004D"/>
    <w:rsid w:val="00440887"/>
    <w:rsid w:val="00440BF0"/>
    <w:rsid w:val="004422F4"/>
    <w:rsid w:val="00442D5B"/>
    <w:rsid w:val="00442F9C"/>
    <w:rsid w:val="00445EC1"/>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4E7D"/>
    <w:rsid w:val="0047094D"/>
    <w:rsid w:val="00471895"/>
    <w:rsid w:val="004719A7"/>
    <w:rsid w:val="00473E96"/>
    <w:rsid w:val="00474622"/>
    <w:rsid w:val="00475B6C"/>
    <w:rsid w:val="00477978"/>
    <w:rsid w:val="00483B01"/>
    <w:rsid w:val="00485B5D"/>
    <w:rsid w:val="00485C52"/>
    <w:rsid w:val="004867CB"/>
    <w:rsid w:val="00493B2E"/>
    <w:rsid w:val="00493C74"/>
    <w:rsid w:val="00493F4A"/>
    <w:rsid w:val="0049434F"/>
    <w:rsid w:val="004950BA"/>
    <w:rsid w:val="004959C8"/>
    <w:rsid w:val="004A1413"/>
    <w:rsid w:val="004A18AA"/>
    <w:rsid w:val="004A3255"/>
    <w:rsid w:val="004A5EF5"/>
    <w:rsid w:val="004A765D"/>
    <w:rsid w:val="004B0E99"/>
    <w:rsid w:val="004B0E9D"/>
    <w:rsid w:val="004B37C6"/>
    <w:rsid w:val="004B3FDA"/>
    <w:rsid w:val="004B50C2"/>
    <w:rsid w:val="004B565B"/>
    <w:rsid w:val="004B7041"/>
    <w:rsid w:val="004C0857"/>
    <w:rsid w:val="004C289B"/>
    <w:rsid w:val="004C308E"/>
    <w:rsid w:val="004C516D"/>
    <w:rsid w:val="004C6AE5"/>
    <w:rsid w:val="004C7F18"/>
    <w:rsid w:val="004D0328"/>
    <w:rsid w:val="004D0743"/>
    <w:rsid w:val="004D0EFD"/>
    <w:rsid w:val="004D151D"/>
    <w:rsid w:val="004D1869"/>
    <w:rsid w:val="004D1D35"/>
    <w:rsid w:val="004D278C"/>
    <w:rsid w:val="004D379F"/>
    <w:rsid w:val="004D3E76"/>
    <w:rsid w:val="004D5674"/>
    <w:rsid w:val="004D5A85"/>
    <w:rsid w:val="004E0DA7"/>
    <w:rsid w:val="004E1748"/>
    <w:rsid w:val="004E2241"/>
    <w:rsid w:val="004E2C2D"/>
    <w:rsid w:val="004E3190"/>
    <w:rsid w:val="004E4715"/>
    <w:rsid w:val="004E4904"/>
    <w:rsid w:val="004E5031"/>
    <w:rsid w:val="004F0C1F"/>
    <w:rsid w:val="004F2493"/>
    <w:rsid w:val="004F2804"/>
    <w:rsid w:val="004F4877"/>
    <w:rsid w:val="004F488F"/>
    <w:rsid w:val="004F7F5C"/>
    <w:rsid w:val="0050039C"/>
    <w:rsid w:val="00501A77"/>
    <w:rsid w:val="00501FFD"/>
    <w:rsid w:val="00502129"/>
    <w:rsid w:val="005030F5"/>
    <w:rsid w:val="005034E7"/>
    <w:rsid w:val="005046CC"/>
    <w:rsid w:val="0050481E"/>
    <w:rsid w:val="00505BE9"/>
    <w:rsid w:val="00506FCB"/>
    <w:rsid w:val="0051055E"/>
    <w:rsid w:val="005106DB"/>
    <w:rsid w:val="00511F22"/>
    <w:rsid w:val="00515EFD"/>
    <w:rsid w:val="0051669B"/>
    <w:rsid w:val="00516B95"/>
    <w:rsid w:val="00517656"/>
    <w:rsid w:val="00517EED"/>
    <w:rsid w:val="005218B2"/>
    <w:rsid w:val="005230CD"/>
    <w:rsid w:val="0052420E"/>
    <w:rsid w:val="00524FF3"/>
    <w:rsid w:val="00527399"/>
    <w:rsid w:val="005276D8"/>
    <w:rsid w:val="00534BFB"/>
    <w:rsid w:val="00536997"/>
    <w:rsid w:val="005409F3"/>
    <w:rsid w:val="00541E48"/>
    <w:rsid w:val="00542B9A"/>
    <w:rsid w:val="0054440F"/>
    <w:rsid w:val="0054541A"/>
    <w:rsid w:val="00545E26"/>
    <w:rsid w:val="00545E2F"/>
    <w:rsid w:val="00546845"/>
    <w:rsid w:val="00546979"/>
    <w:rsid w:val="00547642"/>
    <w:rsid w:val="00547C15"/>
    <w:rsid w:val="0055050C"/>
    <w:rsid w:val="00550879"/>
    <w:rsid w:val="0055569C"/>
    <w:rsid w:val="00555885"/>
    <w:rsid w:val="0055767E"/>
    <w:rsid w:val="00557E80"/>
    <w:rsid w:val="005600E5"/>
    <w:rsid w:val="0056047C"/>
    <w:rsid w:val="0056275E"/>
    <w:rsid w:val="00562A5B"/>
    <w:rsid w:val="0056349B"/>
    <w:rsid w:val="00563AD9"/>
    <w:rsid w:val="005649D5"/>
    <w:rsid w:val="00564C06"/>
    <w:rsid w:val="00566AD3"/>
    <w:rsid w:val="00567EB0"/>
    <w:rsid w:val="00570AE9"/>
    <w:rsid w:val="0057230B"/>
    <w:rsid w:val="00572655"/>
    <w:rsid w:val="00573CD3"/>
    <w:rsid w:val="00573DB7"/>
    <w:rsid w:val="00573DF1"/>
    <w:rsid w:val="00573E75"/>
    <w:rsid w:val="00574814"/>
    <w:rsid w:val="00575FEF"/>
    <w:rsid w:val="00585EA4"/>
    <w:rsid w:val="00586B26"/>
    <w:rsid w:val="005907EA"/>
    <w:rsid w:val="00591123"/>
    <w:rsid w:val="00594A73"/>
    <w:rsid w:val="00594ED5"/>
    <w:rsid w:val="005A08D7"/>
    <w:rsid w:val="005A20B2"/>
    <w:rsid w:val="005A27C9"/>
    <w:rsid w:val="005A2B85"/>
    <w:rsid w:val="005A2E5A"/>
    <w:rsid w:val="005A3926"/>
    <w:rsid w:val="005A3D62"/>
    <w:rsid w:val="005A3FBC"/>
    <w:rsid w:val="005A447B"/>
    <w:rsid w:val="005A4501"/>
    <w:rsid w:val="005B16E7"/>
    <w:rsid w:val="005B3B99"/>
    <w:rsid w:val="005B4427"/>
    <w:rsid w:val="005B4F8B"/>
    <w:rsid w:val="005B603D"/>
    <w:rsid w:val="005B6E13"/>
    <w:rsid w:val="005B7EFA"/>
    <w:rsid w:val="005C27E4"/>
    <w:rsid w:val="005C37B0"/>
    <w:rsid w:val="005C5772"/>
    <w:rsid w:val="005C616D"/>
    <w:rsid w:val="005C6C59"/>
    <w:rsid w:val="005D25A9"/>
    <w:rsid w:val="005D564B"/>
    <w:rsid w:val="005D6022"/>
    <w:rsid w:val="005D6F9D"/>
    <w:rsid w:val="005D7804"/>
    <w:rsid w:val="005D78BF"/>
    <w:rsid w:val="005E0115"/>
    <w:rsid w:val="005E1875"/>
    <w:rsid w:val="005E1C94"/>
    <w:rsid w:val="005E1DC5"/>
    <w:rsid w:val="005E1FE9"/>
    <w:rsid w:val="005E2987"/>
    <w:rsid w:val="005E3AB8"/>
    <w:rsid w:val="005E495F"/>
    <w:rsid w:val="005E71D1"/>
    <w:rsid w:val="005E771E"/>
    <w:rsid w:val="005F261B"/>
    <w:rsid w:val="005F2F55"/>
    <w:rsid w:val="005F30F6"/>
    <w:rsid w:val="005F3927"/>
    <w:rsid w:val="005F5A31"/>
    <w:rsid w:val="005F78F1"/>
    <w:rsid w:val="006001B0"/>
    <w:rsid w:val="006005CC"/>
    <w:rsid w:val="00600B5C"/>
    <w:rsid w:val="00602C39"/>
    <w:rsid w:val="00602E9A"/>
    <w:rsid w:val="00603CB1"/>
    <w:rsid w:val="0060490F"/>
    <w:rsid w:val="00605974"/>
    <w:rsid w:val="00605AFD"/>
    <w:rsid w:val="00607AFF"/>
    <w:rsid w:val="00607FD3"/>
    <w:rsid w:val="0061073A"/>
    <w:rsid w:val="00610D81"/>
    <w:rsid w:val="00610EDA"/>
    <w:rsid w:val="006122F7"/>
    <w:rsid w:val="0061263B"/>
    <w:rsid w:val="0061487F"/>
    <w:rsid w:val="00614CC2"/>
    <w:rsid w:val="00616889"/>
    <w:rsid w:val="0061696F"/>
    <w:rsid w:val="0062128F"/>
    <w:rsid w:val="00621407"/>
    <w:rsid w:val="00622229"/>
    <w:rsid w:val="00625265"/>
    <w:rsid w:val="00626059"/>
    <w:rsid w:val="0062616E"/>
    <w:rsid w:val="00626906"/>
    <w:rsid w:val="00630573"/>
    <w:rsid w:val="00631D63"/>
    <w:rsid w:val="006326ED"/>
    <w:rsid w:val="00632FFE"/>
    <w:rsid w:val="006336E8"/>
    <w:rsid w:val="00633D8B"/>
    <w:rsid w:val="0063614C"/>
    <w:rsid w:val="006366A1"/>
    <w:rsid w:val="0063691D"/>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700B6"/>
    <w:rsid w:val="0067124D"/>
    <w:rsid w:val="00672CBE"/>
    <w:rsid w:val="00675C94"/>
    <w:rsid w:val="00677DE7"/>
    <w:rsid w:val="00681F5C"/>
    <w:rsid w:val="00682FBE"/>
    <w:rsid w:val="00683167"/>
    <w:rsid w:val="0068329A"/>
    <w:rsid w:val="006856F5"/>
    <w:rsid w:val="006859F2"/>
    <w:rsid w:val="00686387"/>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E21"/>
    <w:rsid w:val="006B40F1"/>
    <w:rsid w:val="006B4A0A"/>
    <w:rsid w:val="006B57BD"/>
    <w:rsid w:val="006B6499"/>
    <w:rsid w:val="006C1643"/>
    <w:rsid w:val="006C1794"/>
    <w:rsid w:val="006C17E3"/>
    <w:rsid w:val="006C4DE2"/>
    <w:rsid w:val="006C602A"/>
    <w:rsid w:val="006C6A1A"/>
    <w:rsid w:val="006C6E9B"/>
    <w:rsid w:val="006C716E"/>
    <w:rsid w:val="006D1C66"/>
    <w:rsid w:val="006D29F7"/>
    <w:rsid w:val="006D2F71"/>
    <w:rsid w:val="006D519B"/>
    <w:rsid w:val="006D663E"/>
    <w:rsid w:val="006D7369"/>
    <w:rsid w:val="006D7962"/>
    <w:rsid w:val="006D7DA6"/>
    <w:rsid w:val="006E55E8"/>
    <w:rsid w:val="006E5C25"/>
    <w:rsid w:val="006E6105"/>
    <w:rsid w:val="006F0162"/>
    <w:rsid w:val="006F1A4C"/>
    <w:rsid w:val="006F4536"/>
    <w:rsid w:val="006F5AC1"/>
    <w:rsid w:val="006F66F8"/>
    <w:rsid w:val="007009B9"/>
    <w:rsid w:val="007021F4"/>
    <w:rsid w:val="00703C3A"/>
    <w:rsid w:val="007054D1"/>
    <w:rsid w:val="0071143D"/>
    <w:rsid w:val="007134E3"/>
    <w:rsid w:val="00713D22"/>
    <w:rsid w:val="0071403C"/>
    <w:rsid w:val="00714130"/>
    <w:rsid w:val="007146CA"/>
    <w:rsid w:val="00714E42"/>
    <w:rsid w:val="00715875"/>
    <w:rsid w:val="00715A65"/>
    <w:rsid w:val="007162B6"/>
    <w:rsid w:val="00717B32"/>
    <w:rsid w:val="00721D2E"/>
    <w:rsid w:val="00721F9D"/>
    <w:rsid w:val="00722E81"/>
    <w:rsid w:val="00723294"/>
    <w:rsid w:val="00732578"/>
    <w:rsid w:val="007326BB"/>
    <w:rsid w:val="0073673D"/>
    <w:rsid w:val="0073779D"/>
    <w:rsid w:val="00743C64"/>
    <w:rsid w:val="00747AD2"/>
    <w:rsid w:val="007500D8"/>
    <w:rsid w:val="00752956"/>
    <w:rsid w:val="00752F8E"/>
    <w:rsid w:val="00753A94"/>
    <w:rsid w:val="0075414D"/>
    <w:rsid w:val="00755077"/>
    <w:rsid w:val="00756F09"/>
    <w:rsid w:val="00756F7F"/>
    <w:rsid w:val="0075782D"/>
    <w:rsid w:val="00760F3A"/>
    <w:rsid w:val="00761D7F"/>
    <w:rsid w:val="007629A6"/>
    <w:rsid w:val="0076605F"/>
    <w:rsid w:val="007667F7"/>
    <w:rsid w:val="00767E12"/>
    <w:rsid w:val="0077026C"/>
    <w:rsid w:val="00770D09"/>
    <w:rsid w:val="00771576"/>
    <w:rsid w:val="00771EDC"/>
    <w:rsid w:val="00772A3D"/>
    <w:rsid w:val="0077361B"/>
    <w:rsid w:val="00774CD1"/>
    <w:rsid w:val="0077595B"/>
    <w:rsid w:val="007770BE"/>
    <w:rsid w:val="00783380"/>
    <w:rsid w:val="007842CB"/>
    <w:rsid w:val="007866D1"/>
    <w:rsid w:val="00790F39"/>
    <w:rsid w:val="00791ABC"/>
    <w:rsid w:val="00792F1D"/>
    <w:rsid w:val="00793C26"/>
    <w:rsid w:val="007950A6"/>
    <w:rsid w:val="00795EE3"/>
    <w:rsid w:val="007A1033"/>
    <w:rsid w:val="007A1074"/>
    <w:rsid w:val="007A164C"/>
    <w:rsid w:val="007A29BA"/>
    <w:rsid w:val="007A2D6A"/>
    <w:rsid w:val="007A3AC8"/>
    <w:rsid w:val="007A4DCF"/>
    <w:rsid w:val="007A5A52"/>
    <w:rsid w:val="007A5E21"/>
    <w:rsid w:val="007A60BB"/>
    <w:rsid w:val="007A6D6B"/>
    <w:rsid w:val="007B0BC2"/>
    <w:rsid w:val="007B25EA"/>
    <w:rsid w:val="007B352A"/>
    <w:rsid w:val="007B4FE7"/>
    <w:rsid w:val="007B5268"/>
    <w:rsid w:val="007C0354"/>
    <w:rsid w:val="007C1603"/>
    <w:rsid w:val="007C16BE"/>
    <w:rsid w:val="007C38C7"/>
    <w:rsid w:val="007C4DC1"/>
    <w:rsid w:val="007C54BB"/>
    <w:rsid w:val="007C577F"/>
    <w:rsid w:val="007C6E80"/>
    <w:rsid w:val="007C7675"/>
    <w:rsid w:val="007C7E6D"/>
    <w:rsid w:val="007D2274"/>
    <w:rsid w:val="007D368A"/>
    <w:rsid w:val="007D5A90"/>
    <w:rsid w:val="007D6442"/>
    <w:rsid w:val="007E033B"/>
    <w:rsid w:val="007E0C4E"/>
    <w:rsid w:val="007E10A2"/>
    <w:rsid w:val="007E16A5"/>
    <w:rsid w:val="007E3888"/>
    <w:rsid w:val="007E577E"/>
    <w:rsid w:val="007E5AE3"/>
    <w:rsid w:val="007E618D"/>
    <w:rsid w:val="007E788B"/>
    <w:rsid w:val="007F0599"/>
    <w:rsid w:val="007F1207"/>
    <w:rsid w:val="007F2F54"/>
    <w:rsid w:val="007F4185"/>
    <w:rsid w:val="007F4B88"/>
    <w:rsid w:val="007F74B3"/>
    <w:rsid w:val="008003AC"/>
    <w:rsid w:val="00802085"/>
    <w:rsid w:val="008037AD"/>
    <w:rsid w:val="00803BF5"/>
    <w:rsid w:val="00804037"/>
    <w:rsid w:val="00806002"/>
    <w:rsid w:val="0081261A"/>
    <w:rsid w:val="0081426E"/>
    <w:rsid w:val="00814BED"/>
    <w:rsid w:val="008151A4"/>
    <w:rsid w:val="008152B1"/>
    <w:rsid w:val="008167E9"/>
    <w:rsid w:val="008175CB"/>
    <w:rsid w:val="00821ACA"/>
    <w:rsid w:val="00822CF0"/>
    <w:rsid w:val="00824298"/>
    <w:rsid w:val="008261E6"/>
    <w:rsid w:val="0082630C"/>
    <w:rsid w:val="008311E8"/>
    <w:rsid w:val="0083155B"/>
    <w:rsid w:val="0083238E"/>
    <w:rsid w:val="0083249B"/>
    <w:rsid w:val="00832C20"/>
    <w:rsid w:val="008349DB"/>
    <w:rsid w:val="00835177"/>
    <w:rsid w:val="00840706"/>
    <w:rsid w:val="00842197"/>
    <w:rsid w:val="00842551"/>
    <w:rsid w:val="0084290D"/>
    <w:rsid w:val="00843935"/>
    <w:rsid w:val="00843FE0"/>
    <w:rsid w:val="00844F8A"/>
    <w:rsid w:val="00850293"/>
    <w:rsid w:val="008528AD"/>
    <w:rsid w:val="00852DB4"/>
    <w:rsid w:val="00853011"/>
    <w:rsid w:val="0085536A"/>
    <w:rsid w:val="00855BCC"/>
    <w:rsid w:val="0086090E"/>
    <w:rsid w:val="0086095E"/>
    <w:rsid w:val="00860BA1"/>
    <w:rsid w:val="0086417C"/>
    <w:rsid w:val="00865020"/>
    <w:rsid w:val="008658B0"/>
    <w:rsid w:val="00866651"/>
    <w:rsid w:val="008675D6"/>
    <w:rsid w:val="0086770F"/>
    <w:rsid w:val="008710C1"/>
    <w:rsid w:val="0087199E"/>
    <w:rsid w:val="008735E1"/>
    <w:rsid w:val="00874446"/>
    <w:rsid w:val="00874513"/>
    <w:rsid w:val="00874860"/>
    <w:rsid w:val="00874B4A"/>
    <w:rsid w:val="008751D1"/>
    <w:rsid w:val="00875700"/>
    <w:rsid w:val="0087659A"/>
    <w:rsid w:val="0087789D"/>
    <w:rsid w:val="0087790D"/>
    <w:rsid w:val="00877B3E"/>
    <w:rsid w:val="00880990"/>
    <w:rsid w:val="00883246"/>
    <w:rsid w:val="00883AA9"/>
    <w:rsid w:val="0088592C"/>
    <w:rsid w:val="008873DD"/>
    <w:rsid w:val="0089012E"/>
    <w:rsid w:val="00891906"/>
    <w:rsid w:val="00895AF3"/>
    <w:rsid w:val="008A06D6"/>
    <w:rsid w:val="008A43A0"/>
    <w:rsid w:val="008A45ED"/>
    <w:rsid w:val="008A7CED"/>
    <w:rsid w:val="008B04FE"/>
    <w:rsid w:val="008B2C4F"/>
    <w:rsid w:val="008B342F"/>
    <w:rsid w:val="008B6D68"/>
    <w:rsid w:val="008B6E4C"/>
    <w:rsid w:val="008B7ADD"/>
    <w:rsid w:val="008C2437"/>
    <w:rsid w:val="008C2B6A"/>
    <w:rsid w:val="008C622C"/>
    <w:rsid w:val="008C7676"/>
    <w:rsid w:val="008D07F7"/>
    <w:rsid w:val="008D090E"/>
    <w:rsid w:val="008D24F2"/>
    <w:rsid w:val="008D2689"/>
    <w:rsid w:val="008D3F5F"/>
    <w:rsid w:val="008D43D1"/>
    <w:rsid w:val="008D6317"/>
    <w:rsid w:val="008D7BBF"/>
    <w:rsid w:val="008E7A58"/>
    <w:rsid w:val="008F1079"/>
    <w:rsid w:val="008F4349"/>
    <w:rsid w:val="008F6109"/>
    <w:rsid w:val="008F6F03"/>
    <w:rsid w:val="0090250F"/>
    <w:rsid w:val="00905EB6"/>
    <w:rsid w:val="00906473"/>
    <w:rsid w:val="0090717B"/>
    <w:rsid w:val="00910CAF"/>
    <w:rsid w:val="0091122A"/>
    <w:rsid w:val="00911608"/>
    <w:rsid w:val="00913067"/>
    <w:rsid w:val="0091339F"/>
    <w:rsid w:val="00913905"/>
    <w:rsid w:val="00913C73"/>
    <w:rsid w:val="00914396"/>
    <w:rsid w:val="009156F3"/>
    <w:rsid w:val="00915CF3"/>
    <w:rsid w:val="0091672B"/>
    <w:rsid w:val="0091781F"/>
    <w:rsid w:val="00917ED6"/>
    <w:rsid w:val="00920358"/>
    <w:rsid w:val="00920A0E"/>
    <w:rsid w:val="00922076"/>
    <w:rsid w:val="00924A1B"/>
    <w:rsid w:val="00927B1B"/>
    <w:rsid w:val="00927C8B"/>
    <w:rsid w:val="009302C2"/>
    <w:rsid w:val="0093123B"/>
    <w:rsid w:val="00933164"/>
    <w:rsid w:val="00933C37"/>
    <w:rsid w:val="00933CC7"/>
    <w:rsid w:val="0093477D"/>
    <w:rsid w:val="00934C02"/>
    <w:rsid w:val="00942674"/>
    <w:rsid w:val="0094632A"/>
    <w:rsid w:val="0094743B"/>
    <w:rsid w:val="00947D45"/>
    <w:rsid w:val="009504B8"/>
    <w:rsid w:val="009510D9"/>
    <w:rsid w:val="00951222"/>
    <w:rsid w:val="00951365"/>
    <w:rsid w:val="00951A4B"/>
    <w:rsid w:val="009549F7"/>
    <w:rsid w:val="00954E54"/>
    <w:rsid w:val="00957C5B"/>
    <w:rsid w:val="00957FA4"/>
    <w:rsid w:val="00962D3B"/>
    <w:rsid w:val="0096358B"/>
    <w:rsid w:val="00965A93"/>
    <w:rsid w:val="00967512"/>
    <w:rsid w:val="00970BA7"/>
    <w:rsid w:val="009725A6"/>
    <w:rsid w:val="00973C2D"/>
    <w:rsid w:val="00974148"/>
    <w:rsid w:val="009741CA"/>
    <w:rsid w:val="00975E3D"/>
    <w:rsid w:val="0098032E"/>
    <w:rsid w:val="009804DC"/>
    <w:rsid w:val="00981461"/>
    <w:rsid w:val="00981A5E"/>
    <w:rsid w:val="00981D8C"/>
    <w:rsid w:val="0098483D"/>
    <w:rsid w:val="00984D77"/>
    <w:rsid w:val="00984E2D"/>
    <w:rsid w:val="0098621D"/>
    <w:rsid w:val="00986C1A"/>
    <w:rsid w:val="00987616"/>
    <w:rsid w:val="00987A31"/>
    <w:rsid w:val="00990668"/>
    <w:rsid w:val="00991C38"/>
    <w:rsid w:val="0099242D"/>
    <w:rsid w:val="009924B0"/>
    <w:rsid w:val="00994EC5"/>
    <w:rsid w:val="00995C36"/>
    <w:rsid w:val="009A0911"/>
    <w:rsid w:val="009A11A3"/>
    <w:rsid w:val="009A1BDC"/>
    <w:rsid w:val="009A2B5D"/>
    <w:rsid w:val="009A4F05"/>
    <w:rsid w:val="009A50AF"/>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5550"/>
    <w:rsid w:val="009D69C8"/>
    <w:rsid w:val="009E1709"/>
    <w:rsid w:val="009E36A1"/>
    <w:rsid w:val="009E4669"/>
    <w:rsid w:val="009E482C"/>
    <w:rsid w:val="009E510B"/>
    <w:rsid w:val="009F36D1"/>
    <w:rsid w:val="009F4189"/>
    <w:rsid w:val="009F4717"/>
    <w:rsid w:val="009F60D0"/>
    <w:rsid w:val="009F6B0C"/>
    <w:rsid w:val="009F721F"/>
    <w:rsid w:val="00A01271"/>
    <w:rsid w:val="00A04429"/>
    <w:rsid w:val="00A05883"/>
    <w:rsid w:val="00A05E7D"/>
    <w:rsid w:val="00A1124A"/>
    <w:rsid w:val="00A11E04"/>
    <w:rsid w:val="00A12257"/>
    <w:rsid w:val="00A12524"/>
    <w:rsid w:val="00A141B4"/>
    <w:rsid w:val="00A14BA2"/>
    <w:rsid w:val="00A14E2E"/>
    <w:rsid w:val="00A1517D"/>
    <w:rsid w:val="00A152DF"/>
    <w:rsid w:val="00A15C9B"/>
    <w:rsid w:val="00A16793"/>
    <w:rsid w:val="00A20067"/>
    <w:rsid w:val="00A2071D"/>
    <w:rsid w:val="00A22975"/>
    <w:rsid w:val="00A23675"/>
    <w:rsid w:val="00A24DD0"/>
    <w:rsid w:val="00A25C98"/>
    <w:rsid w:val="00A26A41"/>
    <w:rsid w:val="00A310DD"/>
    <w:rsid w:val="00A318D4"/>
    <w:rsid w:val="00A31F75"/>
    <w:rsid w:val="00A33838"/>
    <w:rsid w:val="00A36635"/>
    <w:rsid w:val="00A372E4"/>
    <w:rsid w:val="00A37B87"/>
    <w:rsid w:val="00A40951"/>
    <w:rsid w:val="00A40B6B"/>
    <w:rsid w:val="00A424E8"/>
    <w:rsid w:val="00A4443A"/>
    <w:rsid w:val="00A44BC5"/>
    <w:rsid w:val="00A46849"/>
    <w:rsid w:val="00A46FA3"/>
    <w:rsid w:val="00A520AA"/>
    <w:rsid w:val="00A52D87"/>
    <w:rsid w:val="00A55CBA"/>
    <w:rsid w:val="00A569B9"/>
    <w:rsid w:val="00A56BAC"/>
    <w:rsid w:val="00A62871"/>
    <w:rsid w:val="00A6547C"/>
    <w:rsid w:val="00A656BC"/>
    <w:rsid w:val="00A66B3C"/>
    <w:rsid w:val="00A67C14"/>
    <w:rsid w:val="00A71093"/>
    <w:rsid w:val="00A71C2F"/>
    <w:rsid w:val="00A733AC"/>
    <w:rsid w:val="00A80B8B"/>
    <w:rsid w:val="00A83D27"/>
    <w:rsid w:val="00A847B3"/>
    <w:rsid w:val="00A85FBA"/>
    <w:rsid w:val="00A90374"/>
    <w:rsid w:val="00A90478"/>
    <w:rsid w:val="00A91697"/>
    <w:rsid w:val="00A92623"/>
    <w:rsid w:val="00A93C5E"/>
    <w:rsid w:val="00A958B1"/>
    <w:rsid w:val="00A96DB3"/>
    <w:rsid w:val="00A970D6"/>
    <w:rsid w:val="00A972B8"/>
    <w:rsid w:val="00A973ED"/>
    <w:rsid w:val="00A97419"/>
    <w:rsid w:val="00A976AC"/>
    <w:rsid w:val="00A97C66"/>
    <w:rsid w:val="00AA0EBF"/>
    <w:rsid w:val="00AA2E77"/>
    <w:rsid w:val="00AA39E2"/>
    <w:rsid w:val="00AB0D8F"/>
    <w:rsid w:val="00AB22FD"/>
    <w:rsid w:val="00AB2CC4"/>
    <w:rsid w:val="00AB3E9A"/>
    <w:rsid w:val="00AB4185"/>
    <w:rsid w:val="00AB41BE"/>
    <w:rsid w:val="00AB6847"/>
    <w:rsid w:val="00AC073C"/>
    <w:rsid w:val="00AC16E1"/>
    <w:rsid w:val="00AC1B98"/>
    <w:rsid w:val="00AC24AD"/>
    <w:rsid w:val="00AC3736"/>
    <w:rsid w:val="00AC6493"/>
    <w:rsid w:val="00AC6B7F"/>
    <w:rsid w:val="00AD3135"/>
    <w:rsid w:val="00AD4175"/>
    <w:rsid w:val="00AD5657"/>
    <w:rsid w:val="00AD5936"/>
    <w:rsid w:val="00AD6B7E"/>
    <w:rsid w:val="00AE0B89"/>
    <w:rsid w:val="00AE0D58"/>
    <w:rsid w:val="00AE2DEC"/>
    <w:rsid w:val="00AE60F0"/>
    <w:rsid w:val="00AE6CD8"/>
    <w:rsid w:val="00AF01C4"/>
    <w:rsid w:val="00AF07CA"/>
    <w:rsid w:val="00AF12F1"/>
    <w:rsid w:val="00AF211C"/>
    <w:rsid w:val="00AF21EF"/>
    <w:rsid w:val="00AF47E5"/>
    <w:rsid w:val="00AF5C87"/>
    <w:rsid w:val="00AF5E0B"/>
    <w:rsid w:val="00AF644B"/>
    <w:rsid w:val="00AF7E20"/>
    <w:rsid w:val="00B001EB"/>
    <w:rsid w:val="00B00380"/>
    <w:rsid w:val="00B037BF"/>
    <w:rsid w:val="00B044EE"/>
    <w:rsid w:val="00B049EA"/>
    <w:rsid w:val="00B0555F"/>
    <w:rsid w:val="00B0625D"/>
    <w:rsid w:val="00B070B4"/>
    <w:rsid w:val="00B07EFE"/>
    <w:rsid w:val="00B11902"/>
    <w:rsid w:val="00B12A35"/>
    <w:rsid w:val="00B131A0"/>
    <w:rsid w:val="00B1441B"/>
    <w:rsid w:val="00B14BD2"/>
    <w:rsid w:val="00B20B2A"/>
    <w:rsid w:val="00B222EB"/>
    <w:rsid w:val="00B23A56"/>
    <w:rsid w:val="00B24076"/>
    <w:rsid w:val="00B2596D"/>
    <w:rsid w:val="00B26155"/>
    <w:rsid w:val="00B26F7F"/>
    <w:rsid w:val="00B27A95"/>
    <w:rsid w:val="00B27A97"/>
    <w:rsid w:val="00B31417"/>
    <w:rsid w:val="00B31AFD"/>
    <w:rsid w:val="00B32585"/>
    <w:rsid w:val="00B32C24"/>
    <w:rsid w:val="00B333C8"/>
    <w:rsid w:val="00B34752"/>
    <w:rsid w:val="00B34926"/>
    <w:rsid w:val="00B36058"/>
    <w:rsid w:val="00B36953"/>
    <w:rsid w:val="00B40958"/>
    <w:rsid w:val="00B40F48"/>
    <w:rsid w:val="00B41124"/>
    <w:rsid w:val="00B41EAD"/>
    <w:rsid w:val="00B42C0A"/>
    <w:rsid w:val="00B440E1"/>
    <w:rsid w:val="00B44923"/>
    <w:rsid w:val="00B47168"/>
    <w:rsid w:val="00B475D4"/>
    <w:rsid w:val="00B47F66"/>
    <w:rsid w:val="00B51FD4"/>
    <w:rsid w:val="00B52E7E"/>
    <w:rsid w:val="00B53555"/>
    <w:rsid w:val="00B562EB"/>
    <w:rsid w:val="00B563BE"/>
    <w:rsid w:val="00B56D62"/>
    <w:rsid w:val="00B57059"/>
    <w:rsid w:val="00B60B70"/>
    <w:rsid w:val="00B60F3E"/>
    <w:rsid w:val="00B62831"/>
    <w:rsid w:val="00B63992"/>
    <w:rsid w:val="00B641F2"/>
    <w:rsid w:val="00B65197"/>
    <w:rsid w:val="00B6685F"/>
    <w:rsid w:val="00B668D7"/>
    <w:rsid w:val="00B678E8"/>
    <w:rsid w:val="00B70F7F"/>
    <w:rsid w:val="00B71479"/>
    <w:rsid w:val="00B72288"/>
    <w:rsid w:val="00B73091"/>
    <w:rsid w:val="00B73BFA"/>
    <w:rsid w:val="00B74003"/>
    <w:rsid w:val="00B75AA3"/>
    <w:rsid w:val="00B76638"/>
    <w:rsid w:val="00B81665"/>
    <w:rsid w:val="00B81692"/>
    <w:rsid w:val="00B8193D"/>
    <w:rsid w:val="00B81B73"/>
    <w:rsid w:val="00B8268E"/>
    <w:rsid w:val="00B82BE2"/>
    <w:rsid w:val="00B83243"/>
    <w:rsid w:val="00B84CB6"/>
    <w:rsid w:val="00B8717D"/>
    <w:rsid w:val="00B873C3"/>
    <w:rsid w:val="00B87E5A"/>
    <w:rsid w:val="00B902C3"/>
    <w:rsid w:val="00B9070E"/>
    <w:rsid w:val="00B92A16"/>
    <w:rsid w:val="00B92FE9"/>
    <w:rsid w:val="00B92FFA"/>
    <w:rsid w:val="00B93605"/>
    <w:rsid w:val="00B95F79"/>
    <w:rsid w:val="00B9659A"/>
    <w:rsid w:val="00BA0A3C"/>
    <w:rsid w:val="00BA1D89"/>
    <w:rsid w:val="00BA2BBC"/>
    <w:rsid w:val="00BA44F6"/>
    <w:rsid w:val="00BA5697"/>
    <w:rsid w:val="00BA5925"/>
    <w:rsid w:val="00BA750B"/>
    <w:rsid w:val="00BB3C54"/>
    <w:rsid w:val="00BB409B"/>
    <w:rsid w:val="00BB4C3A"/>
    <w:rsid w:val="00BB5094"/>
    <w:rsid w:val="00BB5E89"/>
    <w:rsid w:val="00BB6342"/>
    <w:rsid w:val="00BC0DAE"/>
    <w:rsid w:val="00BC337C"/>
    <w:rsid w:val="00BC3D9D"/>
    <w:rsid w:val="00BC4172"/>
    <w:rsid w:val="00BC423B"/>
    <w:rsid w:val="00BC5E27"/>
    <w:rsid w:val="00BC6C9E"/>
    <w:rsid w:val="00BC78AE"/>
    <w:rsid w:val="00BD0E17"/>
    <w:rsid w:val="00BD55AD"/>
    <w:rsid w:val="00BD5C03"/>
    <w:rsid w:val="00BD65D8"/>
    <w:rsid w:val="00BD6F66"/>
    <w:rsid w:val="00BD7673"/>
    <w:rsid w:val="00BD7ECB"/>
    <w:rsid w:val="00BE03A7"/>
    <w:rsid w:val="00BE08BF"/>
    <w:rsid w:val="00BE0B56"/>
    <w:rsid w:val="00BE12AA"/>
    <w:rsid w:val="00BE14AD"/>
    <w:rsid w:val="00BE2059"/>
    <w:rsid w:val="00BE2137"/>
    <w:rsid w:val="00BE2774"/>
    <w:rsid w:val="00BE3023"/>
    <w:rsid w:val="00BE3C63"/>
    <w:rsid w:val="00BE60D5"/>
    <w:rsid w:val="00BE7329"/>
    <w:rsid w:val="00BF0CF2"/>
    <w:rsid w:val="00BF1CA6"/>
    <w:rsid w:val="00BF435F"/>
    <w:rsid w:val="00BF444B"/>
    <w:rsid w:val="00BF6246"/>
    <w:rsid w:val="00BF6B7A"/>
    <w:rsid w:val="00C004CB"/>
    <w:rsid w:val="00C00FF0"/>
    <w:rsid w:val="00C01803"/>
    <w:rsid w:val="00C023E7"/>
    <w:rsid w:val="00C024D5"/>
    <w:rsid w:val="00C03BEB"/>
    <w:rsid w:val="00C0414B"/>
    <w:rsid w:val="00C0440D"/>
    <w:rsid w:val="00C04461"/>
    <w:rsid w:val="00C04C64"/>
    <w:rsid w:val="00C078CC"/>
    <w:rsid w:val="00C11E33"/>
    <w:rsid w:val="00C12244"/>
    <w:rsid w:val="00C130A8"/>
    <w:rsid w:val="00C14D4C"/>
    <w:rsid w:val="00C22749"/>
    <w:rsid w:val="00C26A66"/>
    <w:rsid w:val="00C26E6D"/>
    <w:rsid w:val="00C31C0F"/>
    <w:rsid w:val="00C32F55"/>
    <w:rsid w:val="00C341CD"/>
    <w:rsid w:val="00C3454E"/>
    <w:rsid w:val="00C34A49"/>
    <w:rsid w:val="00C35780"/>
    <w:rsid w:val="00C3700B"/>
    <w:rsid w:val="00C40781"/>
    <w:rsid w:val="00C40D28"/>
    <w:rsid w:val="00C434D1"/>
    <w:rsid w:val="00C43795"/>
    <w:rsid w:val="00C44657"/>
    <w:rsid w:val="00C44F53"/>
    <w:rsid w:val="00C45BC2"/>
    <w:rsid w:val="00C50462"/>
    <w:rsid w:val="00C5163A"/>
    <w:rsid w:val="00C518BE"/>
    <w:rsid w:val="00C523FF"/>
    <w:rsid w:val="00C56F01"/>
    <w:rsid w:val="00C62001"/>
    <w:rsid w:val="00C63713"/>
    <w:rsid w:val="00C63EFB"/>
    <w:rsid w:val="00C6639F"/>
    <w:rsid w:val="00C66CFD"/>
    <w:rsid w:val="00C674B3"/>
    <w:rsid w:val="00C67A7F"/>
    <w:rsid w:val="00C67C4A"/>
    <w:rsid w:val="00C70137"/>
    <w:rsid w:val="00C70167"/>
    <w:rsid w:val="00C7051B"/>
    <w:rsid w:val="00C70557"/>
    <w:rsid w:val="00C72DA4"/>
    <w:rsid w:val="00C7459D"/>
    <w:rsid w:val="00C745ED"/>
    <w:rsid w:val="00C74C26"/>
    <w:rsid w:val="00C750C2"/>
    <w:rsid w:val="00C75B0F"/>
    <w:rsid w:val="00C80CD1"/>
    <w:rsid w:val="00C82DE9"/>
    <w:rsid w:val="00C82F2D"/>
    <w:rsid w:val="00C85009"/>
    <w:rsid w:val="00C8503C"/>
    <w:rsid w:val="00C858C2"/>
    <w:rsid w:val="00C8719C"/>
    <w:rsid w:val="00C93035"/>
    <w:rsid w:val="00C94257"/>
    <w:rsid w:val="00C95426"/>
    <w:rsid w:val="00C97329"/>
    <w:rsid w:val="00CA3CDE"/>
    <w:rsid w:val="00CA6C67"/>
    <w:rsid w:val="00CB0BD7"/>
    <w:rsid w:val="00CB0D6C"/>
    <w:rsid w:val="00CB2F0B"/>
    <w:rsid w:val="00CB6856"/>
    <w:rsid w:val="00CC1B0D"/>
    <w:rsid w:val="00CC2E3D"/>
    <w:rsid w:val="00CC38BA"/>
    <w:rsid w:val="00CC4307"/>
    <w:rsid w:val="00CC7604"/>
    <w:rsid w:val="00CD0A9B"/>
    <w:rsid w:val="00CD157D"/>
    <w:rsid w:val="00CD29BF"/>
    <w:rsid w:val="00CD3973"/>
    <w:rsid w:val="00CD43FD"/>
    <w:rsid w:val="00CD4651"/>
    <w:rsid w:val="00CD4BE5"/>
    <w:rsid w:val="00CD7C1C"/>
    <w:rsid w:val="00CE0638"/>
    <w:rsid w:val="00CE3671"/>
    <w:rsid w:val="00CE48FE"/>
    <w:rsid w:val="00CE605F"/>
    <w:rsid w:val="00CE7F1A"/>
    <w:rsid w:val="00CF11CD"/>
    <w:rsid w:val="00CF3496"/>
    <w:rsid w:val="00CF42D1"/>
    <w:rsid w:val="00CF7C22"/>
    <w:rsid w:val="00D01B9D"/>
    <w:rsid w:val="00D01C21"/>
    <w:rsid w:val="00D02290"/>
    <w:rsid w:val="00D02EB4"/>
    <w:rsid w:val="00D03885"/>
    <w:rsid w:val="00D04E32"/>
    <w:rsid w:val="00D073C2"/>
    <w:rsid w:val="00D10B74"/>
    <w:rsid w:val="00D120A4"/>
    <w:rsid w:val="00D12CC8"/>
    <w:rsid w:val="00D13688"/>
    <w:rsid w:val="00D1473F"/>
    <w:rsid w:val="00D15956"/>
    <w:rsid w:val="00D17DBB"/>
    <w:rsid w:val="00D23665"/>
    <w:rsid w:val="00D236D6"/>
    <w:rsid w:val="00D24FE9"/>
    <w:rsid w:val="00D2539C"/>
    <w:rsid w:val="00D270FA"/>
    <w:rsid w:val="00D32D4F"/>
    <w:rsid w:val="00D3340B"/>
    <w:rsid w:val="00D335AA"/>
    <w:rsid w:val="00D357C5"/>
    <w:rsid w:val="00D375F3"/>
    <w:rsid w:val="00D3783E"/>
    <w:rsid w:val="00D37CA8"/>
    <w:rsid w:val="00D41F61"/>
    <w:rsid w:val="00D42F81"/>
    <w:rsid w:val="00D438BC"/>
    <w:rsid w:val="00D443A0"/>
    <w:rsid w:val="00D4514E"/>
    <w:rsid w:val="00D46EF8"/>
    <w:rsid w:val="00D478C2"/>
    <w:rsid w:val="00D50775"/>
    <w:rsid w:val="00D50A9D"/>
    <w:rsid w:val="00D50EC9"/>
    <w:rsid w:val="00D51866"/>
    <w:rsid w:val="00D51BF2"/>
    <w:rsid w:val="00D52A1B"/>
    <w:rsid w:val="00D52F5A"/>
    <w:rsid w:val="00D5463B"/>
    <w:rsid w:val="00D5776D"/>
    <w:rsid w:val="00D57AE7"/>
    <w:rsid w:val="00D60364"/>
    <w:rsid w:val="00D64EF3"/>
    <w:rsid w:val="00D67A4A"/>
    <w:rsid w:val="00D67F95"/>
    <w:rsid w:val="00D72D2B"/>
    <w:rsid w:val="00D73593"/>
    <w:rsid w:val="00D73F44"/>
    <w:rsid w:val="00D74505"/>
    <w:rsid w:val="00D750D8"/>
    <w:rsid w:val="00D7588D"/>
    <w:rsid w:val="00D76AA9"/>
    <w:rsid w:val="00D76D77"/>
    <w:rsid w:val="00D76E6F"/>
    <w:rsid w:val="00D77D51"/>
    <w:rsid w:val="00D817F5"/>
    <w:rsid w:val="00D81AF9"/>
    <w:rsid w:val="00D846C7"/>
    <w:rsid w:val="00D858E0"/>
    <w:rsid w:val="00D90968"/>
    <w:rsid w:val="00D91830"/>
    <w:rsid w:val="00D919EC"/>
    <w:rsid w:val="00D91F32"/>
    <w:rsid w:val="00D92EE6"/>
    <w:rsid w:val="00D932D7"/>
    <w:rsid w:val="00D937E5"/>
    <w:rsid w:val="00D93E80"/>
    <w:rsid w:val="00D94598"/>
    <w:rsid w:val="00D96B70"/>
    <w:rsid w:val="00D97012"/>
    <w:rsid w:val="00DA13D4"/>
    <w:rsid w:val="00DA1524"/>
    <w:rsid w:val="00DA4775"/>
    <w:rsid w:val="00DA6F87"/>
    <w:rsid w:val="00DA74B9"/>
    <w:rsid w:val="00DB387A"/>
    <w:rsid w:val="00DB4DB7"/>
    <w:rsid w:val="00DB5AF6"/>
    <w:rsid w:val="00DB5E3C"/>
    <w:rsid w:val="00DB6FDB"/>
    <w:rsid w:val="00DC271D"/>
    <w:rsid w:val="00DC3967"/>
    <w:rsid w:val="00DC445D"/>
    <w:rsid w:val="00DC4A3E"/>
    <w:rsid w:val="00DC5CE0"/>
    <w:rsid w:val="00DC66E4"/>
    <w:rsid w:val="00DD222A"/>
    <w:rsid w:val="00DD263A"/>
    <w:rsid w:val="00DD2F0C"/>
    <w:rsid w:val="00DD3216"/>
    <w:rsid w:val="00DD3BB2"/>
    <w:rsid w:val="00DD3E3A"/>
    <w:rsid w:val="00DD3E85"/>
    <w:rsid w:val="00DE0ACF"/>
    <w:rsid w:val="00DE2058"/>
    <w:rsid w:val="00DE229A"/>
    <w:rsid w:val="00DE6079"/>
    <w:rsid w:val="00DE6F2C"/>
    <w:rsid w:val="00DE6F62"/>
    <w:rsid w:val="00DF17B0"/>
    <w:rsid w:val="00DF296F"/>
    <w:rsid w:val="00DF2E94"/>
    <w:rsid w:val="00DF2F5B"/>
    <w:rsid w:val="00DF37AF"/>
    <w:rsid w:val="00DF7AE1"/>
    <w:rsid w:val="00E0300B"/>
    <w:rsid w:val="00E03F83"/>
    <w:rsid w:val="00E05214"/>
    <w:rsid w:val="00E053DE"/>
    <w:rsid w:val="00E0577E"/>
    <w:rsid w:val="00E05786"/>
    <w:rsid w:val="00E064D4"/>
    <w:rsid w:val="00E0688D"/>
    <w:rsid w:val="00E07C0E"/>
    <w:rsid w:val="00E10D3E"/>
    <w:rsid w:val="00E1188C"/>
    <w:rsid w:val="00E12469"/>
    <w:rsid w:val="00E126CF"/>
    <w:rsid w:val="00E126F7"/>
    <w:rsid w:val="00E13EFB"/>
    <w:rsid w:val="00E14C91"/>
    <w:rsid w:val="00E14E8B"/>
    <w:rsid w:val="00E17F0F"/>
    <w:rsid w:val="00E21210"/>
    <w:rsid w:val="00E220A3"/>
    <w:rsid w:val="00E224CF"/>
    <w:rsid w:val="00E23EE8"/>
    <w:rsid w:val="00E25BC8"/>
    <w:rsid w:val="00E27F87"/>
    <w:rsid w:val="00E3325F"/>
    <w:rsid w:val="00E34CDC"/>
    <w:rsid w:val="00E35C56"/>
    <w:rsid w:val="00E36185"/>
    <w:rsid w:val="00E367B4"/>
    <w:rsid w:val="00E3684E"/>
    <w:rsid w:val="00E36D29"/>
    <w:rsid w:val="00E37586"/>
    <w:rsid w:val="00E40250"/>
    <w:rsid w:val="00E402C9"/>
    <w:rsid w:val="00E40DB6"/>
    <w:rsid w:val="00E44E2E"/>
    <w:rsid w:val="00E4500F"/>
    <w:rsid w:val="00E47476"/>
    <w:rsid w:val="00E476CA"/>
    <w:rsid w:val="00E5071F"/>
    <w:rsid w:val="00E50D37"/>
    <w:rsid w:val="00E50FB6"/>
    <w:rsid w:val="00E51F72"/>
    <w:rsid w:val="00E532E3"/>
    <w:rsid w:val="00E54888"/>
    <w:rsid w:val="00E553CB"/>
    <w:rsid w:val="00E55A1A"/>
    <w:rsid w:val="00E561E7"/>
    <w:rsid w:val="00E57276"/>
    <w:rsid w:val="00E57861"/>
    <w:rsid w:val="00E57B6B"/>
    <w:rsid w:val="00E60A05"/>
    <w:rsid w:val="00E60C73"/>
    <w:rsid w:val="00E61808"/>
    <w:rsid w:val="00E61B31"/>
    <w:rsid w:val="00E61F68"/>
    <w:rsid w:val="00E62308"/>
    <w:rsid w:val="00E656B0"/>
    <w:rsid w:val="00E66CD0"/>
    <w:rsid w:val="00E66E1D"/>
    <w:rsid w:val="00E7004A"/>
    <w:rsid w:val="00E704FB"/>
    <w:rsid w:val="00E70811"/>
    <w:rsid w:val="00E708C9"/>
    <w:rsid w:val="00E7115B"/>
    <w:rsid w:val="00E7218C"/>
    <w:rsid w:val="00E72DCD"/>
    <w:rsid w:val="00E7350F"/>
    <w:rsid w:val="00E737B6"/>
    <w:rsid w:val="00E73CDE"/>
    <w:rsid w:val="00E74AAA"/>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B4B"/>
    <w:rsid w:val="00EA2DAF"/>
    <w:rsid w:val="00EA37D6"/>
    <w:rsid w:val="00EA4C37"/>
    <w:rsid w:val="00EA50EE"/>
    <w:rsid w:val="00EB03B3"/>
    <w:rsid w:val="00EB0BE3"/>
    <w:rsid w:val="00EB23CD"/>
    <w:rsid w:val="00EB5BAB"/>
    <w:rsid w:val="00EB6121"/>
    <w:rsid w:val="00EB6E14"/>
    <w:rsid w:val="00EC0160"/>
    <w:rsid w:val="00EC08D5"/>
    <w:rsid w:val="00EC10BB"/>
    <w:rsid w:val="00ED0187"/>
    <w:rsid w:val="00ED0A21"/>
    <w:rsid w:val="00ED33BE"/>
    <w:rsid w:val="00ED3787"/>
    <w:rsid w:val="00ED6325"/>
    <w:rsid w:val="00ED65C7"/>
    <w:rsid w:val="00ED6914"/>
    <w:rsid w:val="00ED6F42"/>
    <w:rsid w:val="00ED761D"/>
    <w:rsid w:val="00EE2647"/>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BAF"/>
    <w:rsid w:val="00F0382C"/>
    <w:rsid w:val="00F0586A"/>
    <w:rsid w:val="00F07D01"/>
    <w:rsid w:val="00F120CC"/>
    <w:rsid w:val="00F12EE5"/>
    <w:rsid w:val="00F12F6E"/>
    <w:rsid w:val="00F143B6"/>
    <w:rsid w:val="00F148B5"/>
    <w:rsid w:val="00F14E92"/>
    <w:rsid w:val="00F16F64"/>
    <w:rsid w:val="00F172E9"/>
    <w:rsid w:val="00F175F6"/>
    <w:rsid w:val="00F20633"/>
    <w:rsid w:val="00F20DDB"/>
    <w:rsid w:val="00F213EE"/>
    <w:rsid w:val="00F2326B"/>
    <w:rsid w:val="00F26B40"/>
    <w:rsid w:val="00F30403"/>
    <w:rsid w:val="00F30CEB"/>
    <w:rsid w:val="00F313B8"/>
    <w:rsid w:val="00F35519"/>
    <w:rsid w:val="00F3611E"/>
    <w:rsid w:val="00F37293"/>
    <w:rsid w:val="00F37B6A"/>
    <w:rsid w:val="00F4249D"/>
    <w:rsid w:val="00F42A16"/>
    <w:rsid w:val="00F42E81"/>
    <w:rsid w:val="00F4409B"/>
    <w:rsid w:val="00F45A77"/>
    <w:rsid w:val="00F47F7C"/>
    <w:rsid w:val="00F52B65"/>
    <w:rsid w:val="00F5422D"/>
    <w:rsid w:val="00F552B1"/>
    <w:rsid w:val="00F55A4D"/>
    <w:rsid w:val="00F56563"/>
    <w:rsid w:val="00F62939"/>
    <w:rsid w:val="00F62FE1"/>
    <w:rsid w:val="00F6478A"/>
    <w:rsid w:val="00F65890"/>
    <w:rsid w:val="00F65DF1"/>
    <w:rsid w:val="00F66E7D"/>
    <w:rsid w:val="00F7003B"/>
    <w:rsid w:val="00F70625"/>
    <w:rsid w:val="00F71335"/>
    <w:rsid w:val="00F72433"/>
    <w:rsid w:val="00F7271C"/>
    <w:rsid w:val="00F72B26"/>
    <w:rsid w:val="00F72B72"/>
    <w:rsid w:val="00F7309A"/>
    <w:rsid w:val="00F737D5"/>
    <w:rsid w:val="00F75D60"/>
    <w:rsid w:val="00F7641A"/>
    <w:rsid w:val="00F7730D"/>
    <w:rsid w:val="00F81A97"/>
    <w:rsid w:val="00F826AE"/>
    <w:rsid w:val="00F829DA"/>
    <w:rsid w:val="00F85375"/>
    <w:rsid w:val="00F855B6"/>
    <w:rsid w:val="00F92C17"/>
    <w:rsid w:val="00F93084"/>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C1AB4"/>
    <w:rsid w:val="00FC222E"/>
    <w:rsid w:val="00FC2FF5"/>
    <w:rsid w:val="00FC32C8"/>
    <w:rsid w:val="00FC3586"/>
    <w:rsid w:val="00FD0C1D"/>
    <w:rsid w:val="00FD5005"/>
    <w:rsid w:val="00FD5DF0"/>
    <w:rsid w:val="00FE27D3"/>
    <w:rsid w:val="00FE590E"/>
    <w:rsid w:val="00FE5FEF"/>
    <w:rsid w:val="00FF1D56"/>
    <w:rsid w:val="00FF361E"/>
    <w:rsid w:val="00FF5295"/>
    <w:rsid w:val="00FF5434"/>
    <w:rsid w:val="00FF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BDE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86C6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tabs>
        <w:tab w:val="clear" w:pos="2844"/>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286C68"/>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286C68"/>
    <w:pPr>
      <w:numPr>
        <w:numId w:val="30"/>
      </w:numPr>
      <w:overflowPunct/>
      <w:autoSpaceDE/>
      <w:autoSpaceDN/>
      <w:adjustRightInd/>
      <w:spacing w:after="200" w:line="276" w:lineRule="auto"/>
      <w:jc w:val="left"/>
      <w:textAlignment w:val="auto"/>
    </w:pPr>
    <w:rPr>
      <w:rFonts w:ascii="Calibri" w:eastAsia="Calibri" w:hAnsi="Calibri"/>
      <w:szCs w:val="22"/>
      <w:lang w:val="en-US" w:eastAsia="en-US"/>
    </w:rPr>
  </w:style>
  <w:style w:type="paragraph" w:styleId="NormalWeb">
    <w:name w:val="Normal (Web)"/>
    <w:basedOn w:val="Normal"/>
    <w:uiPriority w:val="99"/>
    <w:semiHidden/>
    <w:unhideWhenUsed/>
    <w:rsid w:val="004867CB"/>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CRCoverPage">
    <w:name w:val="CR Cover Page"/>
    <w:rsid w:val="00714130"/>
    <w:pPr>
      <w:spacing w:after="120"/>
    </w:pPr>
    <w:rPr>
      <w:rFonts w:ascii="Arial" w:eastAsia="MS Mincho" w:hAnsi="Arial"/>
      <w:lang w:val="en-GB"/>
    </w:rPr>
  </w:style>
  <w:style w:type="table" w:styleId="GridTable1Light-Accent5">
    <w:name w:val="Grid Table 1 Light Accent 5"/>
    <w:basedOn w:val="TableNormal"/>
    <w:uiPriority w:val="46"/>
    <w:rsid w:val="008167E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167E9"/>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637779">
      <w:bodyDiv w:val="1"/>
      <w:marLeft w:val="0"/>
      <w:marRight w:val="0"/>
      <w:marTop w:val="0"/>
      <w:marBottom w:val="0"/>
      <w:divBdr>
        <w:top w:val="none" w:sz="0" w:space="0" w:color="auto"/>
        <w:left w:val="none" w:sz="0" w:space="0" w:color="auto"/>
        <w:bottom w:val="none" w:sz="0" w:space="0" w:color="auto"/>
        <w:right w:val="none" w:sz="0" w:space="0" w:color="auto"/>
      </w:divBdr>
    </w:div>
    <w:div w:id="133837892">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195431400">
      <w:bodyDiv w:val="1"/>
      <w:marLeft w:val="0"/>
      <w:marRight w:val="0"/>
      <w:marTop w:val="0"/>
      <w:marBottom w:val="0"/>
      <w:divBdr>
        <w:top w:val="none" w:sz="0" w:space="0" w:color="auto"/>
        <w:left w:val="none" w:sz="0" w:space="0" w:color="auto"/>
        <w:bottom w:val="none" w:sz="0" w:space="0" w:color="auto"/>
        <w:right w:val="none" w:sz="0" w:space="0" w:color="auto"/>
      </w:divBdr>
    </w:div>
    <w:div w:id="244539600">
      <w:bodyDiv w:val="1"/>
      <w:marLeft w:val="0"/>
      <w:marRight w:val="0"/>
      <w:marTop w:val="0"/>
      <w:marBottom w:val="0"/>
      <w:divBdr>
        <w:top w:val="none" w:sz="0" w:space="0" w:color="auto"/>
        <w:left w:val="none" w:sz="0" w:space="0" w:color="auto"/>
        <w:bottom w:val="none" w:sz="0" w:space="0" w:color="auto"/>
        <w:right w:val="none" w:sz="0" w:space="0" w:color="auto"/>
      </w:divBdr>
    </w:div>
    <w:div w:id="458837288">
      <w:bodyDiv w:val="1"/>
      <w:marLeft w:val="0"/>
      <w:marRight w:val="0"/>
      <w:marTop w:val="0"/>
      <w:marBottom w:val="0"/>
      <w:divBdr>
        <w:top w:val="none" w:sz="0" w:space="0" w:color="auto"/>
        <w:left w:val="none" w:sz="0" w:space="0" w:color="auto"/>
        <w:bottom w:val="none" w:sz="0" w:space="0" w:color="auto"/>
        <w:right w:val="none" w:sz="0" w:space="0" w:color="auto"/>
      </w:divBdr>
      <w:divsChild>
        <w:div w:id="49816479">
          <w:marLeft w:val="144"/>
          <w:marRight w:val="0"/>
          <w:marTop w:val="0"/>
          <w:marBottom w:val="120"/>
          <w:divBdr>
            <w:top w:val="none" w:sz="0" w:space="0" w:color="auto"/>
            <w:left w:val="none" w:sz="0" w:space="0" w:color="auto"/>
            <w:bottom w:val="none" w:sz="0" w:space="0" w:color="auto"/>
            <w:right w:val="none" w:sz="0" w:space="0" w:color="auto"/>
          </w:divBdr>
        </w:div>
        <w:div w:id="607932479">
          <w:marLeft w:val="144"/>
          <w:marRight w:val="0"/>
          <w:marTop w:val="0"/>
          <w:marBottom w:val="120"/>
          <w:divBdr>
            <w:top w:val="none" w:sz="0" w:space="0" w:color="auto"/>
            <w:left w:val="none" w:sz="0" w:space="0" w:color="auto"/>
            <w:bottom w:val="none" w:sz="0" w:space="0" w:color="auto"/>
            <w:right w:val="none" w:sz="0" w:space="0" w:color="auto"/>
          </w:divBdr>
        </w:div>
        <w:div w:id="1214850234">
          <w:marLeft w:val="144"/>
          <w:marRight w:val="0"/>
          <w:marTop w:val="0"/>
          <w:marBottom w:val="120"/>
          <w:divBdr>
            <w:top w:val="none" w:sz="0" w:space="0" w:color="auto"/>
            <w:left w:val="none" w:sz="0" w:space="0" w:color="auto"/>
            <w:bottom w:val="none" w:sz="0" w:space="0" w:color="auto"/>
            <w:right w:val="none" w:sz="0" w:space="0" w:color="auto"/>
          </w:divBdr>
        </w:div>
        <w:div w:id="1259414254">
          <w:marLeft w:val="144"/>
          <w:marRight w:val="0"/>
          <w:marTop w:val="0"/>
          <w:marBottom w:val="12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39274462">
      <w:bodyDiv w:val="1"/>
      <w:marLeft w:val="0"/>
      <w:marRight w:val="0"/>
      <w:marTop w:val="0"/>
      <w:marBottom w:val="0"/>
      <w:divBdr>
        <w:top w:val="none" w:sz="0" w:space="0" w:color="auto"/>
        <w:left w:val="none" w:sz="0" w:space="0" w:color="auto"/>
        <w:bottom w:val="none" w:sz="0" w:space="0" w:color="auto"/>
        <w:right w:val="none" w:sz="0" w:space="0" w:color="auto"/>
      </w:divBdr>
    </w:div>
    <w:div w:id="892347259">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00353799">
      <w:bodyDiv w:val="1"/>
      <w:marLeft w:val="0"/>
      <w:marRight w:val="0"/>
      <w:marTop w:val="0"/>
      <w:marBottom w:val="0"/>
      <w:divBdr>
        <w:top w:val="none" w:sz="0" w:space="0" w:color="auto"/>
        <w:left w:val="none" w:sz="0" w:space="0" w:color="auto"/>
        <w:bottom w:val="none" w:sz="0" w:space="0" w:color="auto"/>
        <w:right w:val="none" w:sz="0" w:space="0" w:color="auto"/>
      </w:divBdr>
    </w:div>
    <w:div w:id="1146698580">
      <w:bodyDiv w:val="1"/>
      <w:marLeft w:val="0"/>
      <w:marRight w:val="0"/>
      <w:marTop w:val="0"/>
      <w:marBottom w:val="0"/>
      <w:divBdr>
        <w:top w:val="none" w:sz="0" w:space="0" w:color="auto"/>
        <w:left w:val="none" w:sz="0" w:space="0" w:color="auto"/>
        <w:bottom w:val="none" w:sz="0" w:space="0" w:color="auto"/>
        <w:right w:val="none" w:sz="0" w:space="0" w:color="auto"/>
      </w:divBdr>
    </w:div>
    <w:div w:id="1174078556">
      <w:bodyDiv w:val="1"/>
      <w:marLeft w:val="0"/>
      <w:marRight w:val="0"/>
      <w:marTop w:val="0"/>
      <w:marBottom w:val="0"/>
      <w:divBdr>
        <w:top w:val="none" w:sz="0" w:space="0" w:color="auto"/>
        <w:left w:val="none" w:sz="0" w:space="0" w:color="auto"/>
        <w:bottom w:val="none" w:sz="0" w:space="0" w:color="auto"/>
        <w:right w:val="none" w:sz="0" w:space="0" w:color="auto"/>
      </w:divBdr>
      <w:divsChild>
        <w:div w:id="2123576419">
          <w:marLeft w:val="360"/>
          <w:marRight w:val="0"/>
          <w:marTop w:val="0"/>
          <w:marBottom w:val="120"/>
          <w:divBdr>
            <w:top w:val="none" w:sz="0" w:space="0" w:color="auto"/>
            <w:left w:val="none" w:sz="0" w:space="0" w:color="auto"/>
            <w:bottom w:val="none" w:sz="0" w:space="0" w:color="auto"/>
            <w:right w:val="none" w:sz="0" w:space="0" w:color="auto"/>
          </w:divBdr>
        </w:div>
      </w:divsChild>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44534844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37646552">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6FF88-CC9B-4C72-B2C7-1631437B8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1604</Words>
  <Characters>9148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2015-11-06T14:13:00Z</dcterms:created>
  <dcterms:modified xsi:type="dcterms:W3CDTF">2015-11-06T14:13:00Z</dcterms:modified>
</cp:coreProperties>
</file>