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261" w:rsidRPr="004F7D4C" w:rsidRDefault="00561261" w:rsidP="00561261">
      <w:pPr>
        <w:pStyle w:val="FootnoteText"/>
        <w:tabs>
          <w:tab w:val="left" w:pos="8222"/>
        </w:tabs>
        <w:rPr>
          <w:rFonts w:ascii="Arial" w:eastAsia="Times New Roman" w:hAnsi="Arial" w:cs="Arial"/>
          <w:b/>
          <w:bCs/>
          <w:noProof/>
          <w:szCs w:val="18"/>
          <w:lang w:eastAsia="zh-CN"/>
        </w:rPr>
      </w:pPr>
      <w:bookmarkStart w:id="0" w:name="_Ref298777854"/>
      <w:bookmarkStart w:id="1" w:name="OLE_LINK1"/>
      <w:bookmarkStart w:id="2" w:name="OLE_LINK2"/>
      <w:bookmarkStart w:id="3" w:name="_GoBack"/>
      <w:bookmarkEnd w:id="3"/>
      <w:r>
        <w:rPr>
          <w:rFonts w:ascii="Arial" w:eastAsia="Times New Roman" w:hAnsi="Arial" w:cs="Arial"/>
          <w:b/>
          <w:bCs/>
          <w:noProof/>
          <w:szCs w:val="18"/>
          <w:lang w:eastAsia="zh-CN"/>
        </w:rPr>
        <w:t>3GPP TSG RAN WG1 Meeting #8</w:t>
      </w:r>
      <w:r w:rsidR="00094536">
        <w:rPr>
          <w:rFonts w:ascii="Arial" w:eastAsia="Times New Roman" w:hAnsi="Arial" w:cs="Arial"/>
          <w:b/>
          <w:bCs/>
          <w:noProof/>
          <w:szCs w:val="18"/>
          <w:lang w:eastAsia="zh-CN"/>
        </w:rPr>
        <w:t>2</w:t>
      </w:r>
      <w:r>
        <w:rPr>
          <w:rFonts w:ascii="Arial" w:eastAsia="Times New Roman" w:hAnsi="Arial" w:cs="Arial"/>
          <w:b/>
          <w:bCs/>
          <w:noProof/>
          <w:szCs w:val="18"/>
          <w:lang w:eastAsia="zh-CN"/>
        </w:rPr>
        <w:t xml:space="preserve">                                                                                     </w:t>
      </w:r>
      <w:r w:rsidR="00832DEF">
        <w:rPr>
          <w:rFonts w:ascii="Arial" w:eastAsia="Times New Roman" w:hAnsi="Arial" w:cs="Arial"/>
          <w:b/>
          <w:bCs/>
          <w:noProof/>
          <w:szCs w:val="18"/>
          <w:lang w:eastAsia="zh-CN"/>
        </w:rPr>
        <w:t xml:space="preserve">    </w:t>
      </w:r>
      <w:r w:rsidR="00832DEF">
        <w:rPr>
          <w:rFonts w:ascii="Arial" w:eastAsia="Times New Roman" w:hAnsi="Arial" w:cs="Arial"/>
          <w:b/>
          <w:bCs/>
          <w:noProof/>
          <w:szCs w:val="18"/>
          <w:lang w:eastAsia="zh-CN"/>
        </w:rPr>
        <w:tab/>
        <w:t xml:space="preserve">      </w:t>
      </w:r>
      <w:r>
        <w:rPr>
          <w:rFonts w:ascii="Arial" w:eastAsia="Times New Roman" w:hAnsi="Arial" w:cs="Arial"/>
          <w:b/>
          <w:bCs/>
          <w:noProof/>
          <w:szCs w:val="18"/>
          <w:lang w:eastAsia="zh-CN"/>
        </w:rPr>
        <w:t xml:space="preserve"> </w:t>
      </w:r>
      <w:r w:rsidR="00A14F72" w:rsidRPr="00A14F72">
        <w:rPr>
          <w:rFonts w:ascii="Arial" w:eastAsia="Times New Roman" w:hAnsi="Arial" w:cs="Arial"/>
          <w:b/>
          <w:bCs/>
          <w:noProof/>
          <w:szCs w:val="18"/>
          <w:lang w:eastAsia="zh-CN"/>
        </w:rPr>
        <w:t>R1-154418</w:t>
      </w:r>
    </w:p>
    <w:p w:rsidR="00561261" w:rsidRDefault="00BE1336" w:rsidP="00561261">
      <w:pPr>
        <w:pStyle w:val="TdocHeader2"/>
        <w:rPr>
          <w:rFonts w:eastAsia="Times New Roman" w:cs="Arial"/>
          <w:bCs/>
          <w:noProof/>
          <w:sz w:val="20"/>
          <w:szCs w:val="18"/>
          <w:lang w:val="en-US" w:eastAsia="zh-CN"/>
        </w:rPr>
      </w:pPr>
      <w:r>
        <w:rPr>
          <w:rFonts w:eastAsia="Times New Roman" w:cs="Arial"/>
          <w:bCs/>
          <w:noProof/>
          <w:sz w:val="20"/>
          <w:szCs w:val="18"/>
          <w:lang w:val="en-US" w:eastAsia="zh-CN"/>
        </w:rPr>
        <w:t>Beijing</w:t>
      </w:r>
      <w:r w:rsidR="00561261" w:rsidRPr="003B5FD2">
        <w:rPr>
          <w:rFonts w:eastAsia="Times New Roman" w:cs="Arial"/>
          <w:bCs/>
          <w:noProof/>
          <w:sz w:val="20"/>
          <w:szCs w:val="18"/>
          <w:lang w:val="en-US" w:eastAsia="zh-CN"/>
        </w:rPr>
        <w:t xml:space="preserve">, </w:t>
      </w:r>
      <w:r>
        <w:rPr>
          <w:rFonts w:eastAsia="Times New Roman" w:cs="Arial"/>
          <w:bCs/>
          <w:noProof/>
          <w:sz w:val="20"/>
          <w:szCs w:val="18"/>
          <w:lang w:val="en-US" w:eastAsia="zh-CN"/>
        </w:rPr>
        <w:t>China</w:t>
      </w:r>
      <w:r w:rsidR="00561261" w:rsidRPr="003B5FD2">
        <w:rPr>
          <w:rFonts w:eastAsia="Times New Roman" w:cs="Arial"/>
          <w:bCs/>
          <w:noProof/>
          <w:sz w:val="20"/>
          <w:szCs w:val="18"/>
          <w:lang w:val="en-US" w:eastAsia="zh-CN"/>
        </w:rPr>
        <w:t>, 2</w:t>
      </w:r>
      <w:r>
        <w:rPr>
          <w:rFonts w:eastAsia="Times New Roman" w:cs="Arial"/>
          <w:bCs/>
          <w:noProof/>
          <w:sz w:val="20"/>
          <w:szCs w:val="18"/>
          <w:lang w:val="en-US" w:eastAsia="zh-CN"/>
        </w:rPr>
        <w:t>4</w:t>
      </w:r>
      <w:r w:rsidR="00561261" w:rsidRPr="00892909">
        <w:rPr>
          <w:rFonts w:eastAsia="Times New Roman" w:cs="Arial"/>
          <w:bCs/>
          <w:noProof/>
          <w:sz w:val="20"/>
          <w:szCs w:val="18"/>
          <w:vertAlign w:val="superscript"/>
          <w:lang w:val="en-US" w:eastAsia="zh-CN"/>
        </w:rPr>
        <w:t>th</w:t>
      </w:r>
      <w:r w:rsidR="00892909">
        <w:rPr>
          <w:rFonts w:eastAsia="Times New Roman" w:cs="Arial"/>
          <w:bCs/>
          <w:noProof/>
          <w:sz w:val="20"/>
          <w:szCs w:val="18"/>
          <w:lang w:val="en-US" w:eastAsia="zh-CN"/>
        </w:rPr>
        <w:t xml:space="preserve"> </w:t>
      </w:r>
      <w:r w:rsidR="00561261" w:rsidRPr="003B5FD2">
        <w:rPr>
          <w:rFonts w:eastAsia="Times New Roman" w:cs="Arial"/>
          <w:bCs/>
          <w:noProof/>
          <w:sz w:val="20"/>
          <w:szCs w:val="18"/>
          <w:lang w:val="en-US" w:eastAsia="zh-CN"/>
        </w:rPr>
        <w:t>- 2</w:t>
      </w:r>
      <w:r w:rsidR="00B2295A">
        <w:rPr>
          <w:rFonts w:eastAsia="Times New Roman" w:cs="Arial"/>
          <w:bCs/>
          <w:noProof/>
          <w:sz w:val="20"/>
          <w:szCs w:val="18"/>
          <w:lang w:val="en-US" w:eastAsia="zh-CN"/>
        </w:rPr>
        <w:t>8</w:t>
      </w:r>
      <w:r w:rsidR="00561261" w:rsidRPr="00892909">
        <w:rPr>
          <w:rFonts w:eastAsia="Times New Roman" w:cs="Arial"/>
          <w:bCs/>
          <w:noProof/>
          <w:sz w:val="20"/>
          <w:szCs w:val="18"/>
          <w:vertAlign w:val="superscript"/>
          <w:lang w:val="en-US" w:eastAsia="zh-CN"/>
        </w:rPr>
        <w:t>th</w:t>
      </w:r>
      <w:r w:rsidR="00561261" w:rsidRPr="003B5FD2">
        <w:rPr>
          <w:rFonts w:eastAsia="Times New Roman" w:cs="Arial"/>
          <w:bCs/>
          <w:noProof/>
          <w:sz w:val="20"/>
          <w:szCs w:val="18"/>
          <w:lang w:val="en-US" w:eastAsia="zh-CN"/>
        </w:rPr>
        <w:t xml:space="preserve"> </w:t>
      </w:r>
      <w:r>
        <w:rPr>
          <w:rFonts w:eastAsia="Times New Roman" w:cs="Arial"/>
          <w:bCs/>
          <w:noProof/>
          <w:sz w:val="20"/>
          <w:szCs w:val="18"/>
          <w:lang w:val="en-US" w:eastAsia="zh-CN"/>
        </w:rPr>
        <w:t>August</w:t>
      </w:r>
      <w:r w:rsidRPr="003B5FD2">
        <w:rPr>
          <w:rFonts w:eastAsia="Times New Roman" w:cs="Arial"/>
          <w:bCs/>
          <w:noProof/>
          <w:sz w:val="20"/>
          <w:szCs w:val="18"/>
          <w:lang w:val="en-US" w:eastAsia="zh-CN"/>
        </w:rPr>
        <w:t xml:space="preserve"> </w:t>
      </w:r>
      <w:r w:rsidR="00561261" w:rsidRPr="003B5FD2">
        <w:rPr>
          <w:rFonts w:eastAsia="Times New Roman" w:cs="Arial"/>
          <w:bCs/>
          <w:noProof/>
          <w:sz w:val="20"/>
          <w:szCs w:val="18"/>
          <w:lang w:val="en-US" w:eastAsia="zh-CN"/>
        </w:rPr>
        <w:t>2015</w:t>
      </w:r>
    </w:p>
    <w:p w:rsidR="00561261" w:rsidRDefault="00561261" w:rsidP="00561261">
      <w:pPr>
        <w:pStyle w:val="TdocHeader2"/>
        <w:rPr>
          <w:sz w:val="20"/>
          <w:lang w:val="en-US"/>
        </w:rPr>
      </w:pPr>
    </w:p>
    <w:p w:rsidR="00561261" w:rsidRPr="008979AC" w:rsidRDefault="00561261" w:rsidP="00561261">
      <w:pPr>
        <w:pStyle w:val="TdocHeader2"/>
        <w:rPr>
          <w:sz w:val="20"/>
          <w:lang w:val="en-US"/>
        </w:rPr>
      </w:pPr>
      <w:r w:rsidRPr="008979AC">
        <w:rPr>
          <w:sz w:val="20"/>
          <w:lang w:val="en-US"/>
        </w:rPr>
        <w:t xml:space="preserve">Source: </w:t>
      </w:r>
      <w:r w:rsidRPr="008979AC">
        <w:rPr>
          <w:sz w:val="20"/>
          <w:lang w:val="en-US"/>
        </w:rPr>
        <w:tab/>
        <w:t>Ericsson</w:t>
      </w:r>
    </w:p>
    <w:p w:rsidR="00561261" w:rsidRPr="0027658D" w:rsidRDefault="00561261" w:rsidP="00561261">
      <w:pPr>
        <w:pStyle w:val="TdocHeader2"/>
        <w:rPr>
          <w:sz w:val="20"/>
          <w:lang w:val="en-US"/>
        </w:rPr>
      </w:pPr>
      <w:r w:rsidRPr="008979AC">
        <w:rPr>
          <w:sz w:val="20"/>
          <w:lang w:val="en-US"/>
        </w:rPr>
        <w:t>Title:</w:t>
      </w:r>
      <w:bookmarkStart w:id="4" w:name="Title"/>
      <w:bookmarkEnd w:id="4"/>
      <w:r w:rsidRPr="008979AC">
        <w:rPr>
          <w:sz w:val="20"/>
          <w:lang w:val="en-US"/>
        </w:rPr>
        <w:tab/>
      </w:r>
      <w:bookmarkStart w:id="5" w:name="OLE_LINK3"/>
      <w:bookmarkStart w:id="6" w:name="OLE_LINK4"/>
      <w:r w:rsidR="00D24184" w:rsidRPr="00D24184">
        <w:rPr>
          <w:sz w:val="20"/>
        </w:rPr>
        <w:t>Further consideration on joint grant for up to 32 CCs</w:t>
      </w:r>
      <w:bookmarkEnd w:id="5"/>
      <w:bookmarkEnd w:id="6"/>
    </w:p>
    <w:p w:rsidR="00561261" w:rsidRPr="002D72B0" w:rsidRDefault="00561261" w:rsidP="00561261">
      <w:pPr>
        <w:pStyle w:val="TdocHeader2"/>
        <w:rPr>
          <w:sz w:val="20"/>
          <w:lang w:val="en-US"/>
        </w:rPr>
      </w:pPr>
      <w:r w:rsidRPr="002D72B0">
        <w:rPr>
          <w:sz w:val="20"/>
          <w:lang w:val="en-US"/>
        </w:rPr>
        <w:t>Agenda Item:</w:t>
      </w:r>
      <w:r w:rsidRPr="002D72B0">
        <w:rPr>
          <w:sz w:val="20"/>
          <w:lang w:val="en-US"/>
        </w:rPr>
        <w:tab/>
      </w:r>
      <w:r w:rsidR="00D9640C">
        <w:rPr>
          <w:sz w:val="20"/>
          <w:lang w:val="en-US"/>
        </w:rPr>
        <w:t>7</w:t>
      </w:r>
      <w:r>
        <w:rPr>
          <w:sz w:val="20"/>
          <w:lang w:val="en-US"/>
        </w:rPr>
        <w:t>.2.2.</w:t>
      </w:r>
      <w:r w:rsidR="00494676">
        <w:rPr>
          <w:sz w:val="20"/>
          <w:lang w:val="en-US"/>
        </w:rPr>
        <w:t>2</w:t>
      </w:r>
    </w:p>
    <w:p w:rsidR="00561261" w:rsidRPr="0027658D" w:rsidRDefault="00561261" w:rsidP="00561261">
      <w:pPr>
        <w:pStyle w:val="TdocHeader2"/>
        <w:rPr>
          <w:sz w:val="20"/>
          <w:lang w:val="en-US"/>
        </w:rPr>
      </w:pPr>
      <w:r>
        <w:rPr>
          <w:sz w:val="20"/>
          <w:lang w:val="en-US"/>
        </w:rPr>
        <w:t>Document for:</w:t>
      </w:r>
      <w:r>
        <w:rPr>
          <w:sz w:val="20"/>
          <w:lang w:val="en-US"/>
        </w:rPr>
        <w:tab/>
        <w:t>Discussion and Decision</w:t>
      </w:r>
    </w:p>
    <w:bookmarkEnd w:id="1"/>
    <w:bookmarkEnd w:id="2"/>
    <w:p w:rsidR="00B636C7" w:rsidRPr="00C15E13" w:rsidRDefault="00197EC1" w:rsidP="00C15E13">
      <w:pPr>
        <w:pStyle w:val="Heading1"/>
      </w:pPr>
      <w:r w:rsidRPr="004D0743">
        <w:t>Introduction</w:t>
      </w:r>
      <w:bookmarkEnd w:id="0"/>
    </w:p>
    <w:p w:rsidR="00A2445E" w:rsidRDefault="00D616C4" w:rsidP="00072AA4">
      <w:bookmarkStart w:id="7" w:name="OLE_LINK21"/>
      <w:bookmarkStart w:id="8" w:name="OLE_LINK22"/>
      <w:r>
        <w:t xml:space="preserve">Joint grant </w:t>
      </w:r>
      <w:r w:rsidR="00072AA4">
        <w:t xml:space="preserve">was </w:t>
      </w:r>
      <w:r w:rsidR="0015084B">
        <w:t xml:space="preserve">proposed </w:t>
      </w:r>
      <w:r>
        <w:t>for Rel-13 CA enhancement</w:t>
      </w:r>
      <w:r w:rsidR="005F36BE">
        <w:t>s</w:t>
      </w:r>
      <w:r>
        <w:t xml:space="preserve"> </w:t>
      </w:r>
      <w:r w:rsidR="0015084B">
        <w:t>by several companies</w:t>
      </w:r>
      <w:r w:rsidR="008C3090">
        <w:t xml:space="preserve"> </w:t>
      </w:r>
      <w:r w:rsidR="008C3090">
        <w:fldChar w:fldCharType="begin"/>
      </w:r>
      <w:r w:rsidR="008C3090">
        <w:instrText xml:space="preserve"> REF _Ref419468489 \n \h </w:instrText>
      </w:r>
      <w:r w:rsidR="008C3090">
        <w:fldChar w:fldCharType="separate"/>
      </w:r>
      <w:r w:rsidR="00B17EBB">
        <w:t>[1]</w:t>
      </w:r>
      <w:r w:rsidR="008C3090">
        <w:fldChar w:fldCharType="end"/>
      </w:r>
      <w:r w:rsidR="00B17EBB">
        <w:fldChar w:fldCharType="begin"/>
      </w:r>
      <w:r w:rsidR="00B17EBB">
        <w:instrText xml:space="preserve"> REF _Ref427250302 \n \h </w:instrText>
      </w:r>
      <w:r w:rsidR="00B17EBB">
        <w:fldChar w:fldCharType="separate"/>
      </w:r>
      <w:r w:rsidR="00B17EBB">
        <w:t>[2]</w:t>
      </w:r>
      <w:r w:rsidR="00B17EBB">
        <w:fldChar w:fldCharType="end"/>
      </w:r>
      <w:r w:rsidR="00072AA4">
        <w:t xml:space="preserve">. </w:t>
      </w:r>
      <w:r w:rsidR="00046257">
        <w:t>In t</w:t>
      </w:r>
      <w:r w:rsidR="00F84904">
        <w:t xml:space="preserve">his contribution, </w:t>
      </w:r>
      <w:r w:rsidR="0032439C">
        <w:t xml:space="preserve">we </w:t>
      </w:r>
      <w:r w:rsidR="00072AA4">
        <w:t xml:space="preserve">share our considerations on </w:t>
      </w:r>
      <w:r w:rsidR="00A02783">
        <w:t xml:space="preserve">necessity and feasibility of </w:t>
      </w:r>
      <w:r w:rsidR="00C36740">
        <w:t>joint grant</w:t>
      </w:r>
      <w:r w:rsidR="00393911">
        <w:t>.</w:t>
      </w:r>
      <w:r w:rsidR="005F36BE">
        <w:t xml:space="preserve"> </w:t>
      </w:r>
    </w:p>
    <w:bookmarkEnd w:id="7"/>
    <w:bookmarkEnd w:id="8"/>
    <w:p w:rsidR="00C04A34" w:rsidRDefault="000832DC" w:rsidP="005A7781">
      <w:pPr>
        <w:pStyle w:val="Heading1"/>
      </w:pPr>
      <w:r>
        <w:rPr>
          <w:rFonts w:hint="eastAsia"/>
        </w:rPr>
        <w:t>Di</w:t>
      </w:r>
      <w:r>
        <w:t>scussion</w:t>
      </w:r>
    </w:p>
    <w:p w:rsidR="009A709D" w:rsidRDefault="00A16486" w:rsidP="00A16486">
      <w:pPr>
        <w:rPr>
          <w:lang w:val="en-US"/>
        </w:rPr>
      </w:pPr>
      <w:r>
        <w:rPr>
          <w:lang w:val="en-US"/>
        </w:rPr>
        <w:t>Joint grant</w:t>
      </w:r>
      <w:r w:rsidR="008B0F2B">
        <w:rPr>
          <w:lang w:val="en-US"/>
        </w:rPr>
        <w:t xml:space="preserve"> or </w:t>
      </w:r>
      <w:r>
        <w:rPr>
          <w:lang w:val="en-US"/>
        </w:rPr>
        <w:t xml:space="preserve">multi-cc scheduling was </w:t>
      </w:r>
      <w:r w:rsidR="008C3090">
        <w:rPr>
          <w:lang w:val="en-US"/>
        </w:rPr>
        <w:t>discussed</w:t>
      </w:r>
      <w:r>
        <w:rPr>
          <w:lang w:val="en-US"/>
        </w:rPr>
        <w:t xml:space="preserve"> </w:t>
      </w:r>
      <w:r w:rsidR="004760B1">
        <w:rPr>
          <w:lang w:val="en-US"/>
        </w:rPr>
        <w:t>ever since</w:t>
      </w:r>
      <w:r>
        <w:rPr>
          <w:lang w:val="en-US"/>
        </w:rPr>
        <w:t xml:space="preserve"> carrier aggregat</w:t>
      </w:r>
      <w:r w:rsidR="005B1624">
        <w:rPr>
          <w:lang w:val="en-US"/>
        </w:rPr>
        <w:t>ion was introduced in Rel-10</w:t>
      </w:r>
      <w:r w:rsidR="004D7CB7">
        <w:rPr>
          <w:lang w:val="en-US"/>
        </w:rPr>
        <w:t xml:space="preserve"> </w:t>
      </w:r>
      <w:r w:rsidR="004D7CB7">
        <w:rPr>
          <w:lang w:val="en-US"/>
        </w:rPr>
        <w:fldChar w:fldCharType="begin"/>
      </w:r>
      <w:r w:rsidR="004D7CB7">
        <w:rPr>
          <w:lang w:val="en-US"/>
        </w:rPr>
        <w:instrText xml:space="preserve"> REF _Ref427261130 \n \h </w:instrText>
      </w:r>
      <w:r w:rsidR="004D7CB7">
        <w:rPr>
          <w:lang w:val="en-US"/>
        </w:rPr>
      </w:r>
      <w:r w:rsidR="004D7CB7">
        <w:rPr>
          <w:lang w:val="en-US"/>
        </w:rPr>
        <w:fldChar w:fldCharType="separate"/>
      </w:r>
      <w:r w:rsidR="004D7CB7">
        <w:rPr>
          <w:lang w:val="en-US"/>
        </w:rPr>
        <w:t>[3]</w:t>
      </w:r>
      <w:r w:rsidR="004D7CB7">
        <w:rPr>
          <w:lang w:val="en-US"/>
        </w:rPr>
        <w:fldChar w:fldCharType="end"/>
      </w:r>
      <w:r>
        <w:rPr>
          <w:lang w:val="en-US"/>
        </w:rPr>
        <w:t xml:space="preserve">. </w:t>
      </w:r>
      <w:r w:rsidR="00BC366D">
        <w:rPr>
          <w:lang w:val="en-US"/>
        </w:rPr>
        <w:t xml:space="preserve">Instead of sending scheduling information independently for each </w:t>
      </w:r>
      <w:r w:rsidR="0015084B">
        <w:rPr>
          <w:lang w:val="en-US"/>
        </w:rPr>
        <w:t xml:space="preserve">component </w:t>
      </w:r>
      <w:r w:rsidR="00BC366D">
        <w:rPr>
          <w:lang w:val="en-US"/>
        </w:rPr>
        <w:t xml:space="preserve">carrier, this method proposes to pack all scheduling information together for all the </w:t>
      </w:r>
      <w:r w:rsidR="004801CC">
        <w:rPr>
          <w:lang w:val="en-US"/>
        </w:rPr>
        <w:t xml:space="preserve">scheduled </w:t>
      </w:r>
      <w:r w:rsidR="00BC366D">
        <w:rPr>
          <w:lang w:val="en-US"/>
        </w:rPr>
        <w:t xml:space="preserve">carriers or a group of </w:t>
      </w:r>
      <w:r w:rsidR="004801CC">
        <w:rPr>
          <w:lang w:val="en-US"/>
        </w:rPr>
        <w:t xml:space="preserve">scheduled </w:t>
      </w:r>
      <w:r w:rsidR="00BC366D">
        <w:rPr>
          <w:lang w:val="en-US"/>
        </w:rPr>
        <w:t>carriers</w:t>
      </w:r>
      <w:r w:rsidR="0015084B">
        <w:rPr>
          <w:lang w:val="en-US"/>
        </w:rPr>
        <w:t xml:space="preserve"> and send </w:t>
      </w:r>
      <w:r w:rsidR="007D54F1">
        <w:rPr>
          <w:lang w:val="en-US"/>
        </w:rPr>
        <w:t xml:space="preserve">to the UE </w:t>
      </w:r>
      <w:r w:rsidR="00BA7EED">
        <w:rPr>
          <w:lang w:val="en-US"/>
        </w:rPr>
        <w:t>using</w:t>
      </w:r>
      <w:r w:rsidR="0015084B">
        <w:rPr>
          <w:lang w:val="en-US"/>
        </w:rPr>
        <w:t xml:space="preserve"> one resource grant</w:t>
      </w:r>
      <w:r w:rsidR="00BC366D">
        <w:rPr>
          <w:lang w:val="en-US"/>
        </w:rPr>
        <w:t xml:space="preserve">. </w:t>
      </w:r>
      <w:r w:rsidR="004760B1">
        <w:rPr>
          <w:lang w:val="en-US"/>
        </w:rPr>
        <w:t xml:space="preserve">The obvious benefit of this scheduling method is that </w:t>
      </w:r>
      <w:r w:rsidR="0015084B">
        <w:rPr>
          <w:lang w:val="en-US"/>
        </w:rPr>
        <w:t>this may simplify</w:t>
      </w:r>
      <w:r w:rsidR="00C11386">
        <w:rPr>
          <w:lang w:val="en-US"/>
        </w:rPr>
        <w:t xml:space="preserve"> control signaling processing for the </w:t>
      </w:r>
      <w:r w:rsidR="0015084B">
        <w:rPr>
          <w:lang w:val="en-US"/>
        </w:rPr>
        <w:t>UE. At the same time,</w:t>
      </w:r>
      <w:r w:rsidR="00C11386">
        <w:rPr>
          <w:lang w:val="en-US"/>
        </w:rPr>
        <w:t xml:space="preserve"> </w:t>
      </w:r>
      <w:r w:rsidR="004760B1">
        <w:rPr>
          <w:lang w:val="en-US"/>
        </w:rPr>
        <w:t>the number of blind decodes can be reduced along wi</w:t>
      </w:r>
      <w:r w:rsidR="00BC366D">
        <w:rPr>
          <w:lang w:val="en-US"/>
        </w:rPr>
        <w:t>th the</w:t>
      </w:r>
      <w:r w:rsidR="000077D3">
        <w:rPr>
          <w:lang w:val="en-US"/>
        </w:rPr>
        <w:t xml:space="preserve"> reduced</w:t>
      </w:r>
      <w:r w:rsidR="00BC366D">
        <w:rPr>
          <w:lang w:val="en-US"/>
        </w:rPr>
        <w:t xml:space="preserve"> false alarm probability. </w:t>
      </w:r>
    </w:p>
    <w:p w:rsidR="00945E20" w:rsidRDefault="009A709D" w:rsidP="00AF2F21">
      <w:pPr>
        <w:rPr>
          <w:rFonts w:eastAsia="MS Mincho"/>
          <w:lang w:val="en-US"/>
        </w:rPr>
      </w:pPr>
      <w:r>
        <w:rPr>
          <w:lang w:val="en-US"/>
        </w:rPr>
        <w:t>Before discussing the design details, it is worthwhile to discuss the necessity and application scenarios for join</w:t>
      </w:r>
      <w:r w:rsidR="0031395E">
        <w:rPr>
          <w:lang w:val="en-US"/>
        </w:rPr>
        <w:t>t grant</w:t>
      </w:r>
      <w:r>
        <w:rPr>
          <w:lang w:val="en-US"/>
        </w:rPr>
        <w:t xml:space="preserve">. </w:t>
      </w:r>
      <w:r w:rsidR="00A75352">
        <w:rPr>
          <w:lang w:val="en-US"/>
        </w:rPr>
        <w:t xml:space="preserve">As discussed in </w:t>
      </w:r>
      <w:r w:rsidR="00A75352">
        <w:rPr>
          <w:lang w:val="en-US"/>
        </w:rPr>
        <w:fldChar w:fldCharType="begin"/>
      </w:r>
      <w:r w:rsidR="00A75352">
        <w:rPr>
          <w:lang w:val="en-US"/>
        </w:rPr>
        <w:instrText xml:space="preserve"> REF _Ref419468638 \n \h </w:instrText>
      </w:r>
      <w:r w:rsidR="00A75352">
        <w:rPr>
          <w:lang w:val="en-US"/>
        </w:rPr>
      </w:r>
      <w:r w:rsidR="00A75352">
        <w:rPr>
          <w:lang w:val="en-US"/>
        </w:rPr>
        <w:fldChar w:fldCharType="separate"/>
      </w:r>
      <w:r w:rsidR="00957C6A">
        <w:rPr>
          <w:lang w:val="en-US"/>
        </w:rPr>
        <w:t>[4]</w:t>
      </w:r>
      <w:r w:rsidR="00A75352">
        <w:rPr>
          <w:lang w:val="en-US"/>
        </w:rPr>
        <w:fldChar w:fldCharType="end"/>
      </w:r>
      <w:r w:rsidR="00003692">
        <w:rPr>
          <w:lang w:val="en-US"/>
        </w:rPr>
        <w:t xml:space="preserve">, </w:t>
      </w:r>
      <w:r w:rsidR="00AF2F21">
        <w:rPr>
          <w:lang w:val="en-US"/>
        </w:rPr>
        <w:t>one</w:t>
      </w:r>
      <w:r w:rsidR="00003692">
        <w:rPr>
          <w:lang w:val="en-US"/>
        </w:rPr>
        <w:t xml:space="preserve"> </w:t>
      </w:r>
      <w:r w:rsidR="00AF2F21">
        <w:rPr>
          <w:lang w:val="en-US"/>
        </w:rPr>
        <w:t xml:space="preserve">important </w:t>
      </w:r>
      <w:r w:rsidR="00003692">
        <w:rPr>
          <w:lang w:val="en-US"/>
        </w:rPr>
        <w:t>use case for CA beyond 5 carriers is to</w:t>
      </w:r>
      <w:r w:rsidR="00AF2F21">
        <w:rPr>
          <w:lang w:val="en-US"/>
        </w:rPr>
        <w:t xml:space="preserve"> provide even </w:t>
      </w:r>
      <w:r w:rsidR="00003692">
        <w:rPr>
          <w:rFonts w:eastAsia="MS Mincho" w:hint="eastAsia"/>
          <w:lang w:val="en-US"/>
        </w:rPr>
        <w:t xml:space="preserve">higher data rate. </w:t>
      </w:r>
      <w:r w:rsidR="00AF2F21">
        <w:rPr>
          <w:rFonts w:eastAsia="MS Mincho"/>
          <w:lang w:val="en-US"/>
        </w:rPr>
        <w:t xml:space="preserve">This use case aims at </w:t>
      </w:r>
      <w:r w:rsidR="00003692">
        <w:rPr>
          <w:rFonts w:eastAsia="MS Mincho" w:hint="eastAsia"/>
          <w:lang w:val="en-US"/>
        </w:rPr>
        <w:t>remov</w:t>
      </w:r>
      <w:r w:rsidR="00AF2F21">
        <w:rPr>
          <w:rFonts w:eastAsia="MS Mincho"/>
          <w:lang w:val="en-US"/>
        </w:rPr>
        <w:t>ing</w:t>
      </w:r>
      <w:r w:rsidR="00003692">
        <w:rPr>
          <w:rFonts w:eastAsia="MS Mincho" w:hint="eastAsia"/>
          <w:lang w:val="en-US"/>
        </w:rPr>
        <w:t xml:space="preserve"> the limitation on the maximum number of CCs, and realizing </w:t>
      </w:r>
      <w:r w:rsidR="00003692">
        <w:rPr>
          <w:rFonts w:eastAsia="MS Mincho"/>
          <w:lang w:val="en-US"/>
        </w:rPr>
        <w:t>the</w:t>
      </w:r>
      <w:r w:rsidR="00003692">
        <w:rPr>
          <w:rFonts w:eastAsia="MS Mincho" w:hint="eastAsia"/>
          <w:lang w:val="en-US"/>
        </w:rPr>
        <w:t xml:space="preserve"> continuous </w:t>
      </w:r>
      <w:r w:rsidR="00003692">
        <w:rPr>
          <w:rFonts w:eastAsia="MS Mincho"/>
          <w:lang w:val="en-US"/>
        </w:rPr>
        <w:t>expansion of user throughput</w:t>
      </w:r>
      <w:r w:rsidR="00003692">
        <w:rPr>
          <w:rFonts w:eastAsia="MS Mincho" w:hint="eastAsia"/>
          <w:lang w:val="en-US"/>
        </w:rPr>
        <w:t>/experience</w:t>
      </w:r>
      <w:r w:rsidR="00003692">
        <w:rPr>
          <w:rFonts w:eastAsia="MS Mincho"/>
          <w:lang w:val="en-US"/>
        </w:rPr>
        <w:t xml:space="preserve"> by CA.</w:t>
      </w:r>
      <w:r w:rsidR="00AF2F21">
        <w:rPr>
          <w:rFonts w:eastAsia="MS Mincho"/>
          <w:lang w:val="en-US"/>
        </w:rPr>
        <w:t xml:space="preserve"> To ensure compatible operation, it is desirable to </w:t>
      </w:r>
      <w:r w:rsidR="00A236E3">
        <w:rPr>
          <w:rFonts w:eastAsia="MS Mincho"/>
          <w:lang w:val="en-US"/>
        </w:rPr>
        <w:t>reuse</w:t>
      </w:r>
      <w:r w:rsidR="00AF2F21">
        <w:rPr>
          <w:rFonts w:eastAsia="MS Mincho"/>
          <w:lang w:val="en-US"/>
        </w:rPr>
        <w:t xml:space="preserve"> the existing design principles</w:t>
      </w:r>
      <w:r w:rsidR="00A236E3">
        <w:rPr>
          <w:rFonts w:eastAsia="MS Mincho"/>
          <w:lang w:val="en-US"/>
        </w:rPr>
        <w:t xml:space="preserve"> as much as possible</w:t>
      </w:r>
      <w:r w:rsidR="00003692">
        <w:rPr>
          <w:rFonts w:eastAsia="MS Mincho" w:hint="eastAsia"/>
          <w:lang w:val="en-US"/>
        </w:rPr>
        <w:t xml:space="preserve">. </w:t>
      </w:r>
      <w:r w:rsidR="007E1BC3">
        <w:rPr>
          <w:rFonts w:eastAsia="MS Mincho"/>
          <w:lang w:val="en-US"/>
        </w:rPr>
        <w:t>In particular,</w:t>
      </w:r>
      <w:r w:rsidR="00B901F3">
        <w:rPr>
          <w:rFonts w:eastAsia="MS Mincho"/>
          <w:lang w:val="en-US"/>
        </w:rPr>
        <w:t xml:space="preserve"> the co-existence of </w:t>
      </w:r>
      <w:r w:rsidR="00C11386">
        <w:rPr>
          <w:rFonts w:eastAsia="MS Mincho"/>
          <w:lang w:val="en-US"/>
        </w:rPr>
        <w:t xml:space="preserve">non-CA UEs, Rel-12 </w:t>
      </w:r>
      <w:r w:rsidR="00B901F3">
        <w:rPr>
          <w:rFonts w:eastAsia="MS Mincho"/>
          <w:lang w:val="en-US"/>
        </w:rPr>
        <w:t>CA UEs and Rel-13 CA UEs needs to be considered</w:t>
      </w:r>
      <w:r w:rsidR="00164D5A">
        <w:rPr>
          <w:rFonts w:eastAsia="MS Mincho"/>
          <w:lang w:val="en-US"/>
        </w:rPr>
        <w:t xml:space="preserve"> hence</w:t>
      </w:r>
      <w:r w:rsidR="00B901F3">
        <w:rPr>
          <w:rFonts w:eastAsia="MS Mincho"/>
          <w:lang w:val="en-US"/>
        </w:rPr>
        <w:t xml:space="preserve"> </w:t>
      </w:r>
      <w:r w:rsidR="00164D5A">
        <w:rPr>
          <w:rFonts w:eastAsia="MS Mincho"/>
          <w:lang w:val="en-US"/>
        </w:rPr>
        <w:t>it may not be</w:t>
      </w:r>
      <w:r w:rsidR="00777227">
        <w:rPr>
          <w:rFonts w:eastAsia="MS Mincho"/>
          <w:lang w:val="en-US"/>
        </w:rPr>
        <w:t xml:space="preserve"> desirable to have </w:t>
      </w:r>
      <w:r w:rsidR="007E1BC3">
        <w:rPr>
          <w:rFonts w:eastAsia="MS Mincho"/>
          <w:lang w:val="en-US"/>
        </w:rPr>
        <w:t xml:space="preserve">different </w:t>
      </w:r>
      <w:r w:rsidR="00B901F3">
        <w:rPr>
          <w:rFonts w:eastAsia="MS Mincho"/>
          <w:lang w:val="en-US"/>
        </w:rPr>
        <w:t>scheduling operation</w:t>
      </w:r>
      <w:r w:rsidR="007E1BC3">
        <w:rPr>
          <w:rFonts w:eastAsia="MS Mincho"/>
          <w:lang w:val="en-US"/>
        </w:rPr>
        <w:t>s</w:t>
      </w:r>
      <w:r w:rsidR="00777227">
        <w:rPr>
          <w:rFonts w:eastAsia="MS Mincho"/>
          <w:lang w:val="en-US"/>
        </w:rPr>
        <w:t>, e.g</w:t>
      </w:r>
      <w:r w:rsidR="007E1BC3">
        <w:rPr>
          <w:rFonts w:eastAsia="MS Mincho"/>
          <w:lang w:val="en-US"/>
        </w:rPr>
        <w:t>.</w:t>
      </w:r>
      <w:r w:rsidR="00777227">
        <w:rPr>
          <w:rFonts w:eastAsia="MS Mincho"/>
          <w:lang w:val="en-US"/>
        </w:rPr>
        <w:t xml:space="preserve"> differe</w:t>
      </w:r>
      <w:r w:rsidR="0021336C">
        <w:rPr>
          <w:rFonts w:eastAsia="MS Mincho"/>
          <w:lang w:val="en-US"/>
        </w:rPr>
        <w:t>nt resource allocation granularity</w:t>
      </w:r>
      <w:r w:rsidR="00777227">
        <w:rPr>
          <w:rFonts w:eastAsia="MS Mincho"/>
          <w:lang w:val="en-US"/>
        </w:rPr>
        <w:t>.</w:t>
      </w:r>
      <w:r w:rsidR="007E1BC3">
        <w:rPr>
          <w:rFonts w:eastAsia="MS Mincho"/>
          <w:lang w:val="en-US"/>
        </w:rPr>
        <w:t xml:space="preserve"> </w:t>
      </w:r>
      <w:r w:rsidR="00D26C7C">
        <w:rPr>
          <w:rFonts w:eastAsia="MS Mincho"/>
          <w:lang w:val="en-US"/>
        </w:rPr>
        <w:t>Moreover, th</w:t>
      </w:r>
      <w:r w:rsidR="0066197B">
        <w:rPr>
          <w:rFonts w:eastAsia="MS Mincho"/>
          <w:lang w:val="en-US"/>
        </w:rPr>
        <w:t>is</w:t>
      </w:r>
      <w:r w:rsidR="00D26C7C">
        <w:rPr>
          <w:rFonts w:eastAsia="MS Mincho"/>
          <w:lang w:val="en-US"/>
        </w:rPr>
        <w:t xml:space="preserve"> </w:t>
      </w:r>
      <w:r w:rsidR="00870CDD">
        <w:rPr>
          <w:rFonts w:eastAsia="MS Mincho"/>
          <w:lang w:val="en-US"/>
        </w:rPr>
        <w:t>can</w:t>
      </w:r>
      <w:r w:rsidR="00C11386">
        <w:rPr>
          <w:rFonts w:eastAsia="MS Mincho"/>
          <w:lang w:val="en-US"/>
        </w:rPr>
        <w:t xml:space="preserve"> </w:t>
      </w:r>
      <w:r w:rsidR="00870CDD">
        <w:rPr>
          <w:rFonts w:eastAsia="MS Mincho"/>
          <w:lang w:val="en-US"/>
        </w:rPr>
        <w:t>also</w:t>
      </w:r>
      <w:r w:rsidR="00D26C7C">
        <w:rPr>
          <w:rFonts w:eastAsia="MS Mincho"/>
          <w:lang w:val="en-US"/>
        </w:rPr>
        <w:t xml:space="preserve"> be generalized to all licensed carriers</w:t>
      </w:r>
      <w:r w:rsidR="00164D5A">
        <w:rPr>
          <w:rFonts w:eastAsia="MS Mincho"/>
          <w:lang w:val="en-US"/>
        </w:rPr>
        <w:t xml:space="preserve"> due to the fact that the number of licensed carriers is not large</w:t>
      </w:r>
      <w:r w:rsidR="00870CDD">
        <w:rPr>
          <w:rFonts w:eastAsia="MS Mincho"/>
          <w:lang w:val="en-US"/>
        </w:rPr>
        <w:t>, e.g. 6~10 as discussed in</w:t>
      </w:r>
      <w:r w:rsidR="00A236E3">
        <w:rPr>
          <w:rFonts w:eastAsia="MS Mincho"/>
          <w:lang w:val="en-US"/>
        </w:rPr>
        <w:t xml:space="preserve"> </w:t>
      </w:r>
      <w:r w:rsidR="00A236E3">
        <w:rPr>
          <w:rFonts w:eastAsia="MS Mincho"/>
          <w:lang w:val="en-US"/>
        </w:rPr>
        <w:fldChar w:fldCharType="begin"/>
      </w:r>
      <w:r w:rsidR="00A236E3">
        <w:rPr>
          <w:rFonts w:eastAsia="MS Mincho"/>
          <w:lang w:val="en-US"/>
        </w:rPr>
        <w:instrText xml:space="preserve"> REF _Ref419468638 \n \h </w:instrText>
      </w:r>
      <w:r w:rsidR="00A236E3">
        <w:rPr>
          <w:rFonts w:eastAsia="MS Mincho"/>
          <w:lang w:val="en-US"/>
        </w:rPr>
      </w:r>
      <w:r w:rsidR="00A236E3">
        <w:rPr>
          <w:rFonts w:eastAsia="MS Mincho"/>
          <w:lang w:val="en-US"/>
        </w:rPr>
        <w:fldChar w:fldCharType="separate"/>
      </w:r>
      <w:r w:rsidR="00B17EBB">
        <w:rPr>
          <w:rFonts w:eastAsia="MS Mincho"/>
          <w:lang w:val="en-US"/>
        </w:rPr>
        <w:t>[4]</w:t>
      </w:r>
      <w:r w:rsidR="00A236E3">
        <w:rPr>
          <w:rFonts w:eastAsia="MS Mincho"/>
          <w:lang w:val="en-US"/>
        </w:rPr>
        <w:fldChar w:fldCharType="end"/>
      </w:r>
      <w:r w:rsidR="00870CDD">
        <w:rPr>
          <w:rFonts w:eastAsia="MS Mincho"/>
          <w:lang w:val="en-US"/>
        </w:rPr>
        <w:t>.</w:t>
      </w:r>
      <w:r w:rsidR="00164D5A">
        <w:rPr>
          <w:rFonts w:eastAsia="MS Mincho"/>
          <w:lang w:val="en-US"/>
        </w:rPr>
        <w:t xml:space="preserve"> </w:t>
      </w:r>
      <w:r w:rsidR="00870CDD">
        <w:rPr>
          <w:rFonts w:eastAsia="MS Mincho"/>
          <w:lang w:val="en-US"/>
        </w:rPr>
        <w:t>Hence t</w:t>
      </w:r>
      <w:r w:rsidR="00164D5A">
        <w:rPr>
          <w:rFonts w:eastAsia="MS Mincho"/>
          <w:lang w:val="en-US"/>
        </w:rPr>
        <w:t xml:space="preserve">here is no critical requirement of reducing the control signaling overhead and number of blind decoding attempts. </w:t>
      </w:r>
    </w:p>
    <w:p w:rsidR="00475E08" w:rsidRDefault="00475E08" w:rsidP="00AF2F21">
      <w:pPr>
        <w:rPr>
          <w:rFonts w:eastAsia="MS Mincho" w:hint="eastAsia"/>
          <w:lang w:val="en-US"/>
        </w:rPr>
      </w:pPr>
      <w:r>
        <w:rPr>
          <w:rFonts w:eastAsia="MS Mincho"/>
          <w:lang w:val="en-US"/>
        </w:rPr>
        <w:t xml:space="preserve">On the other hand, another important use case for CA beyond 5 carriers is that there are a lot of unlicensed carriers the UE can aggregate. For this use case, there is no co-existence </w:t>
      </w:r>
      <w:r w:rsidR="0066197B">
        <w:rPr>
          <w:rFonts w:eastAsia="MS Mincho"/>
          <w:lang w:val="en-US"/>
        </w:rPr>
        <w:t>concern</w:t>
      </w:r>
      <w:r>
        <w:rPr>
          <w:rFonts w:eastAsia="MS Mincho"/>
          <w:lang w:val="en-US"/>
        </w:rPr>
        <w:t xml:space="preserve"> with legacy UEs</w:t>
      </w:r>
      <w:r w:rsidR="00C11386">
        <w:rPr>
          <w:rFonts w:eastAsia="MS Mincho"/>
          <w:lang w:val="en-US"/>
        </w:rPr>
        <w:t>. Therefore</w:t>
      </w:r>
      <w:r>
        <w:rPr>
          <w:rFonts w:eastAsia="MS Mincho"/>
          <w:lang w:val="en-US"/>
        </w:rPr>
        <w:t xml:space="preserve"> it may be beneficial to have a </w:t>
      </w:r>
      <w:r w:rsidR="00DC65A7">
        <w:rPr>
          <w:rFonts w:eastAsia="MS Mincho"/>
          <w:lang w:val="en-US"/>
        </w:rPr>
        <w:t>new scheduling operation. However, the transmission</w:t>
      </w:r>
      <w:r w:rsidR="00164D5A">
        <w:rPr>
          <w:rFonts w:eastAsia="MS Mincho"/>
          <w:lang w:val="en-US"/>
        </w:rPr>
        <w:t xml:space="preserve"> </w:t>
      </w:r>
      <w:r w:rsidR="00C11386">
        <w:rPr>
          <w:rFonts w:eastAsia="MS Mincho"/>
          <w:lang w:val="en-US"/>
        </w:rPr>
        <w:t>on</w:t>
      </w:r>
      <w:r w:rsidR="00DC65A7">
        <w:rPr>
          <w:rFonts w:eastAsia="MS Mincho"/>
          <w:lang w:val="en-US"/>
        </w:rPr>
        <w:t xml:space="preserve"> unlicensed carrier</w:t>
      </w:r>
      <w:r w:rsidR="007A5483">
        <w:rPr>
          <w:rFonts w:eastAsia="MS Mincho"/>
          <w:lang w:val="en-US"/>
        </w:rPr>
        <w:t xml:space="preserve">s is </w:t>
      </w:r>
      <w:r w:rsidR="0088034D">
        <w:rPr>
          <w:rFonts w:eastAsia="MS Mincho"/>
          <w:lang w:val="en-US"/>
        </w:rPr>
        <w:t xml:space="preserve">essentially based on </w:t>
      </w:r>
      <w:r w:rsidR="007A5483">
        <w:rPr>
          <w:rFonts w:eastAsia="MS Mincho"/>
          <w:lang w:val="en-US"/>
        </w:rPr>
        <w:t>contention based</w:t>
      </w:r>
      <w:r w:rsidR="0088034D">
        <w:rPr>
          <w:rFonts w:eastAsia="MS Mincho"/>
          <w:lang w:val="en-US"/>
        </w:rPr>
        <w:t xml:space="preserve"> </w:t>
      </w:r>
      <w:r w:rsidR="00014003">
        <w:rPr>
          <w:rFonts w:eastAsia="MS Mincho"/>
          <w:lang w:val="en-US"/>
        </w:rPr>
        <w:t>scheme</w:t>
      </w:r>
      <w:r w:rsidR="007A5483">
        <w:rPr>
          <w:rFonts w:eastAsia="MS Mincho"/>
          <w:lang w:val="en-US"/>
        </w:rPr>
        <w:t xml:space="preserve"> hence the scheduling operation should be considered together</w:t>
      </w:r>
      <w:r w:rsidR="00FD1615">
        <w:rPr>
          <w:rFonts w:eastAsia="MS Mincho"/>
          <w:lang w:val="en-US"/>
        </w:rPr>
        <w:t xml:space="preserve"> with the LBT procedure which is</w:t>
      </w:r>
      <w:r w:rsidR="007A5483">
        <w:rPr>
          <w:rFonts w:eastAsia="MS Mincho"/>
          <w:lang w:val="en-US"/>
        </w:rPr>
        <w:t xml:space="preserve"> studied in LAA.</w:t>
      </w:r>
      <w:r w:rsidR="00945E20">
        <w:rPr>
          <w:rFonts w:eastAsia="MS Mincho"/>
          <w:lang w:val="en-US"/>
        </w:rPr>
        <w:t xml:space="preserve"> </w:t>
      </w:r>
    </w:p>
    <w:p w:rsidR="00E81FEA" w:rsidRPr="00D26C7C" w:rsidRDefault="00D26C7C" w:rsidP="00D26C7C">
      <w:pPr>
        <w:rPr>
          <w:b/>
          <w:lang w:val="en-US"/>
        </w:rPr>
      </w:pPr>
      <w:r w:rsidRPr="00D26C7C">
        <w:rPr>
          <w:b/>
          <w:lang w:val="en-US"/>
        </w:rPr>
        <w:t>Observation</w:t>
      </w:r>
      <w:r w:rsidR="00C11386">
        <w:rPr>
          <w:b/>
          <w:lang w:val="en-US"/>
        </w:rPr>
        <w:t xml:space="preserve"> 1</w:t>
      </w:r>
      <w:r w:rsidRPr="00D26C7C">
        <w:rPr>
          <w:b/>
          <w:lang w:val="en-US"/>
        </w:rPr>
        <w:t xml:space="preserve">: </w:t>
      </w:r>
      <w:r w:rsidR="005C2B0B">
        <w:rPr>
          <w:b/>
          <w:lang w:val="en-US"/>
        </w:rPr>
        <w:t>J</w:t>
      </w:r>
      <w:r>
        <w:rPr>
          <w:b/>
          <w:lang w:val="en-US"/>
        </w:rPr>
        <w:t>oint grant</w:t>
      </w:r>
      <w:r w:rsidR="00A33D92" w:rsidRPr="00D26C7C">
        <w:rPr>
          <w:b/>
          <w:lang w:val="en-US"/>
        </w:rPr>
        <w:t xml:space="preserve"> may not be justified for licensed carriers </w:t>
      </w:r>
      <w:r w:rsidRPr="00D26C7C">
        <w:rPr>
          <w:b/>
          <w:lang w:val="en-US"/>
        </w:rPr>
        <w:t xml:space="preserve">considering </w:t>
      </w:r>
      <w:r w:rsidR="00036946">
        <w:rPr>
          <w:b/>
          <w:lang w:val="en-US"/>
        </w:rPr>
        <w:t>the limit</w:t>
      </w:r>
      <w:r w:rsidR="00C11386">
        <w:rPr>
          <w:b/>
          <w:lang w:val="en-US"/>
        </w:rPr>
        <w:t>ed</w:t>
      </w:r>
      <w:r w:rsidR="00036946">
        <w:rPr>
          <w:b/>
          <w:lang w:val="en-US"/>
        </w:rPr>
        <w:t xml:space="preserve"> number of licensed carriers and the co-existence with</w:t>
      </w:r>
      <w:r w:rsidRPr="00D26C7C">
        <w:rPr>
          <w:b/>
          <w:lang w:val="en-US"/>
        </w:rPr>
        <w:t xml:space="preserve"> legacy UEs.</w:t>
      </w:r>
    </w:p>
    <w:p w:rsidR="00E81FEA" w:rsidRPr="007A5483" w:rsidRDefault="007A5483" w:rsidP="007A5483">
      <w:pPr>
        <w:rPr>
          <w:b/>
          <w:lang w:val="en-US"/>
        </w:rPr>
      </w:pPr>
      <w:r w:rsidRPr="007A5483">
        <w:rPr>
          <w:b/>
          <w:lang w:val="en-US"/>
        </w:rPr>
        <w:t>Observation</w:t>
      </w:r>
      <w:r w:rsidR="00C11386">
        <w:rPr>
          <w:b/>
          <w:lang w:val="en-US"/>
        </w:rPr>
        <w:t xml:space="preserve"> 2</w:t>
      </w:r>
      <w:r w:rsidRPr="007A5483">
        <w:rPr>
          <w:b/>
          <w:lang w:val="en-US"/>
        </w:rPr>
        <w:t xml:space="preserve">: </w:t>
      </w:r>
      <w:r w:rsidR="005C2B0B">
        <w:rPr>
          <w:b/>
          <w:lang w:val="en-US"/>
        </w:rPr>
        <w:t>J</w:t>
      </w:r>
      <w:r w:rsidR="00C11386">
        <w:rPr>
          <w:b/>
          <w:lang w:val="en-US"/>
        </w:rPr>
        <w:t>oint grant</w:t>
      </w:r>
      <w:r w:rsidR="00A33D92" w:rsidRPr="007A5483">
        <w:rPr>
          <w:b/>
          <w:lang w:val="en-US"/>
        </w:rPr>
        <w:t xml:space="preserve"> may be beneficial for unlicensed carriers</w:t>
      </w:r>
      <w:r w:rsidRPr="007A5483">
        <w:rPr>
          <w:b/>
          <w:lang w:val="en-US"/>
        </w:rPr>
        <w:t xml:space="preserve"> </w:t>
      </w:r>
      <w:r w:rsidR="00036946">
        <w:rPr>
          <w:b/>
          <w:lang w:val="en-US"/>
        </w:rPr>
        <w:t>which</w:t>
      </w:r>
      <w:r w:rsidRPr="007A5483">
        <w:rPr>
          <w:b/>
          <w:lang w:val="en-US"/>
        </w:rPr>
        <w:t xml:space="preserve"> </w:t>
      </w:r>
      <w:r w:rsidR="00C11386">
        <w:rPr>
          <w:b/>
          <w:lang w:val="en-US"/>
        </w:rPr>
        <w:t>need</w:t>
      </w:r>
      <w:r w:rsidR="00036946">
        <w:rPr>
          <w:b/>
          <w:lang w:val="en-US"/>
        </w:rPr>
        <w:t xml:space="preserve"> to</w:t>
      </w:r>
      <w:r w:rsidRPr="007A5483">
        <w:rPr>
          <w:b/>
          <w:lang w:val="en-US"/>
        </w:rPr>
        <w:t xml:space="preserve"> be </w:t>
      </w:r>
      <w:r w:rsidR="00A33D92" w:rsidRPr="007A5483">
        <w:rPr>
          <w:b/>
          <w:lang w:val="en-US"/>
        </w:rPr>
        <w:t>studied together with the LBT procedure</w:t>
      </w:r>
      <w:r>
        <w:rPr>
          <w:b/>
          <w:lang w:val="en-US"/>
        </w:rPr>
        <w:t>.</w:t>
      </w:r>
    </w:p>
    <w:p w:rsidR="009D2113" w:rsidRPr="009D2113" w:rsidRDefault="00945E20" w:rsidP="009D2113">
      <w:pPr>
        <w:rPr>
          <w:lang w:val="en-US"/>
        </w:rPr>
      </w:pPr>
      <w:r>
        <w:rPr>
          <w:lang w:val="en-US"/>
        </w:rPr>
        <w:t xml:space="preserve">In the following, we discussed </w:t>
      </w:r>
      <w:r w:rsidR="001A1875">
        <w:rPr>
          <w:lang w:val="en-US"/>
        </w:rPr>
        <w:t xml:space="preserve">the </w:t>
      </w:r>
      <w:r>
        <w:rPr>
          <w:lang w:val="en-US"/>
        </w:rPr>
        <w:t xml:space="preserve">potential challenges of </w:t>
      </w:r>
      <w:r w:rsidR="00624FEC">
        <w:rPr>
          <w:lang w:val="en-US"/>
        </w:rPr>
        <w:t>joint grant</w:t>
      </w:r>
      <w:r>
        <w:rPr>
          <w:lang w:val="en-US"/>
        </w:rPr>
        <w:t xml:space="preserve"> for </w:t>
      </w:r>
      <w:r w:rsidR="00624FEC">
        <w:rPr>
          <w:lang w:val="en-US"/>
        </w:rPr>
        <w:t>unlicensed carriers. Since</w:t>
      </w:r>
      <w:r>
        <w:rPr>
          <w:lang w:val="en-US"/>
        </w:rPr>
        <w:t xml:space="preserve"> joint grant essentially provide</w:t>
      </w:r>
      <w:r w:rsidR="00624FEC">
        <w:rPr>
          <w:lang w:val="en-US"/>
        </w:rPr>
        <w:t>s</w:t>
      </w:r>
      <w:r>
        <w:rPr>
          <w:lang w:val="en-US"/>
        </w:rPr>
        <w:t xml:space="preserve"> cross-carrier scheduling </w:t>
      </w:r>
      <w:r w:rsidR="00624FEC">
        <w:rPr>
          <w:lang w:val="en-US"/>
        </w:rPr>
        <w:t xml:space="preserve">function </w:t>
      </w:r>
      <w:r>
        <w:rPr>
          <w:lang w:val="en-US"/>
        </w:rPr>
        <w:t>from one carrier</w:t>
      </w:r>
      <w:r w:rsidR="00624FEC">
        <w:rPr>
          <w:lang w:val="en-US"/>
        </w:rPr>
        <w:t>,</w:t>
      </w:r>
      <w:r w:rsidR="00586F41">
        <w:rPr>
          <w:lang w:val="en-US"/>
        </w:rPr>
        <w:t xml:space="preserve"> </w:t>
      </w:r>
      <w:r w:rsidR="00A24F52">
        <w:rPr>
          <w:lang w:val="en-US"/>
        </w:rPr>
        <w:t xml:space="preserve">the challenges </w:t>
      </w:r>
      <w:r w:rsidR="00624FEC">
        <w:rPr>
          <w:lang w:val="en-US"/>
        </w:rPr>
        <w:t xml:space="preserve">encountered by </w:t>
      </w:r>
      <w:r w:rsidR="004801CC">
        <w:rPr>
          <w:lang w:val="en-US"/>
        </w:rPr>
        <w:t>cross-</w:t>
      </w:r>
      <w:r w:rsidR="00586F41">
        <w:rPr>
          <w:lang w:val="en-US"/>
        </w:rPr>
        <w:t xml:space="preserve">carrier scheduling also applies here. </w:t>
      </w:r>
      <w:r w:rsidR="005066D7">
        <w:rPr>
          <w:rFonts w:eastAsia="Times New Roman"/>
        </w:rPr>
        <w:t xml:space="preserve">As discussed in </w:t>
      </w:r>
      <w:r w:rsidR="00193842">
        <w:rPr>
          <w:rFonts w:eastAsia="Times New Roman"/>
        </w:rPr>
        <w:fldChar w:fldCharType="begin"/>
      </w:r>
      <w:r w:rsidR="00193842">
        <w:rPr>
          <w:rFonts w:eastAsia="Times New Roman"/>
        </w:rPr>
        <w:instrText xml:space="preserve"> REF _Ref419468901 \n \h </w:instrText>
      </w:r>
      <w:r w:rsidR="00193842">
        <w:rPr>
          <w:rFonts w:eastAsia="Times New Roman"/>
        </w:rPr>
      </w:r>
      <w:r w:rsidR="00193842">
        <w:rPr>
          <w:rFonts w:eastAsia="Times New Roman"/>
        </w:rPr>
        <w:fldChar w:fldCharType="separate"/>
      </w:r>
      <w:r w:rsidR="00B17EBB">
        <w:rPr>
          <w:rFonts w:eastAsia="Times New Roman"/>
        </w:rPr>
        <w:t>[5]</w:t>
      </w:r>
      <w:r w:rsidR="00193842">
        <w:rPr>
          <w:rFonts w:eastAsia="Times New Roman"/>
        </w:rPr>
        <w:fldChar w:fldCharType="end"/>
      </w:r>
      <w:r w:rsidR="00164D5A">
        <w:rPr>
          <w:rFonts w:eastAsia="Times New Roman"/>
        </w:rPr>
        <w:t xml:space="preserve">, </w:t>
      </w:r>
      <w:r w:rsidR="005501E0">
        <w:rPr>
          <w:rFonts w:eastAsia="Times New Roman"/>
        </w:rPr>
        <w:t xml:space="preserve">two cases need to be </w:t>
      </w:r>
      <w:r w:rsidR="00F27C6E">
        <w:rPr>
          <w:rFonts w:eastAsia="Times New Roman"/>
        </w:rPr>
        <w:t>considered</w:t>
      </w:r>
      <w:r w:rsidR="000D1602">
        <w:rPr>
          <w:rFonts w:eastAsia="Times New Roman"/>
        </w:rPr>
        <w:t>:</w:t>
      </w:r>
      <w:r w:rsidR="00164D5A">
        <w:rPr>
          <w:rFonts w:eastAsia="Times New Roman"/>
        </w:rPr>
        <w:t xml:space="preserve"> </w:t>
      </w:r>
      <w:r w:rsidR="005501E0">
        <w:rPr>
          <w:rFonts w:eastAsia="Times New Roman"/>
        </w:rPr>
        <w:t xml:space="preserve">the first case is the </w:t>
      </w:r>
      <w:r w:rsidR="00164D5A">
        <w:rPr>
          <w:rFonts w:eastAsia="Times New Roman"/>
        </w:rPr>
        <w:t>s</w:t>
      </w:r>
      <w:r w:rsidR="005501E0">
        <w:rPr>
          <w:rFonts w:eastAsia="Times New Roman"/>
        </w:rPr>
        <w:t>cheduling grant is sent from a</w:t>
      </w:r>
      <w:r w:rsidR="00164D5A">
        <w:rPr>
          <w:rFonts w:eastAsia="Times New Roman"/>
        </w:rPr>
        <w:t xml:space="preserve"> licensed carrier and the </w:t>
      </w:r>
      <w:r w:rsidR="005501E0">
        <w:rPr>
          <w:rFonts w:eastAsia="Times New Roman"/>
        </w:rPr>
        <w:t xml:space="preserve">second case the </w:t>
      </w:r>
      <w:r w:rsidR="00164D5A">
        <w:rPr>
          <w:rFonts w:eastAsia="Times New Roman"/>
        </w:rPr>
        <w:t>scheduling grant is sent from an unlicensed carrier.</w:t>
      </w:r>
      <w:r w:rsidR="00D049B6">
        <w:rPr>
          <w:rFonts w:eastAsia="Times New Roman"/>
        </w:rPr>
        <w:t xml:space="preserve"> The fundamental challenges for the two cases are similar hence we focus on the first case </w:t>
      </w:r>
      <w:r w:rsidR="00787C80">
        <w:rPr>
          <w:rFonts w:eastAsia="Times New Roman"/>
        </w:rPr>
        <w:t>in the following</w:t>
      </w:r>
      <w:r w:rsidR="00D049B6">
        <w:rPr>
          <w:rFonts w:eastAsia="Times New Roman"/>
        </w:rPr>
        <w:t xml:space="preserve">. </w:t>
      </w:r>
      <w:r w:rsidR="00787C80">
        <w:rPr>
          <w:rFonts w:eastAsia="Times New Roman"/>
        </w:rPr>
        <w:t>For</w:t>
      </w:r>
      <w:r w:rsidR="00D049B6">
        <w:rPr>
          <w:rFonts w:eastAsia="Times New Roman"/>
        </w:rPr>
        <w:t xml:space="preserve"> this</w:t>
      </w:r>
      <w:r w:rsidR="00164D5A">
        <w:rPr>
          <w:rFonts w:eastAsia="Times New Roman"/>
        </w:rPr>
        <w:t xml:space="preserve"> case, there are </w:t>
      </w:r>
      <w:r w:rsidR="009D2113">
        <w:rPr>
          <w:rFonts w:eastAsia="Times New Roman"/>
        </w:rPr>
        <w:t>two different operational modes</w:t>
      </w:r>
      <w:r w:rsidR="00164D5A">
        <w:rPr>
          <w:rFonts w:eastAsia="Times New Roman"/>
        </w:rPr>
        <w:t>:</w:t>
      </w:r>
      <w:r w:rsidR="009D2113">
        <w:rPr>
          <w:rFonts w:eastAsia="Times New Roman"/>
        </w:rPr>
        <w:t xml:space="preserve"> PDCCH is used to schedule the </w:t>
      </w:r>
      <w:r w:rsidR="00164D5A">
        <w:rPr>
          <w:rFonts w:eastAsia="Times New Roman"/>
        </w:rPr>
        <w:t>unlicensed carriers</w:t>
      </w:r>
      <w:r w:rsidR="009D2113">
        <w:rPr>
          <w:rFonts w:eastAsia="Times New Roman"/>
        </w:rPr>
        <w:t xml:space="preserve"> and EPDCCH is used to schedule the </w:t>
      </w:r>
      <w:r w:rsidR="000D1602">
        <w:rPr>
          <w:rFonts w:eastAsia="Times New Roman"/>
        </w:rPr>
        <w:t>unlicensed carriers.</w:t>
      </w:r>
      <w:r w:rsidR="00D049B6">
        <w:rPr>
          <w:rFonts w:eastAsia="Times New Roman"/>
        </w:rPr>
        <w:t xml:space="preserve"> </w:t>
      </w:r>
    </w:p>
    <w:p w:rsidR="009D2113" w:rsidRDefault="009D2113" w:rsidP="009D2113">
      <w:pPr>
        <w:spacing w:before="120" w:after="0"/>
        <w:rPr>
          <w:rFonts w:eastAsia="Times New Roman"/>
        </w:rPr>
      </w:pPr>
      <w:r>
        <w:rPr>
          <w:rFonts w:eastAsia="Times New Roman"/>
        </w:rPr>
        <w:t xml:space="preserve">Assuming that the PDCCH is used, there will be a potential issue in the first subframe of </w:t>
      </w:r>
      <w:r w:rsidR="00BA4341">
        <w:rPr>
          <w:rFonts w:eastAsia="Times New Roman"/>
        </w:rPr>
        <w:t>the</w:t>
      </w:r>
      <w:r>
        <w:rPr>
          <w:rFonts w:eastAsia="Times New Roman"/>
        </w:rPr>
        <w:t xml:space="preserve"> transmission duration. The reason is that the eNB would need to transmit the PDCCH either before or at the same time as the PDSCH starts to be transmitted towards the UE. Since LBT needs to be done on LAA SCell in the beginning of the first subframe of the transmission duration</w:t>
      </w:r>
      <w:r w:rsidRPr="003D7D3E">
        <w:rPr>
          <w:rFonts w:eastAsia="Times New Roman"/>
        </w:rPr>
        <w:t xml:space="preserve">, </w:t>
      </w:r>
      <w:r>
        <w:rPr>
          <w:rFonts w:eastAsia="Times New Roman"/>
        </w:rPr>
        <w:t xml:space="preserve">it is uncertain if PDSCH will be transmitted on LAA SCell when PDCCH is transmitted on PCell as shown in </w:t>
      </w:r>
      <w:r w:rsidRPr="003D7D3E">
        <w:rPr>
          <w:rFonts w:eastAsia="Times New Roman"/>
        </w:rPr>
        <w:fldChar w:fldCharType="begin"/>
      </w:r>
      <w:r w:rsidRPr="003D7D3E">
        <w:rPr>
          <w:rFonts w:eastAsia="Times New Roman"/>
        </w:rPr>
        <w:instrText xml:space="preserve"> REF _Ref414279467 \h </w:instrText>
      </w:r>
      <w:r>
        <w:rPr>
          <w:rFonts w:eastAsia="Times New Roman"/>
        </w:rPr>
        <w:instrText xml:space="preserve"> \* MERGEFORMAT </w:instrText>
      </w:r>
      <w:r w:rsidRPr="003D7D3E">
        <w:rPr>
          <w:rFonts w:eastAsia="Times New Roman"/>
        </w:rPr>
      </w:r>
      <w:r w:rsidRPr="003D7D3E">
        <w:rPr>
          <w:rFonts w:eastAsia="Times New Roman"/>
        </w:rPr>
        <w:fldChar w:fldCharType="separate"/>
      </w:r>
      <w:r w:rsidR="00B17EBB">
        <w:t xml:space="preserve">Figure </w:t>
      </w:r>
      <w:r w:rsidR="00B17EBB">
        <w:rPr>
          <w:noProof/>
        </w:rPr>
        <w:t>1</w:t>
      </w:r>
      <w:r w:rsidRPr="003D7D3E">
        <w:rPr>
          <w:rFonts w:eastAsia="Times New Roman"/>
        </w:rPr>
        <w:fldChar w:fldCharType="end"/>
      </w:r>
      <w:r>
        <w:rPr>
          <w:rFonts w:eastAsia="Times New Roman"/>
        </w:rPr>
        <w:t xml:space="preserve">. </w:t>
      </w:r>
      <w:r w:rsidRPr="003D7D3E">
        <w:rPr>
          <w:rFonts w:eastAsia="Times New Roman"/>
        </w:rPr>
        <w:t>The</w:t>
      </w:r>
      <w:r>
        <w:rPr>
          <w:rFonts w:eastAsia="Times New Roman"/>
        </w:rPr>
        <w:t xml:space="preserve"> PDCCH can therefore not </w:t>
      </w:r>
      <w:r>
        <w:rPr>
          <w:rFonts w:eastAsia="Times New Roman"/>
        </w:rPr>
        <w:lastRenderedPageBreak/>
        <w:t xml:space="preserve">indicate whether or not the PDSCH is actually transmitted to the UE. The UE would therefore need to blindly detect the presence of the PDSCH on the LAA SCell based on detecting some form of signal on the LAA SCell. </w:t>
      </w:r>
    </w:p>
    <w:p w:rsidR="009D2113" w:rsidRPr="009D2113" w:rsidRDefault="009D2113" w:rsidP="00800BD3">
      <w:pPr>
        <w:pStyle w:val="ListParagraph"/>
        <w:numPr>
          <w:ilvl w:val="0"/>
          <w:numId w:val="7"/>
        </w:numPr>
        <w:spacing w:before="120"/>
        <w:jc w:val="both"/>
        <w:rPr>
          <w:sz w:val="22"/>
        </w:rPr>
      </w:pPr>
      <w:r w:rsidRPr="009D2113">
        <w:rPr>
          <w:sz w:val="22"/>
        </w:rPr>
        <w:t xml:space="preserve">A potential option to support this would be that the UE should detect the presence of the initial signal; this would however require that the duration of the initial signal is long enough to allow a reliable detection at the UE side. </w:t>
      </w:r>
    </w:p>
    <w:p w:rsidR="009D2113" w:rsidRPr="009D2113" w:rsidRDefault="009D2113" w:rsidP="00800BD3">
      <w:pPr>
        <w:pStyle w:val="ListParagraph"/>
        <w:numPr>
          <w:ilvl w:val="0"/>
          <w:numId w:val="7"/>
        </w:numPr>
        <w:spacing w:before="120"/>
        <w:jc w:val="both"/>
        <w:rPr>
          <w:sz w:val="22"/>
        </w:rPr>
      </w:pPr>
      <w:r w:rsidRPr="009D2113">
        <w:rPr>
          <w:sz w:val="22"/>
        </w:rPr>
        <w:t>Another alternative is that some signal is embedded in the beginning of the first PDSCH. The UE could potentially use reference signals that are part of the subframe such as the CRS to detect the presence of the burst, but the reliability of this needs further study to ensure soft buffer is not corrupted.</w:t>
      </w:r>
    </w:p>
    <w:p w:rsidR="009D2113" w:rsidRPr="00670E2E" w:rsidRDefault="009D2113" w:rsidP="009D2113">
      <w:pPr>
        <w:spacing w:before="120" w:after="0"/>
        <w:rPr>
          <w:rFonts w:eastAsia="Times New Roman"/>
        </w:rPr>
      </w:pPr>
      <w:r w:rsidRPr="00670E2E">
        <w:rPr>
          <w:rFonts w:eastAsia="Times New Roman"/>
        </w:rPr>
        <w:t>The</w:t>
      </w:r>
      <w:r>
        <w:rPr>
          <w:rFonts w:eastAsia="Times New Roman"/>
        </w:rPr>
        <w:t>se</w:t>
      </w:r>
      <w:r w:rsidRPr="00670E2E">
        <w:rPr>
          <w:rFonts w:eastAsia="Times New Roman"/>
        </w:rPr>
        <w:t xml:space="preserve"> two approaches have a</w:t>
      </w:r>
      <w:r>
        <w:rPr>
          <w:rFonts w:eastAsia="Times New Roman"/>
        </w:rPr>
        <w:t xml:space="preserve"> common</w:t>
      </w:r>
      <w:r w:rsidRPr="00670E2E">
        <w:rPr>
          <w:rFonts w:eastAsia="Times New Roman"/>
        </w:rPr>
        <w:t xml:space="preserve"> issue with the case where the UE’s ON duration of the DRX procedure are not aligned with transmission duration and hence would not be preferred from this perspective. Detecting the PDSCH blindly would also require some further study if this is feasible </w:t>
      </w:r>
      <w:r>
        <w:rPr>
          <w:rFonts w:eastAsia="Times New Roman"/>
        </w:rPr>
        <w:t xml:space="preserve">particularly considering </w:t>
      </w:r>
      <w:r w:rsidRPr="00670E2E">
        <w:rPr>
          <w:rFonts w:eastAsia="Times New Roman"/>
        </w:rPr>
        <w:t xml:space="preserve">a low </w:t>
      </w:r>
      <w:r>
        <w:rPr>
          <w:rFonts w:eastAsia="Times New Roman"/>
        </w:rPr>
        <w:t xml:space="preserve">false alarm </w:t>
      </w:r>
      <w:r w:rsidRPr="00670E2E">
        <w:rPr>
          <w:rFonts w:eastAsia="Times New Roman"/>
        </w:rPr>
        <w:t xml:space="preserve">rate </w:t>
      </w:r>
      <w:r>
        <w:rPr>
          <w:rFonts w:eastAsia="Times New Roman"/>
        </w:rPr>
        <w:t xml:space="preserve">is required </w:t>
      </w:r>
      <w:r w:rsidRPr="00670E2E">
        <w:rPr>
          <w:rFonts w:eastAsia="Times New Roman"/>
        </w:rPr>
        <w:t xml:space="preserve">to avoid corrupting the soft buffer. </w:t>
      </w:r>
    </w:p>
    <w:p w:rsidR="009D2113" w:rsidRDefault="009D2113" w:rsidP="009D2113">
      <w:pPr>
        <w:spacing w:after="0"/>
        <w:rPr>
          <w:rFonts w:eastAsia="Times New Roman"/>
        </w:rPr>
      </w:pPr>
    </w:p>
    <w:p w:rsidR="009D2113" w:rsidRDefault="00BF71E2" w:rsidP="005501E0">
      <w:pPr>
        <w:spacing w:after="0"/>
        <w:rPr>
          <w:rFonts w:eastAsia="Times New Roman"/>
        </w:rPr>
      </w:pPr>
      <w:r>
        <w:rPr>
          <w:rFonts w:eastAsia="Times New Roman"/>
          <w:noProof/>
          <w:lang w:val="en-US"/>
        </w:rPr>
        <w:drawing>
          <wp:inline distT="0" distB="0" distL="0" distR="0">
            <wp:extent cx="2914650" cy="1019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4650" cy="1019175"/>
                    </a:xfrm>
                    <a:prstGeom prst="rect">
                      <a:avLst/>
                    </a:prstGeom>
                    <a:noFill/>
                    <a:ln>
                      <a:noFill/>
                    </a:ln>
                  </pic:spPr>
                </pic:pic>
              </a:graphicData>
            </a:graphic>
          </wp:inline>
        </w:drawing>
      </w:r>
      <w:r w:rsidR="005501E0">
        <w:rPr>
          <w:rFonts w:eastAsia="Times New Roman"/>
          <w:noProof/>
          <w:lang w:val="en-US"/>
        </w:rPr>
        <w:t xml:space="preserve">   </w:t>
      </w:r>
      <w:r>
        <w:rPr>
          <w:rFonts w:eastAsia="Times New Roman"/>
          <w:noProof/>
          <w:lang w:val="en-US"/>
        </w:rPr>
        <w:drawing>
          <wp:inline distT="0" distB="0" distL="0" distR="0">
            <wp:extent cx="2914650" cy="101917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4650" cy="1019175"/>
                    </a:xfrm>
                    <a:prstGeom prst="rect">
                      <a:avLst/>
                    </a:prstGeom>
                    <a:noFill/>
                    <a:ln>
                      <a:noFill/>
                    </a:ln>
                  </pic:spPr>
                </pic:pic>
              </a:graphicData>
            </a:graphic>
          </wp:inline>
        </w:drawing>
      </w:r>
    </w:p>
    <w:p w:rsidR="009D2113" w:rsidRDefault="009D2113" w:rsidP="009D2113">
      <w:pPr>
        <w:pStyle w:val="Caption"/>
      </w:pPr>
      <w:bookmarkStart w:id="9" w:name="_Ref414279467"/>
      <w:r>
        <w:t xml:space="preserve">Figure </w:t>
      </w:r>
      <w:r>
        <w:fldChar w:fldCharType="begin"/>
      </w:r>
      <w:r>
        <w:instrText xml:space="preserve"> SEQ Figure \* ARABIC </w:instrText>
      </w:r>
      <w:r>
        <w:fldChar w:fldCharType="separate"/>
      </w:r>
      <w:r w:rsidR="00B17EBB">
        <w:rPr>
          <w:noProof/>
        </w:rPr>
        <w:t>1</w:t>
      </w:r>
      <w:r>
        <w:fldChar w:fldCharType="end"/>
      </w:r>
      <w:bookmarkEnd w:id="9"/>
      <w:r w:rsidR="005501E0">
        <w:t xml:space="preserve">: </w:t>
      </w:r>
      <w:r>
        <w:t>DL-only LAA cross-carrier scheduling based on PDCCH</w:t>
      </w:r>
      <w:r w:rsidR="005501E0">
        <w:t xml:space="preserve"> (left) and EPDCCH (right)</w:t>
      </w:r>
    </w:p>
    <w:p w:rsidR="009D2113" w:rsidRDefault="0084595C" w:rsidP="0084595C">
      <w:pPr>
        <w:rPr>
          <w:rFonts w:eastAsia="Times New Roman"/>
        </w:rPr>
      </w:pPr>
      <w:r>
        <w:rPr>
          <w:rFonts w:eastAsia="Times New Roman"/>
        </w:rPr>
        <w:t xml:space="preserve">If the scheduling grant is sent </w:t>
      </w:r>
      <w:r w:rsidR="00D049B6">
        <w:rPr>
          <w:rFonts w:eastAsia="Times New Roman"/>
        </w:rPr>
        <w:t>using</w:t>
      </w:r>
      <w:r>
        <w:rPr>
          <w:rFonts w:eastAsia="Times New Roman"/>
        </w:rPr>
        <w:t xml:space="preserve"> EPDCCH, </w:t>
      </w:r>
      <w:r w:rsidR="009D2113">
        <w:rPr>
          <w:rFonts w:eastAsia="Times New Roman"/>
        </w:rPr>
        <w:t xml:space="preserve">it may be possible to avoid the case that EPDCCH is needed to be provided before or at the same time as the corresponding PDSCH. This is achieved by configuring the EPDCCH to start later in the subframe than the PDSCH would start on the LAA SCell. This needs however to be studied more, specifically to understand the corresponding eNB complexity better. </w:t>
      </w:r>
    </w:p>
    <w:p w:rsidR="0084595C" w:rsidRPr="0084595C" w:rsidRDefault="0084595C" w:rsidP="0084595C">
      <w:pPr>
        <w:spacing w:after="0"/>
        <w:rPr>
          <w:b/>
        </w:rPr>
      </w:pPr>
      <w:r w:rsidRPr="00CD61C7">
        <w:rPr>
          <w:rFonts w:eastAsia="Times New Roman"/>
          <w:b/>
        </w:rPr>
        <w:t>Proposal</w:t>
      </w:r>
      <w:r>
        <w:rPr>
          <w:rFonts w:eastAsia="Times New Roman"/>
          <w:b/>
        </w:rPr>
        <w:t xml:space="preserve">: </w:t>
      </w:r>
      <w:r w:rsidRPr="0084595C">
        <w:rPr>
          <w:b/>
        </w:rPr>
        <w:t xml:space="preserve">Further study is needed on how to support </w:t>
      </w:r>
      <w:r w:rsidR="005C2B0B">
        <w:rPr>
          <w:b/>
        </w:rPr>
        <w:t>joint grant</w:t>
      </w:r>
      <w:r w:rsidR="00A6458E">
        <w:rPr>
          <w:b/>
        </w:rPr>
        <w:t xml:space="preserve"> for unlicensed carriers </w:t>
      </w:r>
      <w:r w:rsidR="00FD5737">
        <w:rPr>
          <w:b/>
        </w:rPr>
        <w:t>considering</w:t>
      </w:r>
      <w:r w:rsidR="00A6458E">
        <w:rPr>
          <w:b/>
        </w:rPr>
        <w:t xml:space="preserve"> </w:t>
      </w:r>
      <w:r w:rsidR="00FD5737">
        <w:rPr>
          <w:b/>
        </w:rPr>
        <w:t>the</w:t>
      </w:r>
      <w:r w:rsidR="00A6458E">
        <w:rPr>
          <w:b/>
        </w:rPr>
        <w:t xml:space="preserve"> </w:t>
      </w:r>
      <w:r w:rsidR="00447144">
        <w:rPr>
          <w:b/>
        </w:rPr>
        <w:t xml:space="preserve">interaction with </w:t>
      </w:r>
      <w:r w:rsidR="00A6458E">
        <w:rPr>
          <w:b/>
        </w:rPr>
        <w:t>the LBT procedure</w:t>
      </w:r>
      <w:r>
        <w:rPr>
          <w:b/>
        </w:rPr>
        <w:t>.</w:t>
      </w:r>
    </w:p>
    <w:p w:rsidR="00601EDD" w:rsidRDefault="00601EDD" w:rsidP="00601EDD">
      <w:pPr>
        <w:pStyle w:val="Heading1"/>
      </w:pPr>
      <w:r>
        <w:t>Conclusions</w:t>
      </w:r>
    </w:p>
    <w:p w:rsidR="00335C43" w:rsidRDefault="00A76AAF" w:rsidP="00A76AAF">
      <w:r>
        <w:t xml:space="preserve">In this contribution, we discussed </w:t>
      </w:r>
      <w:r w:rsidR="008F2918">
        <w:t xml:space="preserve">some remaining issues related to </w:t>
      </w:r>
      <w:r>
        <w:t>the</w:t>
      </w:r>
      <w:r w:rsidR="008F2918">
        <w:t xml:space="preserve"> DL control signalling enhancements</w:t>
      </w:r>
      <w:r>
        <w:t>. Based on the discussion, we ha</w:t>
      </w:r>
      <w:r w:rsidR="00335C43">
        <w:t>ve</w:t>
      </w:r>
      <w:r>
        <w:t xml:space="preserve"> the following </w:t>
      </w:r>
      <w:r w:rsidR="00335C43">
        <w:t>observations</w:t>
      </w:r>
      <w:r w:rsidR="00A057C6">
        <w:t xml:space="preserve"> and proposal:</w:t>
      </w:r>
    </w:p>
    <w:p w:rsidR="00992FF3" w:rsidRPr="00D26C7C" w:rsidRDefault="00992FF3" w:rsidP="00992FF3">
      <w:pPr>
        <w:rPr>
          <w:b/>
          <w:lang w:val="en-US"/>
        </w:rPr>
      </w:pPr>
      <w:r w:rsidRPr="00D26C7C">
        <w:rPr>
          <w:b/>
          <w:lang w:val="en-US"/>
        </w:rPr>
        <w:t>Observation</w:t>
      </w:r>
      <w:r>
        <w:rPr>
          <w:b/>
          <w:lang w:val="en-US"/>
        </w:rPr>
        <w:t xml:space="preserve"> 1</w:t>
      </w:r>
      <w:r w:rsidRPr="00D26C7C">
        <w:rPr>
          <w:b/>
          <w:lang w:val="en-US"/>
        </w:rPr>
        <w:t xml:space="preserve">: </w:t>
      </w:r>
      <w:r w:rsidR="00DD507E">
        <w:rPr>
          <w:b/>
          <w:lang w:val="en-US"/>
        </w:rPr>
        <w:t>J</w:t>
      </w:r>
      <w:r>
        <w:rPr>
          <w:b/>
          <w:lang w:val="en-US"/>
        </w:rPr>
        <w:t>oint grant</w:t>
      </w:r>
      <w:r w:rsidRPr="00D26C7C">
        <w:rPr>
          <w:b/>
          <w:lang w:val="en-US"/>
        </w:rPr>
        <w:t xml:space="preserve"> may not be justified for licensed carriers considering </w:t>
      </w:r>
      <w:r>
        <w:rPr>
          <w:b/>
          <w:lang w:val="en-US"/>
        </w:rPr>
        <w:t>the limited number of licensed carriers and the co-existence with</w:t>
      </w:r>
      <w:r w:rsidRPr="00D26C7C">
        <w:rPr>
          <w:b/>
          <w:lang w:val="en-US"/>
        </w:rPr>
        <w:t xml:space="preserve"> legacy UEs.</w:t>
      </w:r>
    </w:p>
    <w:p w:rsidR="00992FF3" w:rsidRDefault="00992FF3" w:rsidP="00992FF3">
      <w:pPr>
        <w:rPr>
          <w:b/>
          <w:lang w:val="en-US"/>
        </w:rPr>
      </w:pPr>
      <w:r w:rsidRPr="007A5483">
        <w:rPr>
          <w:b/>
          <w:lang w:val="en-US"/>
        </w:rPr>
        <w:t>Observation</w:t>
      </w:r>
      <w:r>
        <w:rPr>
          <w:b/>
          <w:lang w:val="en-US"/>
        </w:rPr>
        <w:t xml:space="preserve"> 2</w:t>
      </w:r>
      <w:r w:rsidRPr="007A5483">
        <w:rPr>
          <w:b/>
          <w:lang w:val="en-US"/>
        </w:rPr>
        <w:t xml:space="preserve">: </w:t>
      </w:r>
      <w:r w:rsidR="00DD507E">
        <w:rPr>
          <w:b/>
          <w:lang w:val="en-US"/>
        </w:rPr>
        <w:t>J</w:t>
      </w:r>
      <w:r>
        <w:rPr>
          <w:b/>
          <w:lang w:val="en-US"/>
        </w:rPr>
        <w:t>oint grant</w:t>
      </w:r>
      <w:r w:rsidRPr="007A5483">
        <w:rPr>
          <w:b/>
          <w:lang w:val="en-US"/>
        </w:rPr>
        <w:t xml:space="preserve"> may be beneficial for unlicensed carriers </w:t>
      </w:r>
      <w:r>
        <w:rPr>
          <w:b/>
          <w:lang w:val="en-US"/>
        </w:rPr>
        <w:t>which</w:t>
      </w:r>
      <w:r w:rsidRPr="007A5483">
        <w:rPr>
          <w:b/>
          <w:lang w:val="en-US"/>
        </w:rPr>
        <w:t xml:space="preserve"> </w:t>
      </w:r>
      <w:r>
        <w:rPr>
          <w:b/>
          <w:lang w:val="en-US"/>
        </w:rPr>
        <w:t>need to</w:t>
      </w:r>
      <w:r w:rsidRPr="007A5483">
        <w:rPr>
          <w:b/>
          <w:lang w:val="en-US"/>
        </w:rPr>
        <w:t xml:space="preserve"> be studied together with the LBT procedure</w:t>
      </w:r>
      <w:r>
        <w:rPr>
          <w:b/>
          <w:lang w:val="en-US"/>
        </w:rPr>
        <w:t>.</w:t>
      </w:r>
    </w:p>
    <w:p w:rsidR="00992FF3" w:rsidRPr="00992FF3" w:rsidRDefault="005C2B0B" w:rsidP="00992FF3">
      <w:pPr>
        <w:rPr>
          <w:b/>
        </w:rPr>
      </w:pPr>
      <w:r w:rsidRPr="00CD61C7">
        <w:rPr>
          <w:rFonts w:eastAsia="Times New Roman"/>
          <w:b/>
        </w:rPr>
        <w:t>Proposal</w:t>
      </w:r>
      <w:r>
        <w:rPr>
          <w:rFonts w:eastAsia="Times New Roman"/>
          <w:b/>
        </w:rPr>
        <w:t xml:space="preserve">: </w:t>
      </w:r>
      <w:r w:rsidRPr="0084595C">
        <w:rPr>
          <w:b/>
        </w:rPr>
        <w:t xml:space="preserve">Further study is needed on how to support </w:t>
      </w:r>
      <w:r>
        <w:rPr>
          <w:b/>
        </w:rPr>
        <w:t>joint grant for unlicensed carriers considering the interaction with the LBT procedure.</w:t>
      </w:r>
    </w:p>
    <w:p w:rsidR="000A1498" w:rsidRPr="009077C7" w:rsidRDefault="000A1498" w:rsidP="006069E0">
      <w:pPr>
        <w:pStyle w:val="Heading1"/>
        <w:rPr>
          <w:b/>
          <w:lang w:val="en-US"/>
        </w:rPr>
      </w:pPr>
      <w:r w:rsidRPr="006069E0">
        <w:t>Reference</w:t>
      </w:r>
      <w:r w:rsidRPr="009077C7">
        <w:rPr>
          <w:b/>
          <w:lang w:val="en-US"/>
        </w:rPr>
        <w:t xml:space="preserve"> </w:t>
      </w:r>
    </w:p>
    <w:p w:rsidR="00D616C4" w:rsidRDefault="00D616C4" w:rsidP="00D616C4">
      <w:pPr>
        <w:numPr>
          <w:ilvl w:val="0"/>
          <w:numId w:val="2"/>
        </w:numPr>
        <w:jc w:val="left"/>
      </w:pPr>
      <w:bookmarkStart w:id="10" w:name="_Ref399492251"/>
      <w:bookmarkStart w:id="11" w:name="_Ref409528764"/>
      <w:bookmarkStart w:id="12" w:name="_Ref254005911"/>
      <w:bookmarkStart w:id="13" w:name="_Ref416389803"/>
      <w:bookmarkStart w:id="14" w:name="_Ref419468489"/>
      <w:r w:rsidRPr="00D616C4">
        <w:t>R1-152773</w:t>
      </w:r>
      <w:r w:rsidRPr="00D616C4">
        <w:tab/>
        <w:t>DL control information signalling for LTE CA of up to 32 CCs</w:t>
      </w:r>
      <w:r w:rsidRPr="00D616C4">
        <w:tab/>
        <w:t>Qualcomm Inc.</w:t>
      </w:r>
    </w:p>
    <w:p w:rsidR="00D616C4" w:rsidRDefault="00D616C4" w:rsidP="00D616C4">
      <w:pPr>
        <w:numPr>
          <w:ilvl w:val="0"/>
          <w:numId w:val="2"/>
        </w:numPr>
        <w:jc w:val="left"/>
      </w:pPr>
      <w:bookmarkStart w:id="15" w:name="_Ref419468497"/>
      <w:bookmarkStart w:id="16" w:name="_Ref427250302"/>
      <w:bookmarkEnd w:id="14"/>
      <w:r w:rsidRPr="00D616C4">
        <w:t>R1-153204</w:t>
      </w:r>
      <w:r w:rsidRPr="00D616C4">
        <w:tab/>
        <w:t>Downlink resource allocation for B5C</w:t>
      </w:r>
      <w:r w:rsidRPr="00D616C4">
        <w:tab/>
        <w:t>Huawei, HiSilicon</w:t>
      </w:r>
      <w:bookmarkEnd w:id="16"/>
    </w:p>
    <w:p w:rsidR="005B1624" w:rsidRDefault="005B1624" w:rsidP="00D616C4">
      <w:pPr>
        <w:numPr>
          <w:ilvl w:val="0"/>
          <w:numId w:val="2"/>
        </w:numPr>
        <w:jc w:val="left"/>
      </w:pPr>
      <w:bookmarkStart w:id="17" w:name="_Ref427261130"/>
      <w:r w:rsidRPr="001D7CB1">
        <w:t>R1-090862, “Multicarrier control for LTE-Advanced”, Qualcomm Europe</w:t>
      </w:r>
      <w:bookmarkEnd w:id="15"/>
      <w:bookmarkEnd w:id="17"/>
    </w:p>
    <w:p w:rsidR="001D62D9" w:rsidRPr="001D7CB1" w:rsidRDefault="001D62D9" w:rsidP="001D62D9">
      <w:pPr>
        <w:numPr>
          <w:ilvl w:val="0"/>
          <w:numId w:val="2"/>
        </w:numPr>
        <w:jc w:val="left"/>
      </w:pPr>
      <w:bookmarkStart w:id="18" w:name="_Ref419468638"/>
      <w:r w:rsidRPr="001D62D9">
        <w:t>R1-151966</w:t>
      </w:r>
      <w:r>
        <w:t>,</w:t>
      </w:r>
      <w:r w:rsidRPr="001D62D9">
        <w:tab/>
      </w:r>
      <w:r>
        <w:t>“</w:t>
      </w:r>
      <w:r w:rsidRPr="001D62D9">
        <w:t>Views on target use-cases of LTE CA of up to 32 CCs</w:t>
      </w:r>
      <w:r>
        <w:t>”,</w:t>
      </w:r>
      <w:r w:rsidRPr="001D62D9">
        <w:tab/>
      </w:r>
      <w:r>
        <w:t xml:space="preserve"> </w:t>
      </w:r>
      <w:r w:rsidRPr="001D62D9">
        <w:t>NTT DOCOMO INC</w:t>
      </w:r>
      <w:bookmarkEnd w:id="18"/>
    </w:p>
    <w:p w:rsidR="00A76AAF" w:rsidRPr="005F36BE" w:rsidRDefault="005066D7" w:rsidP="009077C7">
      <w:pPr>
        <w:pStyle w:val="references"/>
        <w:numPr>
          <w:ilvl w:val="0"/>
          <w:numId w:val="2"/>
        </w:numPr>
        <w:spacing w:after="120" w:line="240" w:lineRule="auto"/>
        <w:rPr>
          <w:sz w:val="22"/>
          <w:szCs w:val="22"/>
          <w:lang w:val="en-GB"/>
        </w:rPr>
      </w:pPr>
      <w:bookmarkStart w:id="19" w:name="_Ref419468901"/>
      <w:bookmarkEnd w:id="10"/>
      <w:bookmarkEnd w:id="11"/>
      <w:bookmarkEnd w:id="12"/>
      <w:bookmarkEnd w:id="13"/>
      <w:r w:rsidRPr="00E45157">
        <w:rPr>
          <w:sz w:val="22"/>
          <w:szCs w:val="22"/>
          <w:lang w:val="en-GB"/>
        </w:rPr>
        <w:t>R1-152001, “On Scheduling in LAA with Only DL Transmissions”, Ericsson</w:t>
      </w:r>
      <w:bookmarkEnd w:id="19"/>
    </w:p>
    <w:sectPr w:rsidR="00A76AAF" w:rsidRPr="005F36B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B3D" w:rsidRDefault="00A13B3D">
      <w:r>
        <w:separator/>
      </w:r>
    </w:p>
  </w:endnote>
  <w:endnote w:type="continuationSeparator" w:id="0">
    <w:p w:rsidR="00A13B3D" w:rsidRDefault="00A1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2B" w:rsidRDefault="000A782B"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71E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71E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B3D" w:rsidRDefault="00A13B3D">
      <w:r>
        <w:separator/>
      </w:r>
    </w:p>
  </w:footnote>
  <w:footnote w:type="continuationSeparator" w:id="0">
    <w:p w:rsidR="00A13B3D" w:rsidRDefault="00A13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2B" w:rsidRDefault="000A78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C68F5F6"/>
    <w:lvl w:ilvl="0">
      <w:start w:val="1"/>
      <w:numFmt w:val="decimal"/>
      <w:pStyle w:val="Heading1"/>
      <w:lvlText w:val="%1"/>
      <w:lvlJc w:val="left"/>
      <w:pPr>
        <w:tabs>
          <w:tab w:val="num" w:pos="432"/>
        </w:tabs>
        <w:ind w:left="432" w:hanging="432"/>
      </w:pPr>
      <w:rPr>
        <w:rFonts w:hint="default"/>
        <w:b w:val="0"/>
        <w:sz w:val="36"/>
        <w:szCs w:val="36"/>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3">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4">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5">
    <w:nsid w:val="52CA544A"/>
    <w:multiLevelType w:val="singleLevel"/>
    <w:tmpl w:val="84567A0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2"/>
        <w:szCs w:val="22"/>
      </w:rPr>
    </w:lvl>
  </w:abstractNum>
  <w:abstractNum w:abstractNumId="6">
    <w:nsid w:val="6B501F8A"/>
    <w:multiLevelType w:val="hybridMultilevel"/>
    <w:tmpl w:val="5400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359B"/>
    <w:rsid w:val="00003692"/>
    <w:rsid w:val="000077D3"/>
    <w:rsid w:val="000100C4"/>
    <w:rsid w:val="00014003"/>
    <w:rsid w:val="00015965"/>
    <w:rsid w:val="00015A19"/>
    <w:rsid w:val="0001631F"/>
    <w:rsid w:val="000173A2"/>
    <w:rsid w:val="00017E44"/>
    <w:rsid w:val="00021047"/>
    <w:rsid w:val="00022A6D"/>
    <w:rsid w:val="00023E1D"/>
    <w:rsid w:val="000254C3"/>
    <w:rsid w:val="00025A3C"/>
    <w:rsid w:val="00026BA1"/>
    <w:rsid w:val="00026EDA"/>
    <w:rsid w:val="00027053"/>
    <w:rsid w:val="0003125D"/>
    <w:rsid w:val="00031496"/>
    <w:rsid w:val="0003279D"/>
    <w:rsid w:val="000335BD"/>
    <w:rsid w:val="000341D4"/>
    <w:rsid w:val="00035A95"/>
    <w:rsid w:val="00035CE2"/>
    <w:rsid w:val="000368B4"/>
    <w:rsid w:val="00036946"/>
    <w:rsid w:val="00036D28"/>
    <w:rsid w:val="00037AF1"/>
    <w:rsid w:val="00037C76"/>
    <w:rsid w:val="00040A52"/>
    <w:rsid w:val="000427CC"/>
    <w:rsid w:val="00043AFB"/>
    <w:rsid w:val="00044848"/>
    <w:rsid w:val="00046257"/>
    <w:rsid w:val="00046CE5"/>
    <w:rsid w:val="00047ED2"/>
    <w:rsid w:val="00050A02"/>
    <w:rsid w:val="0005240C"/>
    <w:rsid w:val="0005242B"/>
    <w:rsid w:val="00054472"/>
    <w:rsid w:val="000552FB"/>
    <w:rsid w:val="000568ED"/>
    <w:rsid w:val="00057309"/>
    <w:rsid w:val="0006221D"/>
    <w:rsid w:val="00063E79"/>
    <w:rsid w:val="00063E9A"/>
    <w:rsid w:val="0006438F"/>
    <w:rsid w:val="00064706"/>
    <w:rsid w:val="00066D9E"/>
    <w:rsid w:val="00067DE0"/>
    <w:rsid w:val="00071E4A"/>
    <w:rsid w:val="00072AA4"/>
    <w:rsid w:val="00072ACF"/>
    <w:rsid w:val="00074194"/>
    <w:rsid w:val="00074B91"/>
    <w:rsid w:val="00075BE0"/>
    <w:rsid w:val="00080027"/>
    <w:rsid w:val="00081384"/>
    <w:rsid w:val="000832DC"/>
    <w:rsid w:val="000836C8"/>
    <w:rsid w:val="00084CEC"/>
    <w:rsid w:val="00085DA9"/>
    <w:rsid w:val="00086587"/>
    <w:rsid w:val="00086F37"/>
    <w:rsid w:val="0008727C"/>
    <w:rsid w:val="00093CA1"/>
    <w:rsid w:val="00094048"/>
    <w:rsid w:val="00094536"/>
    <w:rsid w:val="000948D4"/>
    <w:rsid w:val="000962EF"/>
    <w:rsid w:val="000A02AB"/>
    <w:rsid w:val="000A0C1A"/>
    <w:rsid w:val="000A1498"/>
    <w:rsid w:val="000A1BE9"/>
    <w:rsid w:val="000A2AD4"/>
    <w:rsid w:val="000A453D"/>
    <w:rsid w:val="000A752C"/>
    <w:rsid w:val="000A782B"/>
    <w:rsid w:val="000B22C9"/>
    <w:rsid w:val="000B26D2"/>
    <w:rsid w:val="000B2AF7"/>
    <w:rsid w:val="000B4583"/>
    <w:rsid w:val="000B54CA"/>
    <w:rsid w:val="000B6F93"/>
    <w:rsid w:val="000B7E8C"/>
    <w:rsid w:val="000C1447"/>
    <w:rsid w:val="000C17F6"/>
    <w:rsid w:val="000C27B5"/>
    <w:rsid w:val="000C36AA"/>
    <w:rsid w:val="000C37DB"/>
    <w:rsid w:val="000C3CC8"/>
    <w:rsid w:val="000C5580"/>
    <w:rsid w:val="000C6A2E"/>
    <w:rsid w:val="000C71E2"/>
    <w:rsid w:val="000C77D1"/>
    <w:rsid w:val="000D1602"/>
    <w:rsid w:val="000D33B5"/>
    <w:rsid w:val="000D390B"/>
    <w:rsid w:val="000D451D"/>
    <w:rsid w:val="000E0324"/>
    <w:rsid w:val="000E06C5"/>
    <w:rsid w:val="000E1152"/>
    <w:rsid w:val="000E2CA7"/>
    <w:rsid w:val="000E473A"/>
    <w:rsid w:val="000E500F"/>
    <w:rsid w:val="000E5091"/>
    <w:rsid w:val="000F144F"/>
    <w:rsid w:val="000F25A6"/>
    <w:rsid w:val="000F2CC8"/>
    <w:rsid w:val="000F3D8D"/>
    <w:rsid w:val="000F5540"/>
    <w:rsid w:val="000F60B2"/>
    <w:rsid w:val="000F642E"/>
    <w:rsid w:val="000F706B"/>
    <w:rsid w:val="000F714A"/>
    <w:rsid w:val="001002BE"/>
    <w:rsid w:val="00100E91"/>
    <w:rsid w:val="0010223A"/>
    <w:rsid w:val="00104F9A"/>
    <w:rsid w:val="001121D2"/>
    <w:rsid w:val="001140AA"/>
    <w:rsid w:val="00116A20"/>
    <w:rsid w:val="00120B78"/>
    <w:rsid w:val="001229C9"/>
    <w:rsid w:val="0012459D"/>
    <w:rsid w:val="001260F6"/>
    <w:rsid w:val="00127404"/>
    <w:rsid w:val="00127701"/>
    <w:rsid w:val="001315D8"/>
    <w:rsid w:val="00131E5C"/>
    <w:rsid w:val="00131F98"/>
    <w:rsid w:val="001322E9"/>
    <w:rsid w:val="00132565"/>
    <w:rsid w:val="0013291D"/>
    <w:rsid w:val="001408F8"/>
    <w:rsid w:val="001413CF"/>
    <w:rsid w:val="00142970"/>
    <w:rsid w:val="00142BC5"/>
    <w:rsid w:val="001442AA"/>
    <w:rsid w:val="001476E1"/>
    <w:rsid w:val="001477BC"/>
    <w:rsid w:val="0015084B"/>
    <w:rsid w:val="00150EB1"/>
    <w:rsid w:val="001512C1"/>
    <w:rsid w:val="00151312"/>
    <w:rsid w:val="00151903"/>
    <w:rsid w:val="00153BA9"/>
    <w:rsid w:val="00154F27"/>
    <w:rsid w:val="00155C67"/>
    <w:rsid w:val="001565C9"/>
    <w:rsid w:val="00156BB1"/>
    <w:rsid w:val="00160FC2"/>
    <w:rsid w:val="00162637"/>
    <w:rsid w:val="00164D5A"/>
    <w:rsid w:val="00166D37"/>
    <w:rsid w:val="00167932"/>
    <w:rsid w:val="001718CC"/>
    <w:rsid w:val="00176BDD"/>
    <w:rsid w:val="001805E5"/>
    <w:rsid w:val="001806D4"/>
    <w:rsid w:val="001807D0"/>
    <w:rsid w:val="0018196C"/>
    <w:rsid w:val="00181E67"/>
    <w:rsid w:val="00182064"/>
    <w:rsid w:val="00182075"/>
    <w:rsid w:val="00182390"/>
    <w:rsid w:val="00182CDD"/>
    <w:rsid w:val="001849C3"/>
    <w:rsid w:val="00185E9B"/>
    <w:rsid w:val="001864A0"/>
    <w:rsid w:val="00190DCC"/>
    <w:rsid w:val="0019129C"/>
    <w:rsid w:val="0019168A"/>
    <w:rsid w:val="001937B3"/>
    <w:rsid w:val="00193842"/>
    <w:rsid w:val="00196275"/>
    <w:rsid w:val="00196B28"/>
    <w:rsid w:val="00197BB6"/>
    <w:rsid w:val="00197EC1"/>
    <w:rsid w:val="001A01BF"/>
    <w:rsid w:val="001A1875"/>
    <w:rsid w:val="001A2743"/>
    <w:rsid w:val="001A3FD5"/>
    <w:rsid w:val="001A4BDE"/>
    <w:rsid w:val="001A4D91"/>
    <w:rsid w:val="001A501D"/>
    <w:rsid w:val="001A62A5"/>
    <w:rsid w:val="001A641F"/>
    <w:rsid w:val="001A69C7"/>
    <w:rsid w:val="001B6327"/>
    <w:rsid w:val="001B6853"/>
    <w:rsid w:val="001B6A9D"/>
    <w:rsid w:val="001B6ACA"/>
    <w:rsid w:val="001B6B90"/>
    <w:rsid w:val="001C550F"/>
    <w:rsid w:val="001D32F4"/>
    <w:rsid w:val="001D363C"/>
    <w:rsid w:val="001D62D9"/>
    <w:rsid w:val="001D6428"/>
    <w:rsid w:val="001D6E54"/>
    <w:rsid w:val="001D7CB1"/>
    <w:rsid w:val="001E0563"/>
    <w:rsid w:val="001E0EE7"/>
    <w:rsid w:val="001E2BCB"/>
    <w:rsid w:val="001E34AE"/>
    <w:rsid w:val="001E3944"/>
    <w:rsid w:val="001E3EBE"/>
    <w:rsid w:val="001E6048"/>
    <w:rsid w:val="001E63DD"/>
    <w:rsid w:val="001E658C"/>
    <w:rsid w:val="001E65E4"/>
    <w:rsid w:val="001E7466"/>
    <w:rsid w:val="001F2699"/>
    <w:rsid w:val="001F2F41"/>
    <w:rsid w:val="001F518D"/>
    <w:rsid w:val="001F5400"/>
    <w:rsid w:val="001F5E00"/>
    <w:rsid w:val="001F619B"/>
    <w:rsid w:val="001F6BB7"/>
    <w:rsid w:val="001F6CDF"/>
    <w:rsid w:val="001F7FF8"/>
    <w:rsid w:val="0020079D"/>
    <w:rsid w:val="002009EE"/>
    <w:rsid w:val="002013BB"/>
    <w:rsid w:val="002046E6"/>
    <w:rsid w:val="00206817"/>
    <w:rsid w:val="00211920"/>
    <w:rsid w:val="00211992"/>
    <w:rsid w:val="00212A21"/>
    <w:rsid w:val="002131B1"/>
    <w:rsid w:val="0021336C"/>
    <w:rsid w:val="00213CB3"/>
    <w:rsid w:val="00216465"/>
    <w:rsid w:val="00216D83"/>
    <w:rsid w:val="00217651"/>
    <w:rsid w:val="002209FF"/>
    <w:rsid w:val="00220A03"/>
    <w:rsid w:val="00221532"/>
    <w:rsid w:val="00221BE6"/>
    <w:rsid w:val="00223BE3"/>
    <w:rsid w:val="00226196"/>
    <w:rsid w:val="002266BA"/>
    <w:rsid w:val="00227EBB"/>
    <w:rsid w:val="00230C24"/>
    <w:rsid w:val="0023122F"/>
    <w:rsid w:val="002348B1"/>
    <w:rsid w:val="00234D0E"/>
    <w:rsid w:val="00235E2E"/>
    <w:rsid w:val="002367CC"/>
    <w:rsid w:val="00237E20"/>
    <w:rsid w:val="0024017A"/>
    <w:rsid w:val="00240696"/>
    <w:rsid w:val="00240C9E"/>
    <w:rsid w:val="002410BB"/>
    <w:rsid w:val="00243B78"/>
    <w:rsid w:val="00243DCA"/>
    <w:rsid w:val="0024465F"/>
    <w:rsid w:val="00244ADE"/>
    <w:rsid w:val="002508E6"/>
    <w:rsid w:val="00251E9E"/>
    <w:rsid w:val="00253A32"/>
    <w:rsid w:val="00253ACB"/>
    <w:rsid w:val="00255DB0"/>
    <w:rsid w:val="00256A7B"/>
    <w:rsid w:val="00257757"/>
    <w:rsid w:val="00257785"/>
    <w:rsid w:val="00261554"/>
    <w:rsid w:val="00263ED8"/>
    <w:rsid w:val="00264B90"/>
    <w:rsid w:val="00264D5A"/>
    <w:rsid w:val="00265FFB"/>
    <w:rsid w:val="00270647"/>
    <w:rsid w:val="002722C2"/>
    <w:rsid w:val="00272573"/>
    <w:rsid w:val="00272CC9"/>
    <w:rsid w:val="002739BA"/>
    <w:rsid w:val="00274636"/>
    <w:rsid w:val="002759A4"/>
    <w:rsid w:val="0027751B"/>
    <w:rsid w:val="00277831"/>
    <w:rsid w:val="002806CF"/>
    <w:rsid w:val="00280843"/>
    <w:rsid w:val="002824CD"/>
    <w:rsid w:val="00282A76"/>
    <w:rsid w:val="002842E9"/>
    <w:rsid w:val="00284809"/>
    <w:rsid w:val="00285BF6"/>
    <w:rsid w:val="002863FE"/>
    <w:rsid w:val="00286487"/>
    <w:rsid w:val="00286606"/>
    <w:rsid w:val="00286AB8"/>
    <w:rsid w:val="002870FA"/>
    <w:rsid w:val="00290F74"/>
    <w:rsid w:val="002910A4"/>
    <w:rsid w:val="00292E46"/>
    <w:rsid w:val="00294D7D"/>
    <w:rsid w:val="00297025"/>
    <w:rsid w:val="002977EA"/>
    <w:rsid w:val="002A00A8"/>
    <w:rsid w:val="002A0866"/>
    <w:rsid w:val="002A0DA2"/>
    <w:rsid w:val="002A2676"/>
    <w:rsid w:val="002A2856"/>
    <w:rsid w:val="002A301D"/>
    <w:rsid w:val="002A3B1A"/>
    <w:rsid w:val="002A595B"/>
    <w:rsid w:val="002A5CC6"/>
    <w:rsid w:val="002A719A"/>
    <w:rsid w:val="002A785F"/>
    <w:rsid w:val="002A7ECF"/>
    <w:rsid w:val="002B0F0A"/>
    <w:rsid w:val="002B2C83"/>
    <w:rsid w:val="002B2EA6"/>
    <w:rsid w:val="002B2FFA"/>
    <w:rsid w:val="002B4DF0"/>
    <w:rsid w:val="002B5041"/>
    <w:rsid w:val="002B6EFC"/>
    <w:rsid w:val="002B729E"/>
    <w:rsid w:val="002C0882"/>
    <w:rsid w:val="002C4083"/>
    <w:rsid w:val="002C5090"/>
    <w:rsid w:val="002C5932"/>
    <w:rsid w:val="002C7CC9"/>
    <w:rsid w:val="002D0071"/>
    <w:rsid w:val="002D4E82"/>
    <w:rsid w:val="002D58AF"/>
    <w:rsid w:val="002D5960"/>
    <w:rsid w:val="002D7A19"/>
    <w:rsid w:val="002D7BE7"/>
    <w:rsid w:val="002E1242"/>
    <w:rsid w:val="002E147C"/>
    <w:rsid w:val="002E3222"/>
    <w:rsid w:val="002E400D"/>
    <w:rsid w:val="002E4245"/>
    <w:rsid w:val="002E51DD"/>
    <w:rsid w:val="002E6143"/>
    <w:rsid w:val="002E6775"/>
    <w:rsid w:val="002E72B9"/>
    <w:rsid w:val="002E78A2"/>
    <w:rsid w:val="002F014B"/>
    <w:rsid w:val="002F252B"/>
    <w:rsid w:val="002F49B4"/>
    <w:rsid w:val="002F4D16"/>
    <w:rsid w:val="002F5D72"/>
    <w:rsid w:val="002F6970"/>
    <w:rsid w:val="002F6AF3"/>
    <w:rsid w:val="002F791A"/>
    <w:rsid w:val="00300390"/>
    <w:rsid w:val="0030229D"/>
    <w:rsid w:val="00303D52"/>
    <w:rsid w:val="00305637"/>
    <w:rsid w:val="00310A5A"/>
    <w:rsid w:val="0031181B"/>
    <w:rsid w:val="00313469"/>
    <w:rsid w:val="0031395E"/>
    <w:rsid w:val="00314983"/>
    <w:rsid w:val="003153DE"/>
    <w:rsid w:val="0031772B"/>
    <w:rsid w:val="003202E3"/>
    <w:rsid w:val="00320933"/>
    <w:rsid w:val="0032109D"/>
    <w:rsid w:val="003216DA"/>
    <w:rsid w:val="003219AC"/>
    <w:rsid w:val="00322BDA"/>
    <w:rsid w:val="0032439C"/>
    <w:rsid w:val="0032606A"/>
    <w:rsid w:val="003265C8"/>
    <w:rsid w:val="0032673B"/>
    <w:rsid w:val="00326ACD"/>
    <w:rsid w:val="00326DDF"/>
    <w:rsid w:val="00326EAA"/>
    <w:rsid w:val="00327745"/>
    <w:rsid w:val="00327D8E"/>
    <w:rsid w:val="0033227D"/>
    <w:rsid w:val="00333F2D"/>
    <w:rsid w:val="0033450C"/>
    <w:rsid w:val="00334974"/>
    <w:rsid w:val="00335C43"/>
    <w:rsid w:val="0033683D"/>
    <w:rsid w:val="00336E46"/>
    <w:rsid w:val="00342751"/>
    <w:rsid w:val="00344135"/>
    <w:rsid w:val="003468F1"/>
    <w:rsid w:val="00352B8F"/>
    <w:rsid w:val="00353A9A"/>
    <w:rsid w:val="00354653"/>
    <w:rsid w:val="00354C34"/>
    <w:rsid w:val="00355CE4"/>
    <w:rsid w:val="00356A77"/>
    <w:rsid w:val="003627A6"/>
    <w:rsid w:val="00362AB3"/>
    <w:rsid w:val="00363C51"/>
    <w:rsid w:val="0036618E"/>
    <w:rsid w:val="003662B1"/>
    <w:rsid w:val="003700CD"/>
    <w:rsid w:val="00371150"/>
    <w:rsid w:val="00373809"/>
    <w:rsid w:val="00373ACB"/>
    <w:rsid w:val="00373D1F"/>
    <w:rsid w:val="00374119"/>
    <w:rsid w:val="003757E3"/>
    <w:rsid w:val="003764A0"/>
    <w:rsid w:val="003765E0"/>
    <w:rsid w:val="003773BA"/>
    <w:rsid w:val="0038055A"/>
    <w:rsid w:val="00381B15"/>
    <w:rsid w:val="00382D96"/>
    <w:rsid w:val="0038732F"/>
    <w:rsid w:val="003879A3"/>
    <w:rsid w:val="0039330D"/>
    <w:rsid w:val="00393911"/>
    <w:rsid w:val="00394722"/>
    <w:rsid w:val="00394EF9"/>
    <w:rsid w:val="003956F8"/>
    <w:rsid w:val="0039592D"/>
    <w:rsid w:val="003968F9"/>
    <w:rsid w:val="00397EBA"/>
    <w:rsid w:val="003A0CCC"/>
    <w:rsid w:val="003A0E9F"/>
    <w:rsid w:val="003A33CB"/>
    <w:rsid w:val="003A4340"/>
    <w:rsid w:val="003A5553"/>
    <w:rsid w:val="003A5799"/>
    <w:rsid w:val="003A6F61"/>
    <w:rsid w:val="003B11B4"/>
    <w:rsid w:val="003B2BD3"/>
    <w:rsid w:val="003B44A7"/>
    <w:rsid w:val="003B713F"/>
    <w:rsid w:val="003C036F"/>
    <w:rsid w:val="003C157C"/>
    <w:rsid w:val="003C17CD"/>
    <w:rsid w:val="003C2448"/>
    <w:rsid w:val="003C3F6C"/>
    <w:rsid w:val="003C471A"/>
    <w:rsid w:val="003C5212"/>
    <w:rsid w:val="003C53A8"/>
    <w:rsid w:val="003D0DEB"/>
    <w:rsid w:val="003D1A26"/>
    <w:rsid w:val="003D27C7"/>
    <w:rsid w:val="003D30D9"/>
    <w:rsid w:val="003D524D"/>
    <w:rsid w:val="003E1CA2"/>
    <w:rsid w:val="003E26F1"/>
    <w:rsid w:val="003E2A5B"/>
    <w:rsid w:val="003E319E"/>
    <w:rsid w:val="003E5292"/>
    <w:rsid w:val="003E5BC1"/>
    <w:rsid w:val="003E6A2A"/>
    <w:rsid w:val="003E744B"/>
    <w:rsid w:val="003E7EFE"/>
    <w:rsid w:val="003F2174"/>
    <w:rsid w:val="003F307C"/>
    <w:rsid w:val="003F63CC"/>
    <w:rsid w:val="004001E7"/>
    <w:rsid w:val="00401360"/>
    <w:rsid w:val="0040141F"/>
    <w:rsid w:val="004045A4"/>
    <w:rsid w:val="00405B8C"/>
    <w:rsid w:val="0041465A"/>
    <w:rsid w:val="00414668"/>
    <w:rsid w:val="0041625B"/>
    <w:rsid w:val="00416EC3"/>
    <w:rsid w:val="00416EDC"/>
    <w:rsid w:val="00417F6B"/>
    <w:rsid w:val="00422F0A"/>
    <w:rsid w:val="00425213"/>
    <w:rsid w:val="00425A03"/>
    <w:rsid w:val="004260F7"/>
    <w:rsid w:val="00427DC3"/>
    <w:rsid w:val="00433FF0"/>
    <w:rsid w:val="00437468"/>
    <w:rsid w:val="0044004D"/>
    <w:rsid w:val="00440E1E"/>
    <w:rsid w:val="00441156"/>
    <w:rsid w:val="00441589"/>
    <w:rsid w:val="004428C5"/>
    <w:rsid w:val="00442F9C"/>
    <w:rsid w:val="00443E65"/>
    <w:rsid w:val="00444EF9"/>
    <w:rsid w:val="00444F70"/>
    <w:rsid w:val="00447144"/>
    <w:rsid w:val="00447972"/>
    <w:rsid w:val="00456140"/>
    <w:rsid w:val="0046014D"/>
    <w:rsid w:val="00463C49"/>
    <w:rsid w:val="004643CD"/>
    <w:rsid w:val="00466C33"/>
    <w:rsid w:val="00470503"/>
    <w:rsid w:val="004708FF"/>
    <w:rsid w:val="00471379"/>
    <w:rsid w:val="00471895"/>
    <w:rsid w:val="004719A7"/>
    <w:rsid w:val="004721AF"/>
    <w:rsid w:val="00472D7A"/>
    <w:rsid w:val="004746AF"/>
    <w:rsid w:val="00474C05"/>
    <w:rsid w:val="00475E08"/>
    <w:rsid w:val="004760B1"/>
    <w:rsid w:val="0047644F"/>
    <w:rsid w:val="00476451"/>
    <w:rsid w:val="004777B2"/>
    <w:rsid w:val="00477BB8"/>
    <w:rsid w:val="0048019E"/>
    <w:rsid w:val="004801CC"/>
    <w:rsid w:val="004840C4"/>
    <w:rsid w:val="00484375"/>
    <w:rsid w:val="004846B9"/>
    <w:rsid w:val="00485B5D"/>
    <w:rsid w:val="00485FEC"/>
    <w:rsid w:val="004903F4"/>
    <w:rsid w:val="0049150E"/>
    <w:rsid w:val="00493C74"/>
    <w:rsid w:val="0049434F"/>
    <w:rsid w:val="00494676"/>
    <w:rsid w:val="004950BA"/>
    <w:rsid w:val="00496171"/>
    <w:rsid w:val="004A0F5D"/>
    <w:rsid w:val="004A18AA"/>
    <w:rsid w:val="004A208D"/>
    <w:rsid w:val="004A2A7E"/>
    <w:rsid w:val="004A3200"/>
    <w:rsid w:val="004A3255"/>
    <w:rsid w:val="004A4510"/>
    <w:rsid w:val="004A4904"/>
    <w:rsid w:val="004A562C"/>
    <w:rsid w:val="004A562D"/>
    <w:rsid w:val="004A7401"/>
    <w:rsid w:val="004A7F19"/>
    <w:rsid w:val="004B0E99"/>
    <w:rsid w:val="004B0FEE"/>
    <w:rsid w:val="004B1B98"/>
    <w:rsid w:val="004B2D17"/>
    <w:rsid w:val="004B37C6"/>
    <w:rsid w:val="004B3972"/>
    <w:rsid w:val="004B3C00"/>
    <w:rsid w:val="004B3FDA"/>
    <w:rsid w:val="004B565B"/>
    <w:rsid w:val="004B7041"/>
    <w:rsid w:val="004C2219"/>
    <w:rsid w:val="004C2518"/>
    <w:rsid w:val="004C2760"/>
    <w:rsid w:val="004C2811"/>
    <w:rsid w:val="004C6AE5"/>
    <w:rsid w:val="004C6CFB"/>
    <w:rsid w:val="004C6E63"/>
    <w:rsid w:val="004C7F18"/>
    <w:rsid w:val="004D0743"/>
    <w:rsid w:val="004D1869"/>
    <w:rsid w:val="004D2A0C"/>
    <w:rsid w:val="004D7CB7"/>
    <w:rsid w:val="004E0DA7"/>
    <w:rsid w:val="004E2241"/>
    <w:rsid w:val="004E40DE"/>
    <w:rsid w:val="004E4627"/>
    <w:rsid w:val="004E4715"/>
    <w:rsid w:val="004E5031"/>
    <w:rsid w:val="004E5A4C"/>
    <w:rsid w:val="004E76D2"/>
    <w:rsid w:val="004E7A18"/>
    <w:rsid w:val="004E7B5B"/>
    <w:rsid w:val="004F2487"/>
    <w:rsid w:val="004F488F"/>
    <w:rsid w:val="00502653"/>
    <w:rsid w:val="005066D7"/>
    <w:rsid w:val="00506B9B"/>
    <w:rsid w:val="00506FCB"/>
    <w:rsid w:val="00507EA2"/>
    <w:rsid w:val="005106DB"/>
    <w:rsid w:val="005122BB"/>
    <w:rsid w:val="00513A9F"/>
    <w:rsid w:val="0051406A"/>
    <w:rsid w:val="0051669B"/>
    <w:rsid w:val="00517F92"/>
    <w:rsid w:val="005200E5"/>
    <w:rsid w:val="005208DC"/>
    <w:rsid w:val="005218B5"/>
    <w:rsid w:val="005230CD"/>
    <w:rsid w:val="00523241"/>
    <w:rsid w:val="005236F2"/>
    <w:rsid w:val="0052457C"/>
    <w:rsid w:val="00524726"/>
    <w:rsid w:val="00527415"/>
    <w:rsid w:val="005312AC"/>
    <w:rsid w:val="00531E9C"/>
    <w:rsid w:val="00532A15"/>
    <w:rsid w:val="00532ACC"/>
    <w:rsid w:val="005335B3"/>
    <w:rsid w:val="00534BFB"/>
    <w:rsid w:val="00535775"/>
    <w:rsid w:val="00536997"/>
    <w:rsid w:val="00536F70"/>
    <w:rsid w:val="00537737"/>
    <w:rsid w:val="00541E48"/>
    <w:rsid w:val="0054440F"/>
    <w:rsid w:val="00544CA7"/>
    <w:rsid w:val="0054541A"/>
    <w:rsid w:val="00545631"/>
    <w:rsid w:val="00546979"/>
    <w:rsid w:val="00546CCF"/>
    <w:rsid w:val="00547C15"/>
    <w:rsid w:val="00547F7E"/>
    <w:rsid w:val="005501E0"/>
    <w:rsid w:val="0055050C"/>
    <w:rsid w:val="00553B31"/>
    <w:rsid w:val="005553CE"/>
    <w:rsid w:val="0055569C"/>
    <w:rsid w:val="005557EF"/>
    <w:rsid w:val="00555DD5"/>
    <w:rsid w:val="00555FDA"/>
    <w:rsid w:val="0055609B"/>
    <w:rsid w:val="005600E5"/>
    <w:rsid w:val="0056047C"/>
    <w:rsid w:val="00560820"/>
    <w:rsid w:val="00561261"/>
    <w:rsid w:val="0056275E"/>
    <w:rsid w:val="0056349B"/>
    <w:rsid w:val="00563AD9"/>
    <w:rsid w:val="00563D0D"/>
    <w:rsid w:val="00567EB0"/>
    <w:rsid w:val="00573DF1"/>
    <w:rsid w:val="00573E75"/>
    <w:rsid w:val="00574ED0"/>
    <w:rsid w:val="0057687B"/>
    <w:rsid w:val="00577605"/>
    <w:rsid w:val="00577ACC"/>
    <w:rsid w:val="00582FA3"/>
    <w:rsid w:val="0058454E"/>
    <w:rsid w:val="00585F9A"/>
    <w:rsid w:val="00586F41"/>
    <w:rsid w:val="00590701"/>
    <w:rsid w:val="00591123"/>
    <w:rsid w:val="005919DB"/>
    <w:rsid w:val="00591DFD"/>
    <w:rsid w:val="005925CD"/>
    <w:rsid w:val="0059735F"/>
    <w:rsid w:val="005A08D7"/>
    <w:rsid w:val="005A20B2"/>
    <w:rsid w:val="005A27C9"/>
    <w:rsid w:val="005A2E5A"/>
    <w:rsid w:val="005A3926"/>
    <w:rsid w:val="005A3D62"/>
    <w:rsid w:val="005A447B"/>
    <w:rsid w:val="005A4A3E"/>
    <w:rsid w:val="005A55D6"/>
    <w:rsid w:val="005A5A3C"/>
    <w:rsid w:val="005A6433"/>
    <w:rsid w:val="005A7781"/>
    <w:rsid w:val="005A7E0C"/>
    <w:rsid w:val="005B1624"/>
    <w:rsid w:val="005B34FC"/>
    <w:rsid w:val="005B4072"/>
    <w:rsid w:val="005B5EC7"/>
    <w:rsid w:val="005B603D"/>
    <w:rsid w:val="005B63BD"/>
    <w:rsid w:val="005B6B81"/>
    <w:rsid w:val="005C051E"/>
    <w:rsid w:val="005C05F1"/>
    <w:rsid w:val="005C27E4"/>
    <w:rsid w:val="005C2B0B"/>
    <w:rsid w:val="005C51E3"/>
    <w:rsid w:val="005D0050"/>
    <w:rsid w:val="005D2217"/>
    <w:rsid w:val="005D564B"/>
    <w:rsid w:val="005D7E93"/>
    <w:rsid w:val="005E0115"/>
    <w:rsid w:val="005E0A83"/>
    <w:rsid w:val="005E1875"/>
    <w:rsid w:val="005E3E6E"/>
    <w:rsid w:val="005E495F"/>
    <w:rsid w:val="005F148A"/>
    <w:rsid w:val="005F36BE"/>
    <w:rsid w:val="005F3927"/>
    <w:rsid w:val="005F5A31"/>
    <w:rsid w:val="005F5B5D"/>
    <w:rsid w:val="00601EDD"/>
    <w:rsid w:val="00602137"/>
    <w:rsid w:val="00602170"/>
    <w:rsid w:val="00602C39"/>
    <w:rsid w:val="006039E6"/>
    <w:rsid w:val="006046C2"/>
    <w:rsid w:val="00605AFD"/>
    <w:rsid w:val="006069E0"/>
    <w:rsid w:val="0061073A"/>
    <w:rsid w:val="00610D81"/>
    <w:rsid w:val="00610EDA"/>
    <w:rsid w:val="00611C71"/>
    <w:rsid w:val="0061262D"/>
    <w:rsid w:val="0061263B"/>
    <w:rsid w:val="006139B9"/>
    <w:rsid w:val="0061487F"/>
    <w:rsid w:val="00614CF1"/>
    <w:rsid w:val="00614F0C"/>
    <w:rsid w:val="006152C2"/>
    <w:rsid w:val="00616889"/>
    <w:rsid w:val="0061696F"/>
    <w:rsid w:val="00621407"/>
    <w:rsid w:val="00624B1E"/>
    <w:rsid w:val="00624B2A"/>
    <w:rsid w:val="00624FEC"/>
    <w:rsid w:val="00625265"/>
    <w:rsid w:val="00626288"/>
    <w:rsid w:val="00626734"/>
    <w:rsid w:val="00626D55"/>
    <w:rsid w:val="00626DFF"/>
    <w:rsid w:val="006274D9"/>
    <w:rsid w:val="00630148"/>
    <w:rsid w:val="00630573"/>
    <w:rsid w:val="00631DF6"/>
    <w:rsid w:val="00632FFE"/>
    <w:rsid w:val="00633C1A"/>
    <w:rsid w:val="00634601"/>
    <w:rsid w:val="006359B8"/>
    <w:rsid w:val="0064201B"/>
    <w:rsid w:val="00643F0A"/>
    <w:rsid w:val="00646BBF"/>
    <w:rsid w:val="00647BC5"/>
    <w:rsid w:val="00650C91"/>
    <w:rsid w:val="00651E17"/>
    <w:rsid w:val="006532FD"/>
    <w:rsid w:val="00653843"/>
    <w:rsid w:val="006558EC"/>
    <w:rsid w:val="00656CA4"/>
    <w:rsid w:val="00660070"/>
    <w:rsid w:val="0066197B"/>
    <w:rsid w:val="006625E6"/>
    <w:rsid w:val="00663292"/>
    <w:rsid w:val="0066427E"/>
    <w:rsid w:val="0066482B"/>
    <w:rsid w:val="00664A2A"/>
    <w:rsid w:val="00665C7F"/>
    <w:rsid w:val="0067124D"/>
    <w:rsid w:val="006755F8"/>
    <w:rsid w:val="00675C58"/>
    <w:rsid w:val="00680A65"/>
    <w:rsid w:val="00682302"/>
    <w:rsid w:val="00682572"/>
    <w:rsid w:val="00682FBE"/>
    <w:rsid w:val="00683167"/>
    <w:rsid w:val="006856F5"/>
    <w:rsid w:val="00685EEF"/>
    <w:rsid w:val="00690317"/>
    <w:rsid w:val="00692216"/>
    <w:rsid w:val="006923ED"/>
    <w:rsid w:val="006943DF"/>
    <w:rsid w:val="006950A4"/>
    <w:rsid w:val="00695AF3"/>
    <w:rsid w:val="00695D83"/>
    <w:rsid w:val="00696C75"/>
    <w:rsid w:val="00696EAF"/>
    <w:rsid w:val="006A0877"/>
    <w:rsid w:val="006A5CF9"/>
    <w:rsid w:val="006A7EBE"/>
    <w:rsid w:val="006B0901"/>
    <w:rsid w:val="006B0A0F"/>
    <w:rsid w:val="006B133C"/>
    <w:rsid w:val="006B2545"/>
    <w:rsid w:val="006B3E21"/>
    <w:rsid w:val="006B45A2"/>
    <w:rsid w:val="006B57BD"/>
    <w:rsid w:val="006B6359"/>
    <w:rsid w:val="006B64CB"/>
    <w:rsid w:val="006B7C57"/>
    <w:rsid w:val="006C03AF"/>
    <w:rsid w:val="006C1643"/>
    <w:rsid w:val="006C17E3"/>
    <w:rsid w:val="006C1898"/>
    <w:rsid w:val="006C2D92"/>
    <w:rsid w:val="006C3332"/>
    <w:rsid w:val="006C38C4"/>
    <w:rsid w:val="006D1C20"/>
    <w:rsid w:val="006D1C66"/>
    <w:rsid w:val="006D35F5"/>
    <w:rsid w:val="006D40DE"/>
    <w:rsid w:val="006D5C45"/>
    <w:rsid w:val="006D7369"/>
    <w:rsid w:val="006D7962"/>
    <w:rsid w:val="006E0AD9"/>
    <w:rsid w:val="006E3222"/>
    <w:rsid w:val="006E4489"/>
    <w:rsid w:val="006E5435"/>
    <w:rsid w:val="006F0182"/>
    <w:rsid w:val="006F0321"/>
    <w:rsid w:val="006F1968"/>
    <w:rsid w:val="006F1A4C"/>
    <w:rsid w:val="006F2451"/>
    <w:rsid w:val="006F49A3"/>
    <w:rsid w:val="006F5309"/>
    <w:rsid w:val="006F62A8"/>
    <w:rsid w:val="006F7A51"/>
    <w:rsid w:val="006F7AF4"/>
    <w:rsid w:val="007021F4"/>
    <w:rsid w:val="007043A6"/>
    <w:rsid w:val="007054D1"/>
    <w:rsid w:val="0071267D"/>
    <w:rsid w:val="007146CA"/>
    <w:rsid w:val="00714F86"/>
    <w:rsid w:val="00715875"/>
    <w:rsid w:val="00717914"/>
    <w:rsid w:val="007205CC"/>
    <w:rsid w:val="007214BC"/>
    <w:rsid w:val="00721699"/>
    <w:rsid w:val="00721F9D"/>
    <w:rsid w:val="00724D60"/>
    <w:rsid w:val="007265E9"/>
    <w:rsid w:val="0073224A"/>
    <w:rsid w:val="007326BB"/>
    <w:rsid w:val="0073382B"/>
    <w:rsid w:val="00737130"/>
    <w:rsid w:val="00743C64"/>
    <w:rsid w:val="0074649F"/>
    <w:rsid w:val="00747FC6"/>
    <w:rsid w:val="0075008C"/>
    <w:rsid w:val="007500D8"/>
    <w:rsid w:val="00751022"/>
    <w:rsid w:val="00752956"/>
    <w:rsid w:val="00752F8E"/>
    <w:rsid w:val="0075663D"/>
    <w:rsid w:val="00756B32"/>
    <w:rsid w:val="0075782D"/>
    <w:rsid w:val="007578EF"/>
    <w:rsid w:val="00760932"/>
    <w:rsid w:val="00762176"/>
    <w:rsid w:val="00762348"/>
    <w:rsid w:val="00763DFD"/>
    <w:rsid w:val="00764009"/>
    <w:rsid w:val="007667F7"/>
    <w:rsid w:val="00767E12"/>
    <w:rsid w:val="00770A58"/>
    <w:rsid w:val="00776569"/>
    <w:rsid w:val="007769CC"/>
    <w:rsid w:val="00776DFF"/>
    <w:rsid w:val="007770BE"/>
    <w:rsid w:val="00777227"/>
    <w:rsid w:val="00780DB4"/>
    <w:rsid w:val="007827CD"/>
    <w:rsid w:val="007866D1"/>
    <w:rsid w:val="00787C80"/>
    <w:rsid w:val="007901AC"/>
    <w:rsid w:val="0079030E"/>
    <w:rsid w:val="00790F39"/>
    <w:rsid w:val="007912B6"/>
    <w:rsid w:val="00791ABC"/>
    <w:rsid w:val="0079205B"/>
    <w:rsid w:val="0079293A"/>
    <w:rsid w:val="00792F1D"/>
    <w:rsid w:val="00793C26"/>
    <w:rsid w:val="007946A5"/>
    <w:rsid w:val="007950A6"/>
    <w:rsid w:val="00795231"/>
    <w:rsid w:val="007A1074"/>
    <w:rsid w:val="007A17C9"/>
    <w:rsid w:val="007A2D6A"/>
    <w:rsid w:val="007A390F"/>
    <w:rsid w:val="007A3AC8"/>
    <w:rsid w:val="007A4DCF"/>
    <w:rsid w:val="007A5483"/>
    <w:rsid w:val="007A5E21"/>
    <w:rsid w:val="007A60BB"/>
    <w:rsid w:val="007A6D6B"/>
    <w:rsid w:val="007B0124"/>
    <w:rsid w:val="007B0AA9"/>
    <w:rsid w:val="007B0BC2"/>
    <w:rsid w:val="007B4D3F"/>
    <w:rsid w:val="007B5264"/>
    <w:rsid w:val="007B5ADA"/>
    <w:rsid w:val="007B5C16"/>
    <w:rsid w:val="007B6890"/>
    <w:rsid w:val="007C12AB"/>
    <w:rsid w:val="007C1668"/>
    <w:rsid w:val="007C1FFD"/>
    <w:rsid w:val="007C4721"/>
    <w:rsid w:val="007C4974"/>
    <w:rsid w:val="007C4DC1"/>
    <w:rsid w:val="007C5724"/>
    <w:rsid w:val="007C5B6C"/>
    <w:rsid w:val="007D03A2"/>
    <w:rsid w:val="007D368A"/>
    <w:rsid w:val="007D54F1"/>
    <w:rsid w:val="007D5A90"/>
    <w:rsid w:val="007E10A2"/>
    <w:rsid w:val="007E1BC3"/>
    <w:rsid w:val="007E5AE3"/>
    <w:rsid w:val="007E618D"/>
    <w:rsid w:val="007F0599"/>
    <w:rsid w:val="007F1E2F"/>
    <w:rsid w:val="007F2F54"/>
    <w:rsid w:val="007F2FEA"/>
    <w:rsid w:val="007F4421"/>
    <w:rsid w:val="007F4B88"/>
    <w:rsid w:val="007F542D"/>
    <w:rsid w:val="007F5ECC"/>
    <w:rsid w:val="00800BD3"/>
    <w:rsid w:val="00804037"/>
    <w:rsid w:val="0080580D"/>
    <w:rsid w:val="0081186E"/>
    <w:rsid w:val="00811C5E"/>
    <w:rsid w:val="0081284C"/>
    <w:rsid w:val="0081426E"/>
    <w:rsid w:val="00814687"/>
    <w:rsid w:val="00815CDF"/>
    <w:rsid w:val="00816CCA"/>
    <w:rsid w:val="00821ACA"/>
    <w:rsid w:val="00822CF0"/>
    <w:rsid w:val="008259C6"/>
    <w:rsid w:val="008261E6"/>
    <w:rsid w:val="0082630C"/>
    <w:rsid w:val="008311E8"/>
    <w:rsid w:val="00831790"/>
    <w:rsid w:val="0083249B"/>
    <w:rsid w:val="00832DEF"/>
    <w:rsid w:val="00832F7F"/>
    <w:rsid w:val="00833F2F"/>
    <w:rsid w:val="008349DB"/>
    <w:rsid w:val="00835936"/>
    <w:rsid w:val="0083692F"/>
    <w:rsid w:val="00837039"/>
    <w:rsid w:val="008404A1"/>
    <w:rsid w:val="00840706"/>
    <w:rsid w:val="00842551"/>
    <w:rsid w:val="00843935"/>
    <w:rsid w:val="00844F8A"/>
    <w:rsid w:val="0084519D"/>
    <w:rsid w:val="0084595C"/>
    <w:rsid w:val="008459C3"/>
    <w:rsid w:val="00846265"/>
    <w:rsid w:val="00846F1A"/>
    <w:rsid w:val="00847C69"/>
    <w:rsid w:val="0085047F"/>
    <w:rsid w:val="00852DB4"/>
    <w:rsid w:val="00853EB6"/>
    <w:rsid w:val="00856C7D"/>
    <w:rsid w:val="00856E14"/>
    <w:rsid w:val="00857162"/>
    <w:rsid w:val="0086090E"/>
    <w:rsid w:val="00860BA1"/>
    <w:rsid w:val="0086417C"/>
    <w:rsid w:val="0086526B"/>
    <w:rsid w:val="00866CB9"/>
    <w:rsid w:val="00867123"/>
    <w:rsid w:val="0086770F"/>
    <w:rsid w:val="00870C73"/>
    <w:rsid w:val="00870CDD"/>
    <w:rsid w:val="008710C1"/>
    <w:rsid w:val="0087199E"/>
    <w:rsid w:val="00871F04"/>
    <w:rsid w:val="008722F0"/>
    <w:rsid w:val="008731ED"/>
    <w:rsid w:val="00874446"/>
    <w:rsid w:val="00874513"/>
    <w:rsid w:val="00874860"/>
    <w:rsid w:val="008750DC"/>
    <w:rsid w:val="00875624"/>
    <w:rsid w:val="00875C22"/>
    <w:rsid w:val="0087659A"/>
    <w:rsid w:val="008766D7"/>
    <w:rsid w:val="0087790D"/>
    <w:rsid w:val="0088034D"/>
    <w:rsid w:val="00880368"/>
    <w:rsid w:val="00880F50"/>
    <w:rsid w:val="008813A8"/>
    <w:rsid w:val="00886C28"/>
    <w:rsid w:val="00891325"/>
    <w:rsid w:val="00891906"/>
    <w:rsid w:val="00892909"/>
    <w:rsid w:val="00894375"/>
    <w:rsid w:val="00895FAD"/>
    <w:rsid w:val="008A05F8"/>
    <w:rsid w:val="008A06D6"/>
    <w:rsid w:val="008A0CB3"/>
    <w:rsid w:val="008A42C0"/>
    <w:rsid w:val="008A43A0"/>
    <w:rsid w:val="008A45ED"/>
    <w:rsid w:val="008A4B87"/>
    <w:rsid w:val="008A52FC"/>
    <w:rsid w:val="008A612E"/>
    <w:rsid w:val="008B04FE"/>
    <w:rsid w:val="008B08CA"/>
    <w:rsid w:val="008B0959"/>
    <w:rsid w:val="008B09BE"/>
    <w:rsid w:val="008B0F2B"/>
    <w:rsid w:val="008B1CE1"/>
    <w:rsid w:val="008B6AEC"/>
    <w:rsid w:val="008B7ADD"/>
    <w:rsid w:val="008C0B28"/>
    <w:rsid w:val="008C17AD"/>
    <w:rsid w:val="008C2437"/>
    <w:rsid w:val="008C2B6A"/>
    <w:rsid w:val="008C3090"/>
    <w:rsid w:val="008C3B4D"/>
    <w:rsid w:val="008C7676"/>
    <w:rsid w:val="008D07F7"/>
    <w:rsid w:val="008D0B35"/>
    <w:rsid w:val="008D1EB0"/>
    <w:rsid w:val="008D3368"/>
    <w:rsid w:val="008D3DCE"/>
    <w:rsid w:val="008D4792"/>
    <w:rsid w:val="008D4E95"/>
    <w:rsid w:val="008D6317"/>
    <w:rsid w:val="008D76D7"/>
    <w:rsid w:val="008E5F01"/>
    <w:rsid w:val="008E7A58"/>
    <w:rsid w:val="008F25CB"/>
    <w:rsid w:val="008F2918"/>
    <w:rsid w:val="008F2BBA"/>
    <w:rsid w:val="008F6F03"/>
    <w:rsid w:val="008F72A3"/>
    <w:rsid w:val="008F7837"/>
    <w:rsid w:val="009023F7"/>
    <w:rsid w:val="00905EB6"/>
    <w:rsid w:val="00906D89"/>
    <w:rsid w:val="0090717B"/>
    <w:rsid w:val="009077C7"/>
    <w:rsid w:val="00912CDA"/>
    <w:rsid w:val="00914396"/>
    <w:rsid w:val="00915005"/>
    <w:rsid w:val="00915CF3"/>
    <w:rsid w:val="00915F70"/>
    <w:rsid w:val="00917785"/>
    <w:rsid w:val="00920A0E"/>
    <w:rsid w:val="00922147"/>
    <w:rsid w:val="00927B1B"/>
    <w:rsid w:val="00930168"/>
    <w:rsid w:val="00931334"/>
    <w:rsid w:val="00932C02"/>
    <w:rsid w:val="00933164"/>
    <w:rsid w:val="00934096"/>
    <w:rsid w:val="00934189"/>
    <w:rsid w:val="009363D7"/>
    <w:rsid w:val="0094012E"/>
    <w:rsid w:val="0094238A"/>
    <w:rsid w:val="0094436B"/>
    <w:rsid w:val="00944FE1"/>
    <w:rsid w:val="0094591F"/>
    <w:rsid w:val="00945E20"/>
    <w:rsid w:val="0094632A"/>
    <w:rsid w:val="0094743B"/>
    <w:rsid w:val="00951222"/>
    <w:rsid w:val="0095438C"/>
    <w:rsid w:val="00954722"/>
    <w:rsid w:val="00954C5A"/>
    <w:rsid w:val="00957C5B"/>
    <w:rsid w:val="00957C6A"/>
    <w:rsid w:val="00960622"/>
    <w:rsid w:val="00961990"/>
    <w:rsid w:val="0096358B"/>
    <w:rsid w:val="00963857"/>
    <w:rsid w:val="009642A5"/>
    <w:rsid w:val="00965AED"/>
    <w:rsid w:val="00966191"/>
    <w:rsid w:val="00966377"/>
    <w:rsid w:val="009669EC"/>
    <w:rsid w:val="00970E84"/>
    <w:rsid w:val="00972243"/>
    <w:rsid w:val="009725A6"/>
    <w:rsid w:val="009737D2"/>
    <w:rsid w:val="00973A57"/>
    <w:rsid w:val="009741CA"/>
    <w:rsid w:val="00975930"/>
    <w:rsid w:val="00975E3D"/>
    <w:rsid w:val="00976B82"/>
    <w:rsid w:val="0098032E"/>
    <w:rsid w:val="009804DC"/>
    <w:rsid w:val="00981A5E"/>
    <w:rsid w:val="00981D8C"/>
    <w:rsid w:val="0098355F"/>
    <w:rsid w:val="0098483D"/>
    <w:rsid w:val="00984D04"/>
    <w:rsid w:val="00987A31"/>
    <w:rsid w:val="00987D4D"/>
    <w:rsid w:val="00990A10"/>
    <w:rsid w:val="00992FF3"/>
    <w:rsid w:val="009934AA"/>
    <w:rsid w:val="009949AA"/>
    <w:rsid w:val="00996CD4"/>
    <w:rsid w:val="009A0911"/>
    <w:rsid w:val="009A50AF"/>
    <w:rsid w:val="009A5BF7"/>
    <w:rsid w:val="009A5EB0"/>
    <w:rsid w:val="009A709D"/>
    <w:rsid w:val="009A780E"/>
    <w:rsid w:val="009A7F90"/>
    <w:rsid w:val="009B1816"/>
    <w:rsid w:val="009B39BD"/>
    <w:rsid w:val="009B4610"/>
    <w:rsid w:val="009C0B0B"/>
    <w:rsid w:val="009C11B6"/>
    <w:rsid w:val="009C23AC"/>
    <w:rsid w:val="009C4C52"/>
    <w:rsid w:val="009C4D0C"/>
    <w:rsid w:val="009C64E2"/>
    <w:rsid w:val="009C66E4"/>
    <w:rsid w:val="009C6923"/>
    <w:rsid w:val="009C7188"/>
    <w:rsid w:val="009D1DCC"/>
    <w:rsid w:val="009D2113"/>
    <w:rsid w:val="009D2144"/>
    <w:rsid w:val="009D69C8"/>
    <w:rsid w:val="009E08B2"/>
    <w:rsid w:val="009E2CEF"/>
    <w:rsid w:val="009E36A1"/>
    <w:rsid w:val="009E458A"/>
    <w:rsid w:val="009E4669"/>
    <w:rsid w:val="009E482C"/>
    <w:rsid w:val="009E5577"/>
    <w:rsid w:val="009E7E5F"/>
    <w:rsid w:val="009F1A40"/>
    <w:rsid w:val="009F4717"/>
    <w:rsid w:val="009F503B"/>
    <w:rsid w:val="009F5A29"/>
    <w:rsid w:val="009F66BB"/>
    <w:rsid w:val="00A0195B"/>
    <w:rsid w:val="00A0197E"/>
    <w:rsid w:val="00A0213F"/>
    <w:rsid w:val="00A02783"/>
    <w:rsid w:val="00A03982"/>
    <w:rsid w:val="00A04429"/>
    <w:rsid w:val="00A057C6"/>
    <w:rsid w:val="00A05E7D"/>
    <w:rsid w:val="00A070A4"/>
    <w:rsid w:val="00A07CEA"/>
    <w:rsid w:val="00A10093"/>
    <w:rsid w:val="00A13B3D"/>
    <w:rsid w:val="00A14F72"/>
    <w:rsid w:val="00A15C9B"/>
    <w:rsid w:val="00A16381"/>
    <w:rsid w:val="00A16486"/>
    <w:rsid w:val="00A17689"/>
    <w:rsid w:val="00A20067"/>
    <w:rsid w:val="00A2071D"/>
    <w:rsid w:val="00A208D2"/>
    <w:rsid w:val="00A22975"/>
    <w:rsid w:val="00A236E3"/>
    <w:rsid w:val="00A2445E"/>
    <w:rsid w:val="00A24D9B"/>
    <w:rsid w:val="00A24F52"/>
    <w:rsid w:val="00A2639B"/>
    <w:rsid w:val="00A310DD"/>
    <w:rsid w:val="00A3122E"/>
    <w:rsid w:val="00A318D4"/>
    <w:rsid w:val="00A31F75"/>
    <w:rsid w:val="00A33585"/>
    <w:rsid w:val="00A33D92"/>
    <w:rsid w:val="00A34008"/>
    <w:rsid w:val="00A34467"/>
    <w:rsid w:val="00A35BEC"/>
    <w:rsid w:val="00A37284"/>
    <w:rsid w:val="00A372E4"/>
    <w:rsid w:val="00A378EA"/>
    <w:rsid w:val="00A37B87"/>
    <w:rsid w:val="00A40B6B"/>
    <w:rsid w:val="00A4450E"/>
    <w:rsid w:val="00A46849"/>
    <w:rsid w:val="00A50AD2"/>
    <w:rsid w:val="00A54132"/>
    <w:rsid w:val="00A56562"/>
    <w:rsid w:val="00A60C0A"/>
    <w:rsid w:val="00A60C9C"/>
    <w:rsid w:val="00A63487"/>
    <w:rsid w:val="00A6458E"/>
    <w:rsid w:val="00A6547C"/>
    <w:rsid w:val="00A656BC"/>
    <w:rsid w:val="00A65BEF"/>
    <w:rsid w:val="00A67C14"/>
    <w:rsid w:val="00A71C2F"/>
    <w:rsid w:val="00A7221C"/>
    <w:rsid w:val="00A742B0"/>
    <w:rsid w:val="00A742B5"/>
    <w:rsid w:val="00A75352"/>
    <w:rsid w:val="00A76AAF"/>
    <w:rsid w:val="00A77637"/>
    <w:rsid w:val="00A830C2"/>
    <w:rsid w:val="00A847B3"/>
    <w:rsid w:val="00A856DC"/>
    <w:rsid w:val="00A85FBA"/>
    <w:rsid w:val="00A861B4"/>
    <w:rsid w:val="00A91697"/>
    <w:rsid w:val="00A92C49"/>
    <w:rsid w:val="00A9316D"/>
    <w:rsid w:val="00A94D26"/>
    <w:rsid w:val="00A976AC"/>
    <w:rsid w:val="00A97D79"/>
    <w:rsid w:val="00AA08CE"/>
    <w:rsid w:val="00AA0A17"/>
    <w:rsid w:val="00AA0EBF"/>
    <w:rsid w:val="00AA2E77"/>
    <w:rsid w:val="00AA6EF4"/>
    <w:rsid w:val="00AB03D1"/>
    <w:rsid w:val="00AB15F7"/>
    <w:rsid w:val="00AB2587"/>
    <w:rsid w:val="00AB4185"/>
    <w:rsid w:val="00AB717C"/>
    <w:rsid w:val="00AC16E1"/>
    <w:rsid w:val="00AC1B98"/>
    <w:rsid w:val="00AC24AD"/>
    <w:rsid w:val="00AC3EC4"/>
    <w:rsid w:val="00AC482E"/>
    <w:rsid w:val="00AC5CD2"/>
    <w:rsid w:val="00AC6493"/>
    <w:rsid w:val="00AD0A0B"/>
    <w:rsid w:val="00AD4E64"/>
    <w:rsid w:val="00AD5345"/>
    <w:rsid w:val="00AD5936"/>
    <w:rsid w:val="00AD737E"/>
    <w:rsid w:val="00AD7C4E"/>
    <w:rsid w:val="00AE084D"/>
    <w:rsid w:val="00AE0D58"/>
    <w:rsid w:val="00AE2DEC"/>
    <w:rsid w:val="00AE31FD"/>
    <w:rsid w:val="00AE3509"/>
    <w:rsid w:val="00AE53BE"/>
    <w:rsid w:val="00AE6CD8"/>
    <w:rsid w:val="00AE734D"/>
    <w:rsid w:val="00AF0212"/>
    <w:rsid w:val="00AF07CA"/>
    <w:rsid w:val="00AF0D5E"/>
    <w:rsid w:val="00AF21EF"/>
    <w:rsid w:val="00AF242A"/>
    <w:rsid w:val="00AF2F21"/>
    <w:rsid w:val="00AF6259"/>
    <w:rsid w:val="00AF6396"/>
    <w:rsid w:val="00B001EB"/>
    <w:rsid w:val="00B00EB1"/>
    <w:rsid w:val="00B03881"/>
    <w:rsid w:val="00B03A03"/>
    <w:rsid w:val="00B044EE"/>
    <w:rsid w:val="00B04653"/>
    <w:rsid w:val="00B05CF9"/>
    <w:rsid w:val="00B070B4"/>
    <w:rsid w:val="00B11E7A"/>
    <w:rsid w:val="00B1621A"/>
    <w:rsid w:val="00B1739F"/>
    <w:rsid w:val="00B17A11"/>
    <w:rsid w:val="00B17EBB"/>
    <w:rsid w:val="00B2093A"/>
    <w:rsid w:val="00B20B2A"/>
    <w:rsid w:val="00B20CA6"/>
    <w:rsid w:val="00B2295A"/>
    <w:rsid w:val="00B24076"/>
    <w:rsid w:val="00B2564C"/>
    <w:rsid w:val="00B2625B"/>
    <w:rsid w:val="00B333C8"/>
    <w:rsid w:val="00B37533"/>
    <w:rsid w:val="00B40958"/>
    <w:rsid w:val="00B40EEF"/>
    <w:rsid w:val="00B42E14"/>
    <w:rsid w:val="00B440E1"/>
    <w:rsid w:val="00B44923"/>
    <w:rsid w:val="00B44F41"/>
    <w:rsid w:val="00B47F66"/>
    <w:rsid w:val="00B52E7E"/>
    <w:rsid w:val="00B532E7"/>
    <w:rsid w:val="00B5471D"/>
    <w:rsid w:val="00B5516D"/>
    <w:rsid w:val="00B55BE9"/>
    <w:rsid w:val="00B562EB"/>
    <w:rsid w:val="00B5639E"/>
    <w:rsid w:val="00B60F3E"/>
    <w:rsid w:val="00B63017"/>
    <w:rsid w:val="00B636C7"/>
    <w:rsid w:val="00B641F2"/>
    <w:rsid w:val="00B676D3"/>
    <w:rsid w:val="00B678E8"/>
    <w:rsid w:val="00B70F7F"/>
    <w:rsid w:val="00B71F36"/>
    <w:rsid w:val="00B72846"/>
    <w:rsid w:val="00B73091"/>
    <w:rsid w:val="00B73BFA"/>
    <w:rsid w:val="00B73C88"/>
    <w:rsid w:val="00B74003"/>
    <w:rsid w:val="00B75219"/>
    <w:rsid w:val="00B7596A"/>
    <w:rsid w:val="00B769A8"/>
    <w:rsid w:val="00B805DD"/>
    <w:rsid w:val="00B81665"/>
    <w:rsid w:val="00B82AFB"/>
    <w:rsid w:val="00B8419B"/>
    <w:rsid w:val="00B85E61"/>
    <w:rsid w:val="00B87E5A"/>
    <w:rsid w:val="00B901F3"/>
    <w:rsid w:val="00B92A16"/>
    <w:rsid w:val="00B92FFA"/>
    <w:rsid w:val="00B94D99"/>
    <w:rsid w:val="00B973C2"/>
    <w:rsid w:val="00B974DA"/>
    <w:rsid w:val="00BA0A3C"/>
    <w:rsid w:val="00BA2BBC"/>
    <w:rsid w:val="00BA2FE0"/>
    <w:rsid w:val="00BA4341"/>
    <w:rsid w:val="00BA44F6"/>
    <w:rsid w:val="00BA4CDE"/>
    <w:rsid w:val="00BA7EED"/>
    <w:rsid w:val="00BB09B7"/>
    <w:rsid w:val="00BB3334"/>
    <w:rsid w:val="00BB409B"/>
    <w:rsid w:val="00BB4C3A"/>
    <w:rsid w:val="00BB5E89"/>
    <w:rsid w:val="00BC0DAE"/>
    <w:rsid w:val="00BC1D82"/>
    <w:rsid w:val="00BC366D"/>
    <w:rsid w:val="00BC3D9D"/>
    <w:rsid w:val="00BC4684"/>
    <w:rsid w:val="00BC522E"/>
    <w:rsid w:val="00BC5E27"/>
    <w:rsid w:val="00BC745A"/>
    <w:rsid w:val="00BC78AE"/>
    <w:rsid w:val="00BC7A37"/>
    <w:rsid w:val="00BD1156"/>
    <w:rsid w:val="00BD2F27"/>
    <w:rsid w:val="00BD55AD"/>
    <w:rsid w:val="00BD65D8"/>
    <w:rsid w:val="00BD6F66"/>
    <w:rsid w:val="00BE12AA"/>
    <w:rsid w:val="00BE1336"/>
    <w:rsid w:val="00BE14AD"/>
    <w:rsid w:val="00BE3FA4"/>
    <w:rsid w:val="00BE541A"/>
    <w:rsid w:val="00BE5CCB"/>
    <w:rsid w:val="00BE6E75"/>
    <w:rsid w:val="00BF1CA6"/>
    <w:rsid w:val="00BF1F7B"/>
    <w:rsid w:val="00BF2F80"/>
    <w:rsid w:val="00BF3F77"/>
    <w:rsid w:val="00BF71E2"/>
    <w:rsid w:val="00C00061"/>
    <w:rsid w:val="00C01A97"/>
    <w:rsid w:val="00C023E7"/>
    <w:rsid w:val="00C024D5"/>
    <w:rsid w:val="00C03BEB"/>
    <w:rsid w:val="00C04461"/>
    <w:rsid w:val="00C04A34"/>
    <w:rsid w:val="00C077F6"/>
    <w:rsid w:val="00C10F84"/>
    <w:rsid w:val="00C1127C"/>
    <w:rsid w:val="00C11386"/>
    <w:rsid w:val="00C11E33"/>
    <w:rsid w:val="00C12478"/>
    <w:rsid w:val="00C15842"/>
    <w:rsid w:val="00C15E13"/>
    <w:rsid w:val="00C16784"/>
    <w:rsid w:val="00C17015"/>
    <w:rsid w:val="00C22018"/>
    <w:rsid w:val="00C242A6"/>
    <w:rsid w:val="00C264CD"/>
    <w:rsid w:val="00C26E6D"/>
    <w:rsid w:val="00C30390"/>
    <w:rsid w:val="00C31C0F"/>
    <w:rsid w:val="00C338B7"/>
    <w:rsid w:val="00C34FE5"/>
    <w:rsid w:val="00C36740"/>
    <w:rsid w:val="00C40781"/>
    <w:rsid w:val="00C422AF"/>
    <w:rsid w:val="00C434D1"/>
    <w:rsid w:val="00C435D9"/>
    <w:rsid w:val="00C44F53"/>
    <w:rsid w:val="00C466F3"/>
    <w:rsid w:val="00C50462"/>
    <w:rsid w:val="00C50892"/>
    <w:rsid w:val="00C518BE"/>
    <w:rsid w:val="00C535BA"/>
    <w:rsid w:val="00C55F9C"/>
    <w:rsid w:val="00C5639D"/>
    <w:rsid w:val="00C56F01"/>
    <w:rsid w:val="00C60C44"/>
    <w:rsid w:val="00C61C40"/>
    <w:rsid w:val="00C656C2"/>
    <w:rsid w:val="00C6639F"/>
    <w:rsid w:val="00C66CFD"/>
    <w:rsid w:val="00C67A80"/>
    <w:rsid w:val="00C67C4A"/>
    <w:rsid w:val="00C70167"/>
    <w:rsid w:val="00C70557"/>
    <w:rsid w:val="00C715D7"/>
    <w:rsid w:val="00C72C33"/>
    <w:rsid w:val="00C73B8D"/>
    <w:rsid w:val="00C74FCC"/>
    <w:rsid w:val="00C7563E"/>
    <w:rsid w:val="00C81673"/>
    <w:rsid w:val="00C82DE9"/>
    <w:rsid w:val="00C8503C"/>
    <w:rsid w:val="00C8745D"/>
    <w:rsid w:val="00C90505"/>
    <w:rsid w:val="00C91920"/>
    <w:rsid w:val="00C9217F"/>
    <w:rsid w:val="00C93283"/>
    <w:rsid w:val="00CA05A4"/>
    <w:rsid w:val="00CA16DD"/>
    <w:rsid w:val="00CA521D"/>
    <w:rsid w:val="00CA565E"/>
    <w:rsid w:val="00CA5B75"/>
    <w:rsid w:val="00CA6ED7"/>
    <w:rsid w:val="00CA7638"/>
    <w:rsid w:val="00CB05A1"/>
    <w:rsid w:val="00CB0BD7"/>
    <w:rsid w:val="00CB0D6C"/>
    <w:rsid w:val="00CB2AB4"/>
    <w:rsid w:val="00CB5EA1"/>
    <w:rsid w:val="00CC0478"/>
    <w:rsid w:val="00CC1B0D"/>
    <w:rsid w:val="00CC3E24"/>
    <w:rsid w:val="00CD0E5F"/>
    <w:rsid w:val="00CD284B"/>
    <w:rsid w:val="00CD29BF"/>
    <w:rsid w:val="00CD2E61"/>
    <w:rsid w:val="00CD3C7C"/>
    <w:rsid w:val="00CD3C8F"/>
    <w:rsid w:val="00CD3E58"/>
    <w:rsid w:val="00CD4651"/>
    <w:rsid w:val="00CD7C1C"/>
    <w:rsid w:val="00CD7C90"/>
    <w:rsid w:val="00CE0293"/>
    <w:rsid w:val="00CE14AD"/>
    <w:rsid w:val="00CE3671"/>
    <w:rsid w:val="00CE5662"/>
    <w:rsid w:val="00CE6562"/>
    <w:rsid w:val="00CE7433"/>
    <w:rsid w:val="00CE7E53"/>
    <w:rsid w:val="00CE7F1A"/>
    <w:rsid w:val="00CF2BCF"/>
    <w:rsid w:val="00CF42D1"/>
    <w:rsid w:val="00D005C4"/>
    <w:rsid w:val="00D01B9D"/>
    <w:rsid w:val="00D01C21"/>
    <w:rsid w:val="00D03885"/>
    <w:rsid w:val="00D049B6"/>
    <w:rsid w:val="00D0596C"/>
    <w:rsid w:val="00D06A45"/>
    <w:rsid w:val="00D11BF5"/>
    <w:rsid w:val="00D12CC8"/>
    <w:rsid w:val="00D12E6B"/>
    <w:rsid w:val="00D144A9"/>
    <w:rsid w:val="00D159F9"/>
    <w:rsid w:val="00D16CD6"/>
    <w:rsid w:val="00D20970"/>
    <w:rsid w:val="00D21245"/>
    <w:rsid w:val="00D236D6"/>
    <w:rsid w:val="00D24184"/>
    <w:rsid w:val="00D24A9E"/>
    <w:rsid w:val="00D24FE9"/>
    <w:rsid w:val="00D25427"/>
    <w:rsid w:val="00D26839"/>
    <w:rsid w:val="00D26C7C"/>
    <w:rsid w:val="00D31C0B"/>
    <w:rsid w:val="00D33288"/>
    <w:rsid w:val="00D335AA"/>
    <w:rsid w:val="00D33E7C"/>
    <w:rsid w:val="00D344BB"/>
    <w:rsid w:val="00D35CDB"/>
    <w:rsid w:val="00D362F6"/>
    <w:rsid w:val="00D37F04"/>
    <w:rsid w:val="00D42F81"/>
    <w:rsid w:val="00D438BC"/>
    <w:rsid w:val="00D468A7"/>
    <w:rsid w:val="00D46A2A"/>
    <w:rsid w:val="00D471B8"/>
    <w:rsid w:val="00D50775"/>
    <w:rsid w:val="00D51866"/>
    <w:rsid w:val="00D51BF2"/>
    <w:rsid w:val="00D52A1B"/>
    <w:rsid w:val="00D54085"/>
    <w:rsid w:val="00D5607F"/>
    <w:rsid w:val="00D56E9B"/>
    <w:rsid w:val="00D60A1D"/>
    <w:rsid w:val="00D616C4"/>
    <w:rsid w:val="00D6435E"/>
    <w:rsid w:val="00D6485C"/>
    <w:rsid w:val="00D64EF3"/>
    <w:rsid w:val="00D6698E"/>
    <w:rsid w:val="00D66F96"/>
    <w:rsid w:val="00D74505"/>
    <w:rsid w:val="00D7588D"/>
    <w:rsid w:val="00D76869"/>
    <w:rsid w:val="00D76D77"/>
    <w:rsid w:val="00D76E6F"/>
    <w:rsid w:val="00D81AF9"/>
    <w:rsid w:val="00D8320E"/>
    <w:rsid w:val="00D846C7"/>
    <w:rsid w:val="00D85BC3"/>
    <w:rsid w:val="00D87900"/>
    <w:rsid w:val="00D90968"/>
    <w:rsid w:val="00D91830"/>
    <w:rsid w:val="00D92EE6"/>
    <w:rsid w:val="00D9322B"/>
    <w:rsid w:val="00D93D60"/>
    <w:rsid w:val="00D93E80"/>
    <w:rsid w:val="00D9414D"/>
    <w:rsid w:val="00D94598"/>
    <w:rsid w:val="00D9640C"/>
    <w:rsid w:val="00D96B70"/>
    <w:rsid w:val="00D97012"/>
    <w:rsid w:val="00DA13D4"/>
    <w:rsid w:val="00DA1524"/>
    <w:rsid w:val="00DA2380"/>
    <w:rsid w:val="00DA25A3"/>
    <w:rsid w:val="00DA27A5"/>
    <w:rsid w:val="00DA423F"/>
    <w:rsid w:val="00DA4775"/>
    <w:rsid w:val="00DB0C79"/>
    <w:rsid w:val="00DB363A"/>
    <w:rsid w:val="00DB387A"/>
    <w:rsid w:val="00DB4504"/>
    <w:rsid w:val="00DB5AF6"/>
    <w:rsid w:val="00DB5E3C"/>
    <w:rsid w:val="00DB6BDB"/>
    <w:rsid w:val="00DB6FDB"/>
    <w:rsid w:val="00DC050A"/>
    <w:rsid w:val="00DC1894"/>
    <w:rsid w:val="00DC1D3B"/>
    <w:rsid w:val="00DC3967"/>
    <w:rsid w:val="00DC5CE0"/>
    <w:rsid w:val="00DC65A7"/>
    <w:rsid w:val="00DD1B7B"/>
    <w:rsid w:val="00DD3070"/>
    <w:rsid w:val="00DD3BB2"/>
    <w:rsid w:val="00DD3E3A"/>
    <w:rsid w:val="00DD3E85"/>
    <w:rsid w:val="00DD507E"/>
    <w:rsid w:val="00DD5716"/>
    <w:rsid w:val="00DD6B88"/>
    <w:rsid w:val="00DD6C7B"/>
    <w:rsid w:val="00DE0087"/>
    <w:rsid w:val="00DE09B1"/>
    <w:rsid w:val="00DE0F63"/>
    <w:rsid w:val="00DE16BF"/>
    <w:rsid w:val="00DE1F0C"/>
    <w:rsid w:val="00DE1FDF"/>
    <w:rsid w:val="00DE229A"/>
    <w:rsid w:val="00DE3821"/>
    <w:rsid w:val="00DE4334"/>
    <w:rsid w:val="00DE57F0"/>
    <w:rsid w:val="00DE5DF8"/>
    <w:rsid w:val="00DE6F2C"/>
    <w:rsid w:val="00DE6F62"/>
    <w:rsid w:val="00DE7373"/>
    <w:rsid w:val="00DF0736"/>
    <w:rsid w:val="00DF1F21"/>
    <w:rsid w:val="00DF243C"/>
    <w:rsid w:val="00DF270B"/>
    <w:rsid w:val="00DF2BE6"/>
    <w:rsid w:val="00DF4B45"/>
    <w:rsid w:val="00DF624C"/>
    <w:rsid w:val="00E01200"/>
    <w:rsid w:val="00E01578"/>
    <w:rsid w:val="00E03F83"/>
    <w:rsid w:val="00E043E5"/>
    <w:rsid w:val="00E04FAD"/>
    <w:rsid w:val="00E05214"/>
    <w:rsid w:val="00E053AA"/>
    <w:rsid w:val="00E05786"/>
    <w:rsid w:val="00E07B7D"/>
    <w:rsid w:val="00E07C8E"/>
    <w:rsid w:val="00E13E8B"/>
    <w:rsid w:val="00E146E0"/>
    <w:rsid w:val="00E14C91"/>
    <w:rsid w:val="00E215F4"/>
    <w:rsid w:val="00E220A3"/>
    <w:rsid w:val="00E2756D"/>
    <w:rsid w:val="00E27F87"/>
    <w:rsid w:val="00E31977"/>
    <w:rsid w:val="00E3201F"/>
    <w:rsid w:val="00E32325"/>
    <w:rsid w:val="00E32F2C"/>
    <w:rsid w:val="00E3325F"/>
    <w:rsid w:val="00E337FF"/>
    <w:rsid w:val="00E34512"/>
    <w:rsid w:val="00E3582B"/>
    <w:rsid w:val="00E36185"/>
    <w:rsid w:val="00E367B4"/>
    <w:rsid w:val="00E3684E"/>
    <w:rsid w:val="00E402C9"/>
    <w:rsid w:val="00E4074E"/>
    <w:rsid w:val="00E40DB6"/>
    <w:rsid w:val="00E44383"/>
    <w:rsid w:val="00E44CC3"/>
    <w:rsid w:val="00E45157"/>
    <w:rsid w:val="00E47476"/>
    <w:rsid w:val="00E476CA"/>
    <w:rsid w:val="00E5071F"/>
    <w:rsid w:val="00E50A70"/>
    <w:rsid w:val="00E51C87"/>
    <w:rsid w:val="00E52C18"/>
    <w:rsid w:val="00E549E3"/>
    <w:rsid w:val="00E553CB"/>
    <w:rsid w:val="00E55A1A"/>
    <w:rsid w:val="00E561E7"/>
    <w:rsid w:val="00E607B3"/>
    <w:rsid w:val="00E60C73"/>
    <w:rsid w:val="00E61808"/>
    <w:rsid w:val="00E61EFA"/>
    <w:rsid w:val="00E61F68"/>
    <w:rsid w:val="00E63D7F"/>
    <w:rsid w:val="00E66CD0"/>
    <w:rsid w:val="00E66E1D"/>
    <w:rsid w:val="00E7004A"/>
    <w:rsid w:val="00E7115B"/>
    <w:rsid w:val="00E72DCD"/>
    <w:rsid w:val="00E737B6"/>
    <w:rsid w:val="00E752D8"/>
    <w:rsid w:val="00E76A6C"/>
    <w:rsid w:val="00E77DA5"/>
    <w:rsid w:val="00E81FEA"/>
    <w:rsid w:val="00E823EC"/>
    <w:rsid w:val="00E8683B"/>
    <w:rsid w:val="00E879F9"/>
    <w:rsid w:val="00E9120C"/>
    <w:rsid w:val="00E91D0B"/>
    <w:rsid w:val="00E933CF"/>
    <w:rsid w:val="00E97E7B"/>
    <w:rsid w:val="00EA0FC2"/>
    <w:rsid w:val="00EA1ACA"/>
    <w:rsid w:val="00EA1D01"/>
    <w:rsid w:val="00EA2323"/>
    <w:rsid w:val="00EA2B4B"/>
    <w:rsid w:val="00EA415E"/>
    <w:rsid w:val="00EA55D9"/>
    <w:rsid w:val="00EA5DB8"/>
    <w:rsid w:val="00EA676C"/>
    <w:rsid w:val="00EA7162"/>
    <w:rsid w:val="00EB03B3"/>
    <w:rsid w:val="00EB0BE3"/>
    <w:rsid w:val="00EB23CD"/>
    <w:rsid w:val="00EB390F"/>
    <w:rsid w:val="00EC04E4"/>
    <w:rsid w:val="00EC08D5"/>
    <w:rsid w:val="00EC1BCE"/>
    <w:rsid w:val="00EC64BF"/>
    <w:rsid w:val="00ED0A21"/>
    <w:rsid w:val="00ED0B8E"/>
    <w:rsid w:val="00ED3787"/>
    <w:rsid w:val="00ED54CE"/>
    <w:rsid w:val="00ED5ADC"/>
    <w:rsid w:val="00ED6325"/>
    <w:rsid w:val="00EE0929"/>
    <w:rsid w:val="00EE1C95"/>
    <w:rsid w:val="00EE1E8A"/>
    <w:rsid w:val="00EE24E6"/>
    <w:rsid w:val="00EE2A4A"/>
    <w:rsid w:val="00EE68FF"/>
    <w:rsid w:val="00EF310E"/>
    <w:rsid w:val="00EF3302"/>
    <w:rsid w:val="00EF5CC3"/>
    <w:rsid w:val="00F019C2"/>
    <w:rsid w:val="00F03877"/>
    <w:rsid w:val="00F048F1"/>
    <w:rsid w:val="00F04DDC"/>
    <w:rsid w:val="00F07563"/>
    <w:rsid w:val="00F114A4"/>
    <w:rsid w:val="00F12B6C"/>
    <w:rsid w:val="00F12DFA"/>
    <w:rsid w:val="00F12EE5"/>
    <w:rsid w:val="00F12F6E"/>
    <w:rsid w:val="00F143B6"/>
    <w:rsid w:val="00F1693C"/>
    <w:rsid w:val="00F175F6"/>
    <w:rsid w:val="00F2046D"/>
    <w:rsid w:val="00F20DDB"/>
    <w:rsid w:val="00F213EE"/>
    <w:rsid w:val="00F23815"/>
    <w:rsid w:val="00F26B40"/>
    <w:rsid w:val="00F27C6E"/>
    <w:rsid w:val="00F31DB0"/>
    <w:rsid w:val="00F34108"/>
    <w:rsid w:val="00F35108"/>
    <w:rsid w:val="00F3611E"/>
    <w:rsid w:val="00F37293"/>
    <w:rsid w:val="00F41EA8"/>
    <w:rsid w:val="00F42E81"/>
    <w:rsid w:val="00F4409B"/>
    <w:rsid w:val="00F45A77"/>
    <w:rsid w:val="00F462E2"/>
    <w:rsid w:val="00F47F7C"/>
    <w:rsid w:val="00F51805"/>
    <w:rsid w:val="00F51EC4"/>
    <w:rsid w:val="00F552B1"/>
    <w:rsid w:val="00F55A4D"/>
    <w:rsid w:val="00F604F2"/>
    <w:rsid w:val="00F61F0D"/>
    <w:rsid w:val="00F6478A"/>
    <w:rsid w:val="00F67974"/>
    <w:rsid w:val="00F70625"/>
    <w:rsid w:val="00F7101B"/>
    <w:rsid w:val="00F71335"/>
    <w:rsid w:val="00F72433"/>
    <w:rsid w:val="00F724A0"/>
    <w:rsid w:val="00F729CB"/>
    <w:rsid w:val="00F72B26"/>
    <w:rsid w:val="00F74EC0"/>
    <w:rsid w:val="00F75116"/>
    <w:rsid w:val="00F76573"/>
    <w:rsid w:val="00F76A65"/>
    <w:rsid w:val="00F8098E"/>
    <w:rsid w:val="00F81A97"/>
    <w:rsid w:val="00F8303C"/>
    <w:rsid w:val="00F83B46"/>
    <w:rsid w:val="00F84904"/>
    <w:rsid w:val="00F84F20"/>
    <w:rsid w:val="00F855B6"/>
    <w:rsid w:val="00F93EB2"/>
    <w:rsid w:val="00F96431"/>
    <w:rsid w:val="00F96A87"/>
    <w:rsid w:val="00F97CF9"/>
    <w:rsid w:val="00FA163B"/>
    <w:rsid w:val="00FA1D4B"/>
    <w:rsid w:val="00FA2036"/>
    <w:rsid w:val="00FA31EB"/>
    <w:rsid w:val="00FA3A2A"/>
    <w:rsid w:val="00FA3ED6"/>
    <w:rsid w:val="00FA46F3"/>
    <w:rsid w:val="00FB02DD"/>
    <w:rsid w:val="00FB326A"/>
    <w:rsid w:val="00FB5DD7"/>
    <w:rsid w:val="00FB60DF"/>
    <w:rsid w:val="00FB6BB6"/>
    <w:rsid w:val="00FB6C7E"/>
    <w:rsid w:val="00FC14FE"/>
    <w:rsid w:val="00FC2FF5"/>
    <w:rsid w:val="00FC3586"/>
    <w:rsid w:val="00FC3DF9"/>
    <w:rsid w:val="00FC4B79"/>
    <w:rsid w:val="00FD0E01"/>
    <w:rsid w:val="00FD1615"/>
    <w:rsid w:val="00FD3FEA"/>
    <w:rsid w:val="00FD4D6F"/>
    <w:rsid w:val="00FD5737"/>
    <w:rsid w:val="00FD5CC3"/>
    <w:rsid w:val="00FD7BF9"/>
    <w:rsid w:val="00FE136E"/>
    <w:rsid w:val="00FE21B1"/>
    <w:rsid w:val="00FE252D"/>
    <w:rsid w:val="00FE27D3"/>
    <w:rsid w:val="00FE590E"/>
    <w:rsid w:val="00FE77EE"/>
    <w:rsid w:val="00FF0F1B"/>
    <w:rsid w:val="00FF19DD"/>
    <w:rsid w:val="00FF1BBD"/>
    <w:rsid w:val="00FF1D56"/>
    <w:rsid w:val="00FF5434"/>
    <w:rsid w:val="00FF646F"/>
    <w:rsid w:val="00FF64DE"/>
    <w:rsid w:val="00FF6A56"/>
    <w:rsid w:val="00FF7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uiPriority w:val="9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uiPriority w:val="9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rsid w:val="004E0DA7"/>
    <w:p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styleId="NoSpacing">
    <w:name w:val="No Spacing"/>
    <w:uiPriority w:val="1"/>
    <w:qFormat/>
    <w:rsid w:val="00FD5CC3"/>
    <w:pPr>
      <w:overflowPunct w:val="0"/>
      <w:autoSpaceDE w:val="0"/>
      <w:autoSpaceDN w:val="0"/>
      <w:adjustRightInd w:val="0"/>
      <w:jc w:val="both"/>
      <w:textAlignment w:val="baseline"/>
    </w:pPr>
    <w:rPr>
      <w:sz w:val="22"/>
      <w:lang w:val="en-GB"/>
    </w:rPr>
  </w:style>
  <w:style w:type="character" w:customStyle="1" w:styleId="FootnoteTextChar">
    <w:name w:val="Footnote Text Char"/>
    <w:link w:val="FootnoteText"/>
    <w:semiHidden/>
    <w:rsid w:val="00577605"/>
    <w:rPr>
      <w:rFonts w:ascii="Times" w:eastAsia="Batang" w:hAnsi="Time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6AF3"/>
    <w:rPr>
      <w:rFonts w:ascii="Arial" w:hAnsi="Arial" w:cs="Arial"/>
      <w:b/>
      <w:bCs/>
      <w:noProof/>
      <w:sz w:val="18"/>
      <w:szCs w:val="18"/>
      <w:lang w:eastAsia="zh-CN"/>
    </w:rPr>
  </w:style>
  <w:style w:type="table" w:styleId="TableColorful3">
    <w:name w:val="Table Colorful 3"/>
    <w:basedOn w:val="TableNormal"/>
    <w:rsid w:val="00DD6C7B"/>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Grid3-Accent3">
    <w:name w:val="Medium Grid 3 Accent 3"/>
    <w:basedOn w:val="TableNormal"/>
    <w:uiPriority w:val="69"/>
    <w:rsid w:val="00DD6C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ListParagraph">
    <w:name w:val="List Paragraph"/>
    <w:basedOn w:val="Normal"/>
    <w:uiPriority w:val="34"/>
    <w:qFormat/>
    <w:rsid w:val="00046257"/>
    <w:pPr>
      <w:overflowPunct/>
      <w:autoSpaceDE/>
      <w:autoSpaceDN/>
      <w:adjustRightInd/>
      <w:spacing w:after="0"/>
      <w:ind w:left="720"/>
      <w:contextualSpacing/>
      <w:jc w:val="left"/>
      <w:textAlignment w:val="auto"/>
    </w:pPr>
    <w:rPr>
      <w:rFonts w:eastAsia="Times New Roman"/>
      <w:sz w:val="20"/>
      <w:szCs w:val="24"/>
      <w:lang w:val="en-US" w:eastAsia="en-US"/>
    </w:rPr>
  </w:style>
  <w:style w:type="paragraph" w:customStyle="1" w:styleId="B1">
    <w:name w:val="B1"/>
    <w:basedOn w:val="List"/>
    <w:link w:val="B1Char1"/>
    <w:rsid w:val="00811C5E"/>
    <w:pPr>
      <w:spacing w:after="180"/>
      <w:ind w:left="568" w:hanging="284"/>
      <w:contextualSpacing w:val="0"/>
      <w:jc w:val="left"/>
    </w:pPr>
    <w:rPr>
      <w:rFonts w:eastAsia="Times New Roman"/>
      <w:sz w:val="20"/>
      <w:lang w:eastAsia="en-GB"/>
    </w:rPr>
  </w:style>
  <w:style w:type="character" w:customStyle="1" w:styleId="B1Char1">
    <w:name w:val="B1 Char1"/>
    <w:link w:val="B1"/>
    <w:rsid w:val="00811C5E"/>
    <w:rPr>
      <w:rFonts w:eastAsia="Times New Roman"/>
      <w:lang w:val="en-GB" w:eastAsia="en-GB"/>
    </w:rPr>
  </w:style>
  <w:style w:type="paragraph" w:styleId="List">
    <w:name w:val="List"/>
    <w:basedOn w:val="Normal"/>
    <w:rsid w:val="00811C5E"/>
    <w:pPr>
      <w:ind w:left="360" w:hanging="360"/>
      <w:contextualSpacing/>
    </w:pPr>
  </w:style>
  <w:style w:type="paragraph" w:customStyle="1" w:styleId="CharCharCharCharCharCharCharCharCharCharCharChar">
    <w:name w:val=" Char Char Char Char Char Char Char Char Char Char Char Char"/>
    <w:semiHidden/>
    <w:rsid w:val="00E146E0"/>
    <w:pPr>
      <w:keepNext/>
      <w:tabs>
        <w:tab w:val="num" w:pos="567"/>
      </w:tabs>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uiPriority w:val="9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uiPriority w:val="9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rsid w:val="004E0DA7"/>
    <w:p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styleId="NoSpacing">
    <w:name w:val="No Spacing"/>
    <w:uiPriority w:val="1"/>
    <w:qFormat/>
    <w:rsid w:val="00FD5CC3"/>
    <w:pPr>
      <w:overflowPunct w:val="0"/>
      <w:autoSpaceDE w:val="0"/>
      <w:autoSpaceDN w:val="0"/>
      <w:adjustRightInd w:val="0"/>
      <w:jc w:val="both"/>
      <w:textAlignment w:val="baseline"/>
    </w:pPr>
    <w:rPr>
      <w:sz w:val="22"/>
      <w:lang w:val="en-GB"/>
    </w:rPr>
  </w:style>
  <w:style w:type="character" w:customStyle="1" w:styleId="FootnoteTextChar">
    <w:name w:val="Footnote Text Char"/>
    <w:link w:val="FootnoteText"/>
    <w:semiHidden/>
    <w:rsid w:val="00577605"/>
    <w:rPr>
      <w:rFonts w:ascii="Times" w:eastAsia="Batang" w:hAnsi="Time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6AF3"/>
    <w:rPr>
      <w:rFonts w:ascii="Arial" w:hAnsi="Arial" w:cs="Arial"/>
      <w:b/>
      <w:bCs/>
      <w:noProof/>
      <w:sz w:val="18"/>
      <w:szCs w:val="18"/>
      <w:lang w:eastAsia="zh-CN"/>
    </w:rPr>
  </w:style>
  <w:style w:type="table" w:styleId="TableColorful3">
    <w:name w:val="Table Colorful 3"/>
    <w:basedOn w:val="TableNormal"/>
    <w:rsid w:val="00DD6C7B"/>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Grid3-Accent3">
    <w:name w:val="Medium Grid 3 Accent 3"/>
    <w:basedOn w:val="TableNormal"/>
    <w:uiPriority w:val="69"/>
    <w:rsid w:val="00DD6C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ListParagraph">
    <w:name w:val="List Paragraph"/>
    <w:basedOn w:val="Normal"/>
    <w:uiPriority w:val="34"/>
    <w:qFormat/>
    <w:rsid w:val="00046257"/>
    <w:pPr>
      <w:overflowPunct/>
      <w:autoSpaceDE/>
      <w:autoSpaceDN/>
      <w:adjustRightInd/>
      <w:spacing w:after="0"/>
      <w:ind w:left="720"/>
      <w:contextualSpacing/>
      <w:jc w:val="left"/>
      <w:textAlignment w:val="auto"/>
    </w:pPr>
    <w:rPr>
      <w:rFonts w:eastAsia="Times New Roman"/>
      <w:sz w:val="20"/>
      <w:szCs w:val="24"/>
      <w:lang w:val="en-US" w:eastAsia="en-US"/>
    </w:rPr>
  </w:style>
  <w:style w:type="paragraph" w:customStyle="1" w:styleId="B1">
    <w:name w:val="B1"/>
    <w:basedOn w:val="List"/>
    <w:link w:val="B1Char1"/>
    <w:rsid w:val="00811C5E"/>
    <w:pPr>
      <w:spacing w:after="180"/>
      <w:ind w:left="568" w:hanging="284"/>
      <w:contextualSpacing w:val="0"/>
      <w:jc w:val="left"/>
    </w:pPr>
    <w:rPr>
      <w:rFonts w:eastAsia="Times New Roman"/>
      <w:sz w:val="20"/>
      <w:lang w:eastAsia="en-GB"/>
    </w:rPr>
  </w:style>
  <w:style w:type="character" w:customStyle="1" w:styleId="B1Char1">
    <w:name w:val="B1 Char1"/>
    <w:link w:val="B1"/>
    <w:rsid w:val="00811C5E"/>
    <w:rPr>
      <w:rFonts w:eastAsia="Times New Roman"/>
      <w:lang w:val="en-GB" w:eastAsia="en-GB"/>
    </w:rPr>
  </w:style>
  <w:style w:type="paragraph" w:styleId="List">
    <w:name w:val="List"/>
    <w:basedOn w:val="Normal"/>
    <w:rsid w:val="00811C5E"/>
    <w:pPr>
      <w:ind w:left="360" w:hanging="360"/>
      <w:contextualSpacing/>
    </w:pPr>
  </w:style>
  <w:style w:type="paragraph" w:customStyle="1" w:styleId="CharCharCharCharCharCharCharCharCharCharCharChar">
    <w:name w:val=" Char Char Char Char Char Char Char Char Char Char Char Char"/>
    <w:semiHidden/>
    <w:rsid w:val="00E146E0"/>
    <w:pPr>
      <w:keepNext/>
      <w:tabs>
        <w:tab w:val="num" w:pos="567"/>
      </w:tabs>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4117">
      <w:bodyDiv w:val="1"/>
      <w:marLeft w:val="0"/>
      <w:marRight w:val="0"/>
      <w:marTop w:val="0"/>
      <w:marBottom w:val="0"/>
      <w:divBdr>
        <w:top w:val="none" w:sz="0" w:space="0" w:color="auto"/>
        <w:left w:val="none" w:sz="0" w:space="0" w:color="auto"/>
        <w:bottom w:val="none" w:sz="0" w:space="0" w:color="auto"/>
        <w:right w:val="none" w:sz="0" w:space="0" w:color="auto"/>
      </w:divBdr>
      <w:divsChild>
        <w:div w:id="834028356">
          <w:marLeft w:val="1411"/>
          <w:marRight w:val="0"/>
          <w:marTop w:val="86"/>
          <w:marBottom w:val="0"/>
          <w:divBdr>
            <w:top w:val="none" w:sz="0" w:space="0" w:color="auto"/>
            <w:left w:val="none" w:sz="0" w:space="0" w:color="auto"/>
            <w:bottom w:val="none" w:sz="0" w:space="0" w:color="auto"/>
            <w:right w:val="none" w:sz="0" w:space="0" w:color="auto"/>
          </w:divBdr>
        </w:div>
        <w:div w:id="1018002961">
          <w:marLeft w:val="835"/>
          <w:marRight w:val="0"/>
          <w:marTop w:val="86"/>
          <w:marBottom w:val="0"/>
          <w:divBdr>
            <w:top w:val="none" w:sz="0" w:space="0" w:color="auto"/>
            <w:left w:val="none" w:sz="0" w:space="0" w:color="auto"/>
            <w:bottom w:val="none" w:sz="0" w:space="0" w:color="auto"/>
            <w:right w:val="none" w:sz="0" w:space="0" w:color="auto"/>
          </w:divBdr>
        </w:div>
        <w:div w:id="1055085418">
          <w:marLeft w:val="1411"/>
          <w:marRight w:val="0"/>
          <w:marTop w:val="86"/>
          <w:marBottom w:val="0"/>
          <w:divBdr>
            <w:top w:val="none" w:sz="0" w:space="0" w:color="auto"/>
            <w:left w:val="none" w:sz="0" w:space="0" w:color="auto"/>
            <w:bottom w:val="none" w:sz="0" w:space="0" w:color="auto"/>
            <w:right w:val="none" w:sz="0" w:space="0" w:color="auto"/>
          </w:divBdr>
        </w:div>
        <w:div w:id="1290092438">
          <w:marLeft w:val="1411"/>
          <w:marRight w:val="0"/>
          <w:marTop w:val="86"/>
          <w:marBottom w:val="0"/>
          <w:divBdr>
            <w:top w:val="none" w:sz="0" w:space="0" w:color="auto"/>
            <w:left w:val="none" w:sz="0" w:space="0" w:color="auto"/>
            <w:bottom w:val="none" w:sz="0" w:space="0" w:color="auto"/>
            <w:right w:val="none" w:sz="0" w:space="0" w:color="auto"/>
          </w:divBdr>
        </w:div>
      </w:divsChild>
    </w:div>
    <w:div w:id="82386997">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16211394">
      <w:bodyDiv w:val="1"/>
      <w:marLeft w:val="0"/>
      <w:marRight w:val="0"/>
      <w:marTop w:val="0"/>
      <w:marBottom w:val="0"/>
      <w:divBdr>
        <w:top w:val="none" w:sz="0" w:space="0" w:color="auto"/>
        <w:left w:val="none" w:sz="0" w:space="0" w:color="auto"/>
        <w:bottom w:val="none" w:sz="0" w:space="0" w:color="auto"/>
        <w:right w:val="none" w:sz="0" w:space="0" w:color="auto"/>
      </w:divBdr>
      <w:divsChild>
        <w:div w:id="1306592944">
          <w:marLeft w:val="274"/>
          <w:marRight w:val="0"/>
          <w:marTop w:val="96"/>
          <w:marBottom w:val="0"/>
          <w:divBdr>
            <w:top w:val="none" w:sz="0" w:space="0" w:color="auto"/>
            <w:left w:val="none" w:sz="0" w:space="0" w:color="auto"/>
            <w:bottom w:val="none" w:sz="0" w:space="0" w:color="auto"/>
            <w:right w:val="none" w:sz="0" w:space="0" w:color="auto"/>
          </w:divBdr>
        </w:div>
      </w:divsChild>
    </w:div>
    <w:div w:id="222447438">
      <w:bodyDiv w:val="1"/>
      <w:marLeft w:val="0"/>
      <w:marRight w:val="0"/>
      <w:marTop w:val="0"/>
      <w:marBottom w:val="0"/>
      <w:divBdr>
        <w:top w:val="none" w:sz="0" w:space="0" w:color="auto"/>
        <w:left w:val="none" w:sz="0" w:space="0" w:color="auto"/>
        <w:bottom w:val="none" w:sz="0" w:space="0" w:color="auto"/>
        <w:right w:val="none" w:sz="0" w:space="0" w:color="auto"/>
      </w:divBdr>
      <w:divsChild>
        <w:div w:id="1842115923">
          <w:marLeft w:val="274"/>
          <w:marRight w:val="0"/>
          <w:marTop w:val="86"/>
          <w:marBottom w:val="0"/>
          <w:divBdr>
            <w:top w:val="none" w:sz="0" w:space="0" w:color="auto"/>
            <w:left w:val="none" w:sz="0" w:space="0" w:color="auto"/>
            <w:bottom w:val="none" w:sz="0" w:space="0" w:color="auto"/>
            <w:right w:val="none" w:sz="0" w:space="0" w:color="auto"/>
          </w:divBdr>
        </w:div>
      </w:divsChild>
    </w:div>
    <w:div w:id="271909523">
      <w:bodyDiv w:val="1"/>
      <w:marLeft w:val="0"/>
      <w:marRight w:val="0"/>
      <w:marTop w:val="0"/>
      <w:marBottom w:val="0"/>
      <w:divBdr>
        <w:top w:val="none" w:sz="0" w:space="0" w:color="auto"/>
        <w:left w:val="none" w:sz="0" w:space="0" w:color="auto"/>
        <w:bottom w:val="none" w:sz="0" w:space="0" w:color="auto"/>
        <w:right w:val="none" w:sz="0" w:space="0" w:color="auto"/>
      </w:divBdr>
    </w:div>
    <w:div w:id="373892716">
      <w:bodyDiv w:val="1"/>
      <w:marLeft w:val="0"/>
      <w:marRight w:val="0"/>
      <w:marTop w:val="0"/>
      <w:marBottom w:val="0"/>
      <w:divBdr>
        <w:top w:val="none" w:sz="0" w:space="0" w:color="auto"/>
        <w:left w:val="none" w:sz="0" w:space="0" w:color="auto"/>
        <w:bottom w:val="none" w:sz="0" w:space="0" w:color="auto"/>
        <w:right w:val="none" w:sz="0" w:space="0" w:color="auto"/>
      </w:divBdr>
    </w:div>
    <w:div w:id="384791589">
      <w:bodyDiv w:val="1"/>
      <w:marLeft w:val="0"/>
      <w:marRight w:val="0"/>
      <w:marTop w:val="0"/>
      <w:marBottom w:val="0"/>
      <w:divBdr>
        <w:top w:val="none" w:sz="0" w:space="0" w:color="auto"/>
        <w:left w:val="none" w:sz="0" w:space="0" w:color="auto"/>
        <w:bottom w:val="none" w:sz="0" w:space="0" w:color="auto"/>
        <w:right w:val="none" w:sz="0" w:space="0" w:color="auto"/>
      </w:divBdr>
    </w:div>
    <w:div w:id="392121108">
      <w:bodyDiv w:val="1"/>
      <w:marLeft w:val="0"/>
      <w:marRight w:val="0"/>
      <w:marTop w:val="0"/>
      <w:marBottom w:val="0"/>
      <w:divBdr>
        <w:top w:val="none" w:sz="0" w:space="0" w:color="auto"/>
        <w:left w:val="none" w:sz="0" w:space="0" w:color="auto"/>
        <w:bottom w:val="none" w:sz="0" w:space="0" w:color="auto"/>
        <w:right w:val="none" w:sz="0" w:space="0" w:color="auto"/>
      </w:divBdr>
      <w:divsChild>
        <w:div w:id="1934581998">
          <w:marLeft w:val="274"/>
          <w:marRight w:val="0"/>
          <w:marTop w:val="77"/>
          <w:marBottom w:val="0"/>
          <w:divBdr>
            <w:top w:val="none" w:sz="0" w:space="0" w:color="auto"/>
            <w:left w:val="none" w:sz="0" w:space="0" w:color="auto"/>
            <w:bottom w:val="none" w:sz="0" w:space="0" w:color="auto"/>
            <w:right w:val="none" w:sz="0" w:space="0" w:color="auto"/>
          </w:divBdr>
        </w:div>
        <w:div w:id="1953702505">
          <w:marLeft w:val="274"/>
          <w:marRight w:val="0"/>
          <w:marTop w:val="77"/>
          <w:marBottom w:val="0"/>
          <w:divBdr>
            <w:top w:val="none" w:sz="0" w:space="0" w:color="auto"/>
            <w:left w:val="none" w:sz="0" w:space="0" w:color="auto"/>
            <w:bottom w:val="none" w:sz="0" w:space="0" w:color="auto"/>
            <w:right w:val="none" w:sz="0" w:space="0" w:color="auto"/>
          </w:divBdr>
        </w:div>
      </w:divsChild>
    </w:div>
    <w:div w:id="394208202">
      <w:bodyDiv w:val="1"/>
      <w:marLeft w:val="0"/>
      <w:marRight w:val="0"/>
      <w:marTop w:val="0"/>
      <w:marBottom w:val="0"/>
      <w:divBdr>
        <w:top w:val="none" w:sz="0" w:space="0" w:color="auto"/>
        <w:left w:val="none" w:sz="0" w:space="0" w:color="auto"/>
        <w:bottom w:val="none" w:sz="0" w:space="0" w:color="auto"/>
        <w:right w:val="none" w:sz="0" w:space="0" w:color="auto"/>
      </w:divBdr>
      <w:divsChild>
        <w:div w:id="351415612">
          <w:marLeft w:val="1411"/>
          <w:marRight w:val="0"/>
          <w:marTop w:val="91"/>
          <w:marBottom w:val="0"/>
          <w:divBdr>
            <w:top w:val="none" w:sz="0" w:space="0" w:color="auto"/>
            <w:left w:val="none" w:sz="0" w:space="0" w:color="auto"/>
            <w:bottom w:val="none" w:sz="0" w:space="0" w:color="auto"/>
            <w:right w:val="none" w:sz="0" w:space="0" w:color="auto"/>
          </w:divBdr>
        </w:div>
        <w:div w:id="384989623">
          <w:marLeft w:val="835"/>
          <w:marRight w:val="0"/>
          <w:marTop w:val="91"/>
          <w:marBottom w:val="0"/>
          <w:divBdr>
            <w:top w:val="none" w:sz="0" w:space="0" w:color="auto"/>
            <w:left w:val="none" w:sz="0" w:space="0" w:color="auto"/>
            <w:bottom w:val="none" w:sz="0" w:space="0" w:color="auto"/>
            <w:right w:val="none" w:sz="0" w:space="0" w:color="auto"/>
          </w:divBdr>
        </w:div>
        <w:div w:id="1092118568">
          <w:marLeft w:val="1411"/>
          <w:marRight w:val="0"/>
          <w:marTop w:val="91"/>
          <w:marBottom w:val="0"/>
          <w:divBdr>
            <w:top w:val="none" w:sz="0" w:space="0" w:color="auto"/>
            <w:left w:val="none" w:sz="0" w:space="0" w:color="auto"/>
            <w:bottom w:val="none" w:sz="0" w:space="0" w:color="auto"/>
            <w:right w:val="none" w:sz="0" w:space="0" w:color="auto"/>
          </w:divBdr>
        </w:div>
        <w:div w:id="1363937940">
          <w:marLeft w:val="274"/>
          <w:marRight w:val="0"/>
          <w:marTop w:val="106"/>
          <w:marBottom w:val="0"/>
          <w:divBdr>
            <w:top w:val="none" w:sz="0" w:space="0" w:color="auto"/>
            <w:left w:val="none" w:sz="0" w:space="0" w:color="auto"/>
            <w:bottom w:val="none" w:sz="0" w:space="0" w:color="auto"/>
            <w:right w:val="none" w:sz="0" w:space="0" w:color="auto"/>
          </w:divBdr>
        </w:div>
        <w:div w:id="1392004190">
          <w:marLeft w:val="274"/>
          <w:marRight w:val="0"/>
          <w:marTop w:val="106"/>
          <w:marBottom w:val="0"/>
          <w:divBdr>
            <w:top w:val="none" w:sz="0" w:space="0" w:color="auto"/>
            <w:left w:val="none" w:sz="0" w:space="0" w:color="auto"/>
            <w:bottom w:val="none" w:sz="0" w:space="0" w:color="auto"/>
            <w:right w:val="none" w:sz="0" w:space="0" w:color="auto"/>
          </w:divBdr>
        </w:div>
        <w:div w:id="1406033440">
          <w:marLeft w:val="835"/>
          <w:marRight w:val="0"/>
          <w:marTop w:val="91"/>
          <w:marBottom w:val="0"/>
          <w:divBdr>
            <w:top w:val="none" w:sz="0" w:space="0" w:color="auto"/>
            <w:left w:val="none" w:sz="0" w:space="0" w:color="auto"/>
            <w:bottom w:val="none" w:sz="0" w:space="0" w:color="auto"/>
            <w:right w:val="none" w:sz="0" w:space="0" w:color="auto"/>
          </w:divBdr>
        </w:div>
        <w:div w:id="1411461310">
          <w:marLeft w:val="1411"/>
          <w:marRight w:val="0"/>
          <w:marTop w:val="91"/>
          <w:marBottom w:val="0"/>
          <w:divBdr>
            <w:top w:val="none" w:sz="0" w:space="0" w:color="auto"/>
            <w:left w:val="none" w:sz="0" w:space="0" w:color="auto"/>
            <w:bottom w:val="none" w:sz="0" w:space="0" w:color="auto"/>
            <w:right w:val="none" w:sz="0" w:space="0" w:color="auto"/>
          </w:divBdr>
        </w:div>
        <w:div w:id="1636594783">
          <w:marLeft w:val="1411"/>
          <w:marRight w:val="0"/>
          <w:marTop w:val="91"/>
          <w:marBottom w:val="0"/>
          <w:divBdr>
            <w:top w:val="none" w:sz="0" w:space="0" w:color="auto"/>
            <w:left w:val="none" w:sz="0" w:space="0" w:color="auto"/>
            <w:bottom w:val="none" w:sz="0" w:space="0" w:color="auto"/>
            <w:right w:val="none" w:sz="0" w:space="0" w:color="auto"/>
          </w:divBdr>
        </w:div>
        <w:div w:id="1922176630">
          <w:marLeft w:val="1411"/>
          <w:marRight w:val="0"/>
          <w:marTop w:val="91"/>
          <w:marBottom w:val="0"/>
          <w:divBdr>
            <w:top w:val="none" w:sz="0" w:space="0" w:color="auto"/>
            <w:left w:val="none" w:sz="0" w:space="0" w:color="auto"/>
            <w:bottom w:val="none" w:sz="0" w:space="0" w:color="auto"/>
            <w:right w:val="none" w:sz="0" w:space="0" w:color="auto"/>
          </w:divBdr>
        </w:div>
        <w:div w:id="2047026174">
          <w:marLeft w:val="835"/>
          <w:marRight w:val="0"/>
          <w:marTop w:val="91"/>
          <w:marBottom w:val="0"/>
          <w:divBdr>
            <w:top w:val="none" w:sz="0" w:space="0" w:color="auto"/>
            <w:left w:val="none" w:sz="0" w:space="0" w:color="auto"/>
            <w:bottom w:val="none" w:sz="0" w:space="0" w:color="auto"/>
            <w:right w:val="none" w:sz="0" w:space="0" w:color="auto"/>
          </w:divBdr>
        </w:div>
      </w:divsChild>
    </w:div>
    <w:div w:id="479461516">
      <w:bodyDiv w:val="1"/>
      <w:marLeft w:val="0"/>
      <w:marRight w:val="0"/>
      <w:marTop w:val="0"/>
      <w:marBottom w:val="0"/>
      <w:divBdr>
        <w:top w:val="none" w:sz="0" w:space="0" w:color="auto"/>
        <w:left w:val="none" w:sz="0" w:space="0" w:color="auto"/>
        <w:bottom w:val="none" w:sz="0" w:space="0" w:color="auto"/>
        <w:right w:val="none" w:sz="0" w:space="0" w:color="auto"/>
      </w:divBdr>
      <w:divsChild>
        <w:div w:id="216670732">
          <w:marLeft w:val="1411"/>
          <w:marRight w:val="0"/>
          <w:marTop w:val="67"/>
          <w:marBottom w:val="0"/>
          <w:divBdr>
            <w:top w:val="none" w:sz="0" w:space="0" w:color="auto"/>
            <w:left w:val="none" w:sz="0" w:space="0" w:color="auto"/>
            <w:bottom w:val="none" w:sz="0" w:space="0" w:color="auto"/>
            <w:right w:val="none" w:sz="0" w:space="0" w:color="auto"/>
          </w:divBdr>
        </w:div>
        <w:div w:id="248661068">
          <w:marLeft w:val="2549"/>
          <w:marRight w:val="0"/>
          <w:marTop w:val="67"/>
          <w:marBottom w:val="0"/>
          <w:divBdr>
            <w:top w:val="none" w:sz="0" w:space="0" w:color="auto"/>
            <w:left w:val="none" w:sz="0" w:space="0" w:color="auto"/>
            <w:bottom w:val="none" w:sz="0" w:space="0" w:color="auto"/>
            <w:right w:val="none" w:sz="0" w:space="0" w:color="auto"/>
          </w:divBdr>
        </w:div>
        <w:div w:id="291835412">
          <w:marLeft w:val="274"/>
          <w:marRight w:val="0"/>
          <w:marTop w:val="77"/>
          <w:marBottom w:val="0"/>
          <w:divBdr>
            <w:top w:val="none" w:sz="0" w:space="0" w:color="auto"/>
            <w:left w:val="none" w:sz="0" w:space="0" w:color="auto"/>
            <w:bottom w:val="none" w:sz="0" w:space="0" w:color="auto"/>
            <w:right w:val="none" w:sz="0" w:space="0" w:color="auto"/>
          </w:divBdr>
        </w:div>
        <w:div w:id="429401276">
          <w:marLeft w:val="2549"/>
          <w:marRight w:val="0"/>
          <w:marTop w:val="67"/>
          <w:marBottom w:val="0"/>
          <w:divBdr>
            <w:top w:val="none" w:sz="0" w:space="0" w:color="auto"/>
            <w:left w:val="none" w:sz="0" w:space="0" w:color="auto"/>
            <w:bottom w:val="none" w:sz="0" w:space="0" w:color="auto"/>
            <w:right w:val="none" w:sz="0" w:space="0" w:color="auto"/>
          </w:divBdr>
        </w:div>
        <w:div w:id="439375675">
          <w:marLeft w:val="1973"/>
          <w:marRight w:val="0"/>
          <w:marTop w:val="67"/>
          <w:marBottom w:val="0"/>
          <w:divBdr>
            <w:top w:val="none" w:sz="0" w:space="0" w:color="auto"/>
            <w:left w:val="none" w:sz="0" w:space="0" w:color="auto"/>
            <w:bottom w:val="none" w:sz="0" w:space="0" w:color="auto"/>
            <w:right w:val="none" w:sz="0" w:space="0" w:color="auto"/>
          </w:divBdr>
        </w:div>
        <w:div w:id="507060100">
          <w:marLeft w:val="2549"/>
          <w:marRight w:val="0"/>
          <w:marTop w:val="67"/>
          <w:marBottom w:val="0"/>
          <w:divBdr>
            <w:top w:val="none" w:sz="0" w:space="0" w:color="auto"/>
            <w:left w:val="none" w:sz="0" w:space="0" w:color="auto"/>
            <w:bottom w:val="none" w:sz="0" w:space="0" w:color="auto"/>
            <w:right w:val="none" w:sz="0" w:space="0" w:color="auto"/>
          </w:divBdr>
        </w:div>
        <w:div w:id="790242982">
          <w:marLeft w:val="1411"/>
          <w:marRight w:val="0"/>
          <w:marTop w:val="67"/>
          <w:marBottom w:val="0"/>
          <w:divBdr>
            <w:top w:val="none" w:sz="0" w:space="0" w:color="auto"/>
            <w:left w:val="none" w:sz="0" w:space="0" w:color="auto"/>
            <w:bottom w:val="none" w:sz="0" w:space="0" w:color="auto"/>
            <w:right w:val="none" w:sz="0" w:space="0" w:color="auto"/>
          </w:divBdr>
        </w:div>
        <w:div w:id="805272495">
          <w:marLeft w:val="1411"/>
          <w:marRight w:val="0"/>
          <w:marTop w:val="67"/>
          <w:marBottom w:val="0"/>
          <w:divBdr>
            <w:top w:val="none" w:sz="0" w:space="0" w:color="auto"/>
            <w:left w:val="none" w:sz="0" w:space="0" w:color="auto"/>
            <w:bottom w:val="none" w:sz="0" w:space="0" w:color="auto"/>
            <w:right w:val="none" w:sz="0" w:space="0" w:color="auto"/>
          </w:divBdr>
        </w:div>
        <w:div w:id="1024792412">
          <w:marLeft w:val="835"/>
          <w:marRight w:val="0"/>
          <w:marTop w:val="67"/>
          <w:marBottom w:val="0"/>
          <w:divBdr>
            <w:top w:val="none" w:sz="0" w:space="0" w:color="auto"/>
            <w:left w:val="none" w:sz="0" w:space="0" w:color="auto"/>
            <w:bottom w:val="none" w:sz="0" w:space="0" w:color="auto"/>
            <w:right w:val="none" w:sz="0" w:space="0" w:color="auto"/>
          </w:divBdr>
        </w:div>
        <w:div w:id="1030574569">
          <w:marLeft w:val="1411"/>
          <w:marRight w:val="0"/>
          <w:marTop w:val="67"/>
          <w:marBottom w:val="0"/>
          <w:divBdr>
            <w:top w:val="none" w:sz="0" w:space="0" w:color="auto"/>
            <w:left w:val="none" w:sz="0" w:space="0" w:color="auto"/>
            <w:bottom w:val="none" w:sz="0" w:space="0" w:color="auto"/>
            <w:right w:val="none" w:sz="0" w:space="0" w:color="auto"/>
          </w:divBdr>
        </w:div>
        <w:div w:id="1184369604">
          <w:marLeft w:val="2549"/>
          <w:marRight w:val="0"/>
          <w:marTop w:val="67"/>
          <w:marBottom w:val="0"/>
          <w:divBdr>
            <w:top w:val="none" w:sz="0" w:space="0" w:color="auto"/>
            <w:left w:val="none" w:sz="0" w:space="0" w:color="auto"/>
            <w:bottom w:val="none" w:sz="0" w:space="0" w:color="auto"/>
            <w:right w:val="none" w:sz="0" w:space="0" w:color="auto"/>
          </w:divBdr>
        </w:div>
        <w:div w:id="1305040046">
          <w:marLeft w:val="835"/>
          <w:marRight w:val="0"/>
          <w:marTop w:val="67"/>
          <w:marBottom w:val="0"/>
          <w:divBdr>
            <w:top w:val="none" w:sz="0" w:space="0" w:color="auto"/>
            <w:left w:val="none" w:sz="0" w:space="0" w:color="auto"/>
            <w:bottom w:val="none" w:sz="0" w:space="0" w:color="auto"/>
            <w:right w:val="none" w:sz="0" w:space="0" w:color="auto"/>
          </w:divBdr>
        </w:div>
        <w:div w:id="1889681304">
          <w:marLeft w:val="1973"/>
          <w:marRight w:val="0"/>
          <w:marTop w:val="67"/>
          <w:marBottom w:val="0"/>
          <w:divBdr>
            <w:top w:val="none" w:sz="0" w:space="0" w:color="auto"/>
            <w:left w:val="none" w:sz="0" w:space="0" w:color="auto"/>
            <w:bottom w:val="none" w:sz="0" w:space="0" w:color="auto"/>
            <w:right w:val="none" w:sz="0" w:space="0" w:color="auto"/>
          </w:divBdr>
        </w:div>
        <w:div w:id="1952545827">
          <w:marLeft w:val="2549"/>
          <w:marRight w:val="0"/>
          <w:marTop w:val="67"/>
          <w:marBottom w:val="0"/>
          <w:divBdr>
            <w:top w:val="none" w:sz="0" w:space="0" w:color="auto"/>
            <w:left w:val="none" w:sz="0" w:space="0" w:color="auto"/>
            <w:bottom w:val="none" w:sz="0" w:space="0" w:color="auto"/>
            <w:right w:val="none" w:sz="0" w:space="0" w:color="auto"/>
          </w:divBdr>
        </w:div>
        <w:div w:id="2022076327">
          <w:marLeft w:val="1411"/>
          <w:marRight w:val="0"/>
          <w:marTop w:val="67"/>
          <w:marBottom w:val="0"/>
          <w:divBdr>
            <w:top w:val="none" w:sz="0" w:space="0" w:color="auto"/>
            <w:left w:val="none" w:sz="0" w:space="0" w:color="auto"/>
            <w:bottom w:val="none" w:sz="0" w:space="0" w:color="auto"/>
            <w:right w:val="none" w:sz="0" w:space="0" w:color="auto"/>
          </w:divBdr>
        </w:div>
        <w:div w:id="2120442014">
          <w:marLeft w:val="1411"/>
          <w:marRight w:val="0"/>
          <w:marTop w:val="67"/>
          <w:marBottom w:val="0"/>
          <w:divBdr>
            <w:top w:val="none" w:sz="0" w:space="0" w:color="auto"/>
            <w:left w:val="none" w:sz="0" w:space="0" w:color="auto"/>
            <w:bottom w:val="none" w:sz="0" w:space="0" w:color="auto"/>
            <w:right w:val="none" w:sz="0" w:space="0" w:color="auto"/>
          </w:divBdr>
        </w:div>
      </w:divsChild>
    </w:div>
    <w:div w:id="566575909">
      <w:bodyDiv w:val="1"/>
      <w:marLeft w:val="0"/>
      <w:marRight w:val="0"/>
      <w:marTop w:val="0"/>
      <w:marBottom w:val="0"/>
      <w:divBdr>
        <w:top w:val="none" w:sz="0" w:space="0" w:color="auto"/>
        <w:left w:val="none" w:sz="0" w:space="0" w:color="auto"/>
        <w:bottom w:val="none" w:sz="0" w:space="0" w:color="auto"/>
        <w:right w:val="none" w:sz="0" w:space="0" w:color="auto"/>
      </w:divBdr>
      <w:divsChild>
        <w:div w:id="451822748">
          <w:marLeft w:val="835"/>
          <w:marRight w:val="0"/>
          <w:marTop w:val="96"/>
          <w:marBottom w:val="0"/>
          <w:divBdr>
            <w:top w:val="none" w:sz="0" w:space="0" w:color="auto"/>
            <w:left w:val="none" w:sz="0" w:space="0" w:color="auto"/>
            <w:bottom w:val="none" w:sz="0" w:space="0" w:color="auto"/>
            <w:right w:val="none" w:sz="0" w:space="0" w:color="auto"/>
          </w:divBdr>
        </w:div>
        <w:div w:id="2068338045">
          <w:marLeft w:val="274"/>
          <w:marRight w:val="0"/>
          <w:marTop w:val="115"/>
          <w:marBottom w:val="0"/>
          <w:divBdr>
            <w:top w:val="none" w:sz="0" w:space="0" w:color="auto"/>
            <w:left w:val="none" w:sz="0" w:space="0" w:color="auto"/>
            <w:bottom w:val="none" w:sz="0" w:space="0" w:color="auto"/>
            <w:right w:val="none" w:sz="0" w:space="0" w:color="auto"/>
          </w:divBdr>
        </w:div>
        <w:div w:id="2099597640">
          <w:marLeft w:val="274"/>
          <w:marRight w:val="0"/>
          <w:marTop w:val="115"/>
          <w:marBottom w:val="0"/>
          <w:divBdr>
            <w:top w:val="none" w:sz="0" w:space="0" w:color="auto"/>
            <w:left w:val="none" w:sz="0" w:space="0" w:color="auto"/>
            <w:bottom w:val="none" w:sz="0" w:space="0" w:color="auto"/>
            <w:right w:val="none" w:sz="0" w:space="0" w:color="auto"/>
          </w:divBdr>
        </w:div>
      </w:divsChild>
    </w:div>
    <w:div w:id="570382751">
      <w:bodyDiv w:val="1"/>
      <w:marLeft w:val="0"/>
      <w:marRight w:val="0"/>
      <w:marTop w:val="0"/>
      <w:marBottom w:val="0"/>
      <w:divBdr>
        <w:top w:val="none" w:sz="0" w:space="0" w:color="auto"/>
        <w:left w:val="none" w:sz="0" w:space="0" w:color="auto"/>
        <w:bottom w:val="none" w:sz="0" w:space="0" w:color="auto"/>
        <w:right w:val="none" w:sz="0" w:space="0" w:color="auto"/>
      </w:divBdr>
    </w:div>
    <w:div w:id="589238490">
      <w:bodyDiv w:val="1"/>
      <w:marLeft w:val="0"/>
      <w:marRight w:val="0"/>
      <w:marTop w:val="0"/>
      <w:marBottom w:val="0"/>
      <w:divBdr>
        <w:top w:val="none" w:sz="0" w:space="0" w:color="auto"/>
        <w:left w:val="none" w:sz="0" w:space="0" w:color="auto"/>
        <w:bottom w:val="none" w:sz="0" w:space="0" w:color="auto"/>
        <w:right w:val="none" w:sz="0" w:space="0" w:color="auto"/>
      </w:divBdr>
      <w:divsChild>
        <w:div w:id="1395733527">
          <w:marLeft w:val="274"/>
          <w:marRight w:val="0"/>
          <w:marTop w:val="115"/>
          <w:marBottom w:val="0"/>
          <w:divBdr>
            <w:top w:val="none" w:sz="0" w:space="0" w:color="auto"/>
            <w:left w:val="none" w:sz="0" w:space="0" w:color="auto"/>
            <w:bottom w:val="none" w:sz="0" w:space="0" w:color="auto"/>
            <w:right w:val="none" w:sz="0" w:space="0" w:color="auto"/>
          </w:divBdr>
        </w:div>
        <w:div w:id="1530140641">
          <w:marLeft w:val="835"/>
          <w:marRight w:val="0"/>
          <w:marTop w:val="96"/>
          <w:marBottom w:val="0"/>
          <w:divBdr>
            <w:top w:val="none" w:sz="0" w:space="0" w:color="auto"/>
            <w:left w:val="none" w:sz="0" w:space="0" w:color="auto"/>
            <w:bottom w:val="none" w:sz="0" w:space="0" w:color="auto"/>
            <w:right w:val="none" w:sz="0" w:space="0" w:color="auto"/>
          </w:divBdr>
        </w:div>
      </w:divsChild>
    </w:div>
    <w:div w:id="595745259">
      <w:bodyDiv w:val="1"/>
      <w:marLeft w:val="0"/>
      <w:marRight w:val="0"/>
      <w:marTop w:val="0"/>
      <w:marBottom w:val="0"/>
      <w:divBdr>
        <w:top w:val="none" w:sz="0" w:space="0" w:color="auto"/>
        <w:left w:val="none" w:sz="0" w:space="0" w:color="auto"/>
        <w:bottom w:val="none" w:sz="0" w:space="0" w:color="auto"/>
        <w:right w:val="none" w:sz="0" w:space="0" w:color="auto"/>
      </w:divBdr>
    </w:div>
    <w:div w:id="626594123">
      <w:bodyDiv w:val="1"/>
      <w:marLeft w:val="0"/>
      <w:marRight w:val="0"/>
      <w:marTop w:val="0"/>
      <w:marBottom w:val="0"/>
      <w:divBdr>
        <w:top w:val="none" w:sz="0" w:space="0" w:color="auto"/>
        <w:left w:val="none" w:sz="0" w:space="0" w:color="auto"/>
        <w:bottom w:val="none" w:sz="0" w:space="0" w:color="auto"/>
        <w:right w:val="none" w:sz="0" w:space="0" w:color="auto"/>
      </w:divBdr>
      <w:divsChild>
        <w:div w:id="615142126">
          <w:marLeft w:val="835"/>
          <w:marRight w:val="0"/>
          <w:marTop w:val="91"/>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53293931">
      <w:bodyDiv w:val="1"/>
      <w:marLeft w:val="0"/>
      <w:marRight w:val="0"/>
      <w:marTop w:val="0"/>
      <w:marBottom w:val="0"/>
      <w:divBdr>
        <w:top w:val="none" w:sz="0" w:space="0" w:color="auto"/>
        <w:left w:val="none" w:sz="0" w:space="0" w:color="auto"/>
        <w:bottom w:val="none" w:sz="0" w:space="0" w:color="auto"/>
        <w:right w:val="none" w:sz="0" w:space="0" w:color="auto"/>
      </w:divBdr>
      <w:divsChild>
        <w:div w:id="311719045">
          <w:marLeft w:val="835"/>
          <w:marRight w:val="0"/>
          <w:marTop w:val="86"/>
          <w:marBottom w:val="0"/>
          <w:divBdr>
            <w:top w:val="none" w:sz="0" w:space="0" w:color="auto"/>
            <w:left w:val="none" w:sz="0" w:space="0" w:color="auto"/>
            <w:bottom w:val="none" w:sz="0" w:space="0" w:color="auto"/>
            <w:right w:val="none" w:sz="0" w:space="0" w:color="auto"/>
          </w:divBdr>
        </w:div>
        <w:div w:id="1357345985">
          <w:marLeft w:val="835"/>
          <w:marRight w:val="0"/>
          <w:marTop w:val="86"/>
          <w:marBottom w:val="0"/>
          <w:divBdr>
            <w:top w:val="none" w:sz="0" w:space="0" w:color="auto"/>
            <w:left w:val="none" w:sz="0" w:space="0" w:color="auto"/>
            <w:bottom w:val="none" w:sz="0" w:space="0" w:color="auto"/>
            <w:right w:val="none" w:sz="0" w:space="0" w:color="auto"/>
          </w:divBdr>
        </w:div>
        <w:div w:id="1676297051">
          <w:marLeft w:val="835"/>
          <w:marRight w:val="0"/>
          <w:marTop w:val="86"/>
          <w:marBottom w:val="0"/>
          <w:divBdr>
            <w:top w:val="none" w:sz="0" w:space="0" w:color="auto"/>
            <w:left w:val="none" w:sz="0" w:space="0" w:color="auto"/>
            <w:bottom w:val="none" w:sz="0" w:space="0" w:color="auto"/>
            <w:right w:val="none" w:sz="0" w:space="0" w:color="auto"/>
          </w:divBdr>
        </w:div>
        <w:div w:id="1767800235">
          <w:marLeft w:val="835"/>
          <w:marRight w:val="0"/>
          <w:marTop w:val="86"/>
          <w:marBottom w:val="0"/>
          <w:divBdr>
            <w:top w:val="none" w:sz="0" w:space="0" w:color="auto"/>
            <w:left w:val="none" w:sz="0" w:space="0" w:color="auto"/>
            <w:bottom w:val="none" w:sz="0" w:space="0" w:color="auto"/>
            <w:right w:val="none" w:sz="0" w:space="0" w:color="auto"/>
          </w:divBdr>
        </w:div>
      </w:divsChild>
    </w:div>
    <w:div w:id="707610060">
      <w:bodyDiv w:val="1"/>
      <w:marLeft w:val="0"/>
      <w:marRight w:val="0"/>
      <w:marTop w:val="0"/>
      <w:marBottom w:val="0"/>
      <w:divBdr>
        <w:top w:val="none" w:sz="0" w:space="0" w:color="auto"/>
        <w:left w:val="none" w:sz="0" w:space="0" w:color="auto"/>
        <w:bottom w:val="none" w:sz="0" w:space="0" w:color="auto"/>
        <w:right w:val="none" w:sz="0" w:space="0" w:color="auto"/>
      </w:divBdr>
    </w:div>
    <w:div w:id="715356744">
      <w:bodyDiv w:val="1"/>
      <w:marLeft w:val="0"/>
      <w:marRight w:val="0"/>
      <w:marTop w:val="0"/>
      <w:marBottom w:val="0"/>
      <w:divBdr>
        <w:top w:val="none" w:sz="0" w:space="0" w:color="auto"/>
        <w:left w:val="none" w:sz="0" w:space="0" w:color="auto"/>
        <w:bottom w:val="none" w:sz="0" w:space="0" w:color="auto"/>
        <w:right w:val="none" w:sz="0" w:space="0" w:color="auto"/>
      </w:divBdr>
      <w:divsChild>
        <w:div w:id="186797389">
          <w:marLeft w:val="835"/>
          <w:marRight w:val="0"/>
          <w:marTop w:val="67"/>
          <w:marBottom w:val="0"/>
          <w:divBdr>
            <w:top w:val="none" w:sz="0" w:space="0" w:color="auto"/>
            <w:left w:val="none" w:sz="0" w:space="0" w:color="auto"/>
            <w:bottom w:val="none" w:sz="0" w:space="0" w:color="auto"/>
            <w:right w:val="none" w:sz="0" w:space="0" w:color="auto"/>
          </w:divBdr>
        </w:div>
        <w:div w:id="332952645">
          <w:marLeft w:val="1411"/>
          <w:marRight w:val="0"/>
          <w:marTop w:val="67"/>
          <w:marBottom w:val="0"/>
          <w:divBdr>
            <w:top w:val="none" w:sz="0" w:space="0" w:color="auto"/>
            <w:left w:val="none" w:sz="0" w:space="0" w:color="auto"/>
            <w:bottom w:val="none" w:sz="0" w:space="0" w:color="auto"/>
            <w:right w:val="none" w:sz="0" w:space="0" w:color="auto"/>
          </w:divBdr>
        </w:div>
        <w:div w:id="349910777">
          <w:marLeft w:val="835"/>
          <w:marRight w:val="0"/>
          <w:marTop w:val="67"/>
          <w:marBottom w:val="0"/>
          <w:divBdr>
            <w:top w:val="none" w:sz="0" w:space="0" w:color="auto"/>
            <w:left w:val="none" w:sz="0" w:space="0" w:color="auto"/>
            <w:bottom w:val="none" w:sz="0" w:space="0" w:color="auto"/>
            <w:right w:val="none" w:sz="0" w:space="0" w:color="auto"/>
          </w:divBdr>
        </w:div>
        <w:div w:id="462163306">
          <w:marLeft w:val="274"/>
          <w:marRight w:val="0"/>
          <w:marTop w:val="82"/>
          <w:marBottom w:val="0"/>
          <w:divBdr>
            <w:top w:val="none" w:sz="0" w:space="0" w:color="auto"/>
            <w:left w:val="none" w:sz="0" w:space="0" w:color="auto"/>
            <w:bottom w:val="none" w:sz="0" w:space="0" w:color="auto"/>
            <w:right w:val="none" w:sz="0" w:space="0" w:color="auto"/>
          </w:divBdr>
        </w:div>
        <w:div w:id="578565622">
          <w:marLeft w:val="835"/>
          <w:marRight w:val="0"/>
          <w:marTop w:val="67"/>
          <w:marBottom w:val="0"/>
          <w:divBdr>
            <w:top w:val="none" w:sz="0" w:space="0" w:color="auto"/>
            <w:left w:val="none" w:sz="0" w:space="0" w:color="auto"/>
            <w:bottom w:val="none" w:sz="0" w:space="0" w:color="auto"/>
            <w:right w:val="none" w:sz="0" w:space="0" w:color="auto"/>
          </w:divBdr>
        </w:div>
        <w:div w:id="1074858808">
          <w:marLeft w:val="274"/>
          <w:marRight w:val="0"/>
          <w:marTop w:val="82"/>
          <w:marBottom w:val="0"/>
          <w:divBdr>
            <w:top w:val="none" w:sz="0" w:space="0" w:color="auto"/>
            <w:left w:val="none" w:sz="0" w:space="0" w:color="auto"/>
            <w:bottom w:val="none" w:sz="0" w:space="0" w:color="auto"/>
            <w:right w:val="none" w:sz="0" w:space="0" w:color="auto"/>
          </w:divBdr>
        </w:div>
        <w:div w:id="1117455978">
          <w:marLeft w:val="835"/>
          <w:marRight w:val="0"/>
          <w:marTop w:val="67"/>
          <w:marBottom w:val="0"/>
          <w:divBdr>
            <w:top w:val="none" w:sz="0" w:space="0" w:color="auto"/>
            <w:left w:val="none" w:sz="0" w:space="0" w:color="auto"/>
            <w:bottom w:val="none" w:sz="0" w:space="0" w:color="auto"/>
            <w:right w:val="none" w:sz="0" w:space="0" w:color="auto"/>
          </w:divBdr>
        </w:div>
        <w:div w:id="1159424666">
          <w:marLeft w:val="274"/>
          <w:marRight w:val="0"/>
          <w:marTop w:val="82"/>
          <w:marBottom w:val="0"/>
          <w:divBdr>
            <w:top w:val="none" w:sz="0" w:space="0" w:color="auto"/>
            <w:left w:val="none" w:sz="0" w:space="0" w:color="auto"/>
            <w:bottom w:val="none" w:sz="0" w:space="0" w:color="auto"/>
            <w:right w:val="none" w:sz="0" w:space="0" w:color="auto"/>
          </w:divBdr>
        </w:div>
        <w:div w:id="1171141186">
          <w:marLeft w:val="835"/>
          <w:marRight w:val="0"/>
          <w:marTop w:val="67"/>
          <w:marBottom w:val="0"/>
          <w:divBdr>
            <w:top w:val="none" w:sz="0" w:space="0" w:color="auto"/>
            <w:left w:val="none" w:sz="0" w:space="0" w:color="auto"/>
            <w:bottom w:val="none" w:sz="0" w:space="0" w:color="auto"/>
            <w:right w:val="none" w:sz="0" w:space="0" w:color="auto"/>
          </w:divBdr>
        </w:div>
        <w:div w:id="1424499082">
          <w:marLeft w:val="835"/>
          <w:marRight w:val="0"/>
          <w:marTop w:val="67"/>
          <w:marBottom w:val="0"/>
          <w:divBdr>
            <w:top w:val="none" w:sz="0" w:space="0" w:color="auto"/>
            <w:left w:val="none" w:sz="0" w:space="0" w:color="auto"/>
            <w:bottom w:val="none" w:sz="0" w:space="0" w:color="auto"/>
            <w:right w:val="none" w:sz="0" w:space="0" w:color="auto"/>
          </w:divBdr>
        </w:div>
        <w:div w:id="1565293127">
          <w:marLeft w:val="835"/>
          <w:marRight w:val="0"/>
          <w:marTop w:val="67"/>
          <w:marBottom w:val="0"/>
          <w:divBdr>
            <w:top w:val="none" w:sz="0" w:space="0" w:color="auto"/>
            <w:left w:val="none" w:sz="0" w:space="0" w:color="auto"/>
            <w:bottom w:val="none" w:sz="0" w:space="0" w:color="auto"/>
            <w:right w:val="none" w:sz="0" w:space="0" w:color="auto"/>
          </w:divBdr>
        </w:div>
        <w:div w:id="1622109761">
          <w:marLeft w:val="835"/>
          <w:marRight w:val="0"/>
          <w:marTop w:val="67"/>
          <w:marBottom w:val="0"/>
          <w:divBdr>
            <w:top w:val="none" w:sz="0" w:space="0" w:color="auto"/>
            <w:left w:val="none" w:sz="0" w:space="0" w:color="auto"/>
            <w:bottom w:val="none" w:sz="0" w:space="0" w:color="auto"/>
            <w:right w:val="none" w:sz="0" w:space="0" w:color="auto"/>
          </w:divBdr>
        </w:div>
        <w:div w:id="1848708730">
          <w:marLeft w:val="835"/>
          <w:marRight w:val="0"/>
          <w:marTop w:val="67"/>
          <w:marBottom w:val="0"/>
          <w:divBdr>
            <w:top w:val="none" w:sz="0" w:space="0" w:color="auto"/>
            <w:left w:val="none" w:sz="0" w:space="0" w:color="auto"/>
            <w:bottom w:val="none" w:sz="0" w:space="0" w:color="auto"/>
            <w:right w:val="none" w:sz="0" w:space="0" w:color="auto"/>
          </w:divBdr>
        </w:div>
        <w:div w:id="1915502501">
          <w:marLeft w:val="1411"/>
          <w:marRight w:val="0"/>
          <w:marTop w:val="67"/>
          <w:marBottom w:val="0"/>
          <w:divBdr>
            <w:top w:val="none" w:sz="0" w:space="0" w:color="auto"/>
            <w:left w:val="none" w:sz="0" w:space="0" w:color="auto"/>
            <w:bottom w:val="none" w:sz="0" w:space="0" w:color="auto"/>
            <w:right w:val="none" w:sz="0" w:space="0" w:color="auto"/>
          </w:divBdr>
        </w:div>
        <w:div w:id="1989941489">
          <w:marLeft w:val="1411"/>
          <w:marRight w:val="0"/>
          <w:marTop w:val="67"/>
          <w:marBottom w:val="0"/>
          <w:divBdr>
            <w:top w:val="none" w:sz="0" w:space="0" w:color="auto"/>
            <w:left w:val="none" w:sz="0" w:space="0" w:color="auto"/>
            <w:bottom w:val="none" w:sz="0" w:space="0" w:color="auto"/>
            <w:right w:val="none" w:sz="0" w:space="0" w:color="auto"/>
          </w:divBdr>
        </w:div>
        <w:div w:id="2057270245">
          <w:marLeft w:val="274"/>
          <w:marRight w:val="0"/>
          <w:marTop w:val="82"/>
          <w:marBottom w:val="0"/>
          <w:divBdr>
            <w:top w:val="none" w:sz="0" w:space="0" w:color="auto"/>
            <w:left w:val="none" w:sz="0" w:space="0" w:color="auto"/>
            <w:bottom w:val="none" w:sz="0" w:space="0" w:color="auto"/>
            <w:right w:val="none" w:sz="0" w:space="0" w:color="auto"/>
          </w:divBdr>
        </w:div>
      </w:divsChild>
    </w:div>
    <w:div w:id="784930610">
      <w:bodyDiv w:val="1"/>
      <w:marLeft w:val="0"/>
      <w:marRight w:val="0"/>
      <w:marTop w:val="0"/>
      <w:marBottom w:val="0"/>
      <w:divBdr>
        <w:top w:val="none" w:sz="0" w:space="0" w:color="auto"/>
        <w:left w:val="none" w:sz="0" w:space="0" w:color="auto"/>
        <w:bottom w:val="none" w:sz="0" w:space="0" w:color="auto"/>
        <w:right w:val="none" w:sz="0" w:space="0" w:color="auto"/>
      </w:divBdr>
      <w:divsChild>
        <w:div w:id="151289289">
          <w:marLeft w:val="274"/>
          <w:marRight w:val="0"/>
          <w:marTop w:val="96"/>
          <w:marBottom w:val="0"/>
          <w:divBdr>
            <w:top w:val="none" w:sz="0" w:space="0" w:color="auto"/>
            <w:left w:val="none" w:sz="0" w:space="0" w:color="auto"/>
            <w:bottom w:val="none" w:sz="0" w:space="0" w:color="auto"/>
            <w:right w:val="none" w:sz="0" w:space="0" w:color="auto"/>
          </w:divBdr>
        </w:div>
        <w:div w:id="307518225">
          <w:marLeft w:val="274"/>
          <w:marRight w:val="0"/>
          <w:marTop w:val="96"/>
          <w:marBottom w:val="0"/>
          <w:divBdr>
            <w:top w:val="none" w:sz="0" w:space="0" w:color="auto"/>
            <w:left w:val="none" w:sz="0" w:space="0" w:color="auto"/>
            <w:bottom w:val="none" w:sz="0" w:space="0" w:color="auto"/>
            <w:right w:val="none" w:sz="0" w:space="0" w:color="auto"/>
          </w:divBdr>
        </w:div>
        <w:div w:id="365646952">
          <w:marLeft w:val="835"/>
          <w:marRight w:val="0"/>
          <w:marTop w:val="86"/>
          <w:marBottom w:val="0"/>
          <w:divBdr>
            <w:top w:val="none" w:sz="0" w:space="0" w:color="auto"/>
            <w:left w:val="none" w:sz="0" w:space="0" w:color="auto"/>
            <w:bottom w:val="none" w:sz="0" w:space="0" w:color="auto"/>
            <w:right w:val="none" w:sz="0" w:space="0" w:color="auto"/>
          </w:divBdr>
        </w:div>
        <w:div w:id="509761894">
          <w:marLeft w:val="835"/>
          <w:marRight w:val="0"/>
          <w:marTop w:val="86"/>
          <w:marBottom w:val="0"/>
          <w:divBdr>
            <w:top w:val="none" w:sz="0" w:space="0" w:color="auto"/>
            <w:left w:val="none" w:sz="0" w:space="0" w:color="auto"/>
            <w:bottom w:val="none" w:sz="0" w:space="0" w:color="auto"/>
            <w:right w:val="none" w:sz="0" w:space="0" w:color="auto"/>
          </w:divBdr>
        </w:div>
        <w:div w:id="518199530">
          <w:marLeft w:val="835"/>
          <w:marRight w:val="0"/>
          <w:marTop w:val="86"/>
          <w:marBottom w:val="0"/>
          <w:divBdr>
            <w:top w:val="none" w:sz="0" w:space="0" w:color="auto"/>
            <w:left w:val="none" w:sz="0" w:space="0" w:color="auto"/>
            <w:bottom w:val="none" w:sz="0" w:space="0" w:color="auto"/>
            <w:right w:val="none" w:sz="0" w:space="0" w:color="auto"/>
          </w:divBdr>
        </w:div>
        <w:div w:id="580481493">
          <w:marLeft w:val="274"/>
          <w:marRight w:val="0"/>
          <w:marTop w:val="96"/>
          <w:marBottom w:val="0"/>
          <w:divBdr>
            <w:top w:val="none" w:sz="0" w:space="0" w:color="auto"/>
            <w:left w:val="none" w:sz="0" w:space="0" w:color="auto"/>
            <w:bottom w:val="none" w:sz="0" w:space="0" w:color="auto"/>
            <w:right w:val="none" w:sz="0" w:space="0" w:color="auto"/>
          </w:divBdr>
        </w:div>
        <w:div w:id="840389503">
          <w:marLeft w:val="835"/>
          <w:marRight w:val="0"/>
          <w:marTop w:val="77"/>
          <w:marBottom w:val="0"/>
          <w:divBdr>
            <w:top w:val="none" w:sz="0" w:space="0" w:color="auto"/>
            <w:left w:val="none" w:sz="0" w:space="0" w:color="auto"/>
            <w:bottom w:val="none" w:sz="0" w:space="0" w:color="auto"/>
            <w:right w:val="none" w:sz="0" w:space="0" w:color="auto"/>
          </w:divBdr>
        </w:div>
        <w:div w:id="1154561851">
          <w:marLeft w:val="835"/>
          <w:marRight w:val="0"/>
          <w:marTop w:val="77"/>
          <w:marBottom w:val="0"/>
          <w:divBdr>
            <w:top w:val="none" w:sz="0" w:space="0" w:color="auto"/>
            <w:left w:val="none" w:sz="0" w:space="0" w:color="auto"/>
            <w:bottom w:val="none" w:sz="0" w:space="0" w:color="auto"/>
            <w:right w:val="none" w:sz="0" w:space="0" w:color="auto"/>
          </w:divBdr>
        </w:div>
        <w:div w:id="1169834358">
          <w:marLeft w:val="835"/>
          <w:marRight w:val="0"/>
          <w:marTop w:val="77"/>
          <w:marBottom w:val="0"/>
          <w:divBdr>
            <w:top w:val="none" w:sz="0" w:space="0" w:color="auto"/>
            <w:left w:val="none" w:sz="0" w:space="0" w:color="auto"/>
            <w:bottom w:val="none" w:sz="0" w:space="0" w:color="auto"/>
            <w:right w:val="none" w:sz="0" w:space="0" w:color="auto"/>
          </w:divBdr>
        </w:div>
        <w:div w:id="1854299254">
          <w:marLeft w:val="274"/>
          <w:marRight w:val="0"/>
          <w:marTop w:val="96"/>
          <w:marBottom w:val="0"/>
          <w:divBdr>
            <w:top w:val="none" w:sz="0" w:space="0" w:color="auto"/>
            <w:left w:val="none" w:sz="0" w:space="0" w:color="auto"/>
            <w:bottom w:val="none" w:sz="0" w:space="0" w:color="auto"/>
            <w:right w:val="none" w:sz="0" w:space="0" w:color="auto"/>
          </w:divBdr>
        </w:div>
      </w:divsChild>
    </w:div>
    <w:div w:id="795759387">
      <w:bodyDiv w:val="1"/>
      <w:marLeft w:val="0"/>
      <w:marRight w:val="0"/>
      <w:marTop w:val="0"/>
      <w:marBottom w:val="0"/>
      <w:divBdr>
        <w:top w:val="none" w:sz="0" w:space="0" w:color="auto"/>
        <w:left w:val="none" w:sz="0" w:space="0" w:color="auto"/>
        <w:bottom w:val="none" w:sz="0" w:space="0" w:color="auto"/>
        <w:right w:val="none" w:sz="0" w:space="0" w:color="auto"/>
      </w:divBdr>
      <w:divsChild>
        <w:div w:id="531185406">
          <w:marLeft w:val="835"/>
          <w:marRight w:val="0"/>
          <w:marTop w:val="67"/>
          <w:marBottom w:val="0"/>
          <w:divBdr>
            <w:top w:val="none" w:sz="0" w:space="0" w:color="auto"/>
            <w:left w:val="none" w:sz="0" w:space="0" w:color="auto"/>
            <w:bottom w:val="none" w:sz="0" w:space="0" w:color="auto"/>
            <w:right w:val="none" w:sz="0" w:space="0" w:color="auto"/>
          </w:divBdr>
        </w:div>
      </w:divsChild>
    </w:div>
    <w:div w:id="819034101">
      <w:bodyDiv w:val="1"/>
      <w:marLeft w:val="0"/>
      <w:marRight w:val="0"/>
      <w:marTop w:val="0"/>
      <w:marBottom w:val="0"/>
      <w:divBdr>
        <w:top w:val="none" w:sz="0" w:space="0" w:color="auto"/>
        <w:left w:val="none" w:sz="0" w:space="0" w:color="auto"/>
        <w:bottom w:val="none" w:sz="0" w:space="0" w:color="auto"/>
        <w:right w:val="none" w:sz="0" w:space="0" w:color="auto"/>
      </w:divBdr>
    </w:div>
    <w:div w:id="831064205">
      <w:bodyDiv w:val="1"/>
      <w:marLeft w:val="0"/>
      <w:marRight w:val="0"/>
      <w:marTop w:val="0"/>
      <w:marBottom w:val="0"/>
      <w:divBdr>
        <w:top w:val="none" w:sz="0" w:space="0" w:color="auto"/>
        <w:left w:val="none" w:sz="0" w:space="0" w:color="auto"/>
        <w:bottom w:val="none" w:sz="0" w:space="0" w:color="auto"/>
        <w:right w:val="none" w:sz="0" w:space="0" w:color="auto"/>
      </w:divBdr>
      <w:divsChild>
        <w:div w:id="663352">
          <w:marLeft w:val="1411"/>
          <w:marRight w:val="0"/>
          <w:marTop w:val="67"/>
          <w:marBottom w:val="0"/>
          <w:divBdr>
            <w:top w:val="none" w:sz="0" w:space="0" w:color="auto"/>
            <w:left w:val="none" w:sz="0" w:space="0" w:color="auto"/>
            <w:bottom w:val="none" w:sz="0" w:space="0" w:color="auto"/>
            <w:right w:val="none" w:sz="0" w:space="0" w:color="auto"/>
          </w:divBdr>
        </w:div>
        <w:div w:id="100494883">
          <w:marLeft w:val="274"/>
          <w:marRight w:val="0"/>
          <w:marTop w:val="77"/>
          <w:marBottom w:val="0"/>
          <w:divBdr>
            <w:top w:val="none" w:sz="0" w:space="0" w:color="auto"/>
            <w:left w:val="none" w:sz="0" w:space="0" w:color="auto"/>
            <w:bottom w:val="none" w:sz="0" w:space="0" w:color="auto"/>
            <w:right w:val="none" w:sz="0" w:space="0" w:color="auto"/>
          </w:divBdr>
        </w:div>
        <w:div w:id="312218593">
          <w:marLeft w:val="1411"/>
          <w:marRight w:val="0"/>
          <w:marTop w:val="67"/>
          <w:marBottom w:val="0"/>
          <w:divBdr>
            <w:top w:val="none" w:sz="0" w:space="0" w:color="auto"/>
            <w:left w:val="none" w:sz="0" w:space="0" w:color="auto"/>
            <w:bottom w:val="none" w:sz="0" w:space="0" w:color="auto"/>
            <w:right w:val="none" w:sz="0" w:space="0" w:color="auto"/>
          </w:divBdr>
        </w:div>
        <w:div w:id="594553687">
          <w:marLeft w:val="2549"/>
          <w:marRight w:val="0"/>
          <w:marTop w:val="67"/>
          <w:marBottom w:val="0"/>
          <w:divBdr>
            <w:top w:val="none" w:sz="0" w:space="0" w:color="auto"/>
            <w:left w:val="none" w:sz="0" w:space="0" w:color="auto"/>
            <w:bottom w:val="none" w:sz="0" w:space="0" w:color="auto"/>
            <w:right w:val="none" w:sz="0" w:space="0" w:color="auto"/>
          </w:divBdr>
        </w:div>
        <w:div w:id="804201059">
          <w:marLeft w:val="1411"/>
          <w:marRight w:val="0"/>
          <w:marTop w:val="67"/>
          <w:marBottom w:val="0"/>
          <w:divBdr>
            <w:top w:val="none" w:sz="0" w:space="0" w:color="auto"/>
            <w:left w:val="none" w:sz="0" w:space="0" w:color="auto"/>
            <w:bottom w:val="none" w:sz="0" w:space="0" w:color="auto"/>
            <w:right w:val="none" w:sz="0" w:space="0" w:color="auto"/>
          </w:divBdr>
        </w:div>
        <w:div w:id="1004824488">
          <w:marLeft w:val="2549"/>
          <w:marRight w:val="0"/>
          <w:marTop w:val="67"/>
          <w:marBottom w:val="0"/>
          <w:divBdr>
            <w:top w:val="none" w:sz="0" w:space="0" w:color="auto"/>
            <w:left w:val="none" w:sz="0" w:space="0" w:color="auto"/>
            <w:bottom w:val="none" w:sz="0" w:space="0" w:color="auto"/>
            <w:right w:val="none" w:sz="0" w:space="0" w:color="auto"/>
          </w:divBdr>
        </w:div>
        <w:div w:id="1054818891">
          <w:marLeft w:val="2549"/>
          <w:marRight w:val="0"/>
          <w:marTop w:val="67"/>
          <w:marBottom w:val="0"/>
          <w:divBdr>
            <w:top w:val="none" w:sz="0" w:space="0" w:color="auto"/>
            <w:left w:val="none" w:sz="0" w:space="0" w:color="auto"/>
            <w:bottom w:val="none" w:sz="0" w:space="0" w:color="auto"/>
            <w:right w:val="none" w:sz="0" w:space="0" w:color="auto"/>
          </w:divBdr>
        </w:div>
        <w:div w:id="1265773673">
          <w:marLeft w:val="835"/>
          <w:marRight w:val="0"/>
          <w:marTop w:val="67"/>
          <w:marBottom w:val="0"/>
          <w:divBdr>
            <w:top w:val="none" w:sz="0" w:space="0" w:color="auto"/>
            <w:left w:val="none" w:sz="0" w:space="0" w:color="auto"/>
            <w:bottom w:val="none" w:sz="0" w:space="0" w:color="auto"/>
            <w:right w:val="none" w:sz="0" w:space="0" w:color="auto"/>
          </w:divBdr>
        </w:div>
        <w:div w:id="1321537738">
          <w:marLeft w:val="1411"/>
          <w:marRight w:val="0"/>
          <w:marTop w:val="67"/>
          <w:marBottom w:val="0"/>
          <w:divBdr>
            <w:top w:val="none" w:sz="0" w:space="0" w:color="auto"/>
            <w:left w:val="none" w:sz="0" w:space="0" w:color="auto"/>
            <w:bottom w:val="none" w:sz="0" w:space="0" w:color="auto"/>
            <w:right w:val="none" w:sz="0" w:space="0" w:color="auto"/>
          </w:divBdr>
        </w:div>
        <w:div w:id="1362631273">
          <w:marLeft w:val="1973"/>
          <w:marRight w:val="0"/>
          <w:marTop w:val="67"/>
          <w:marBottom w:val="0"/>
          <w:divBdr>
            <w:top w:val="none" w:sz="0" w:space="0" w:color="auto"/>
            <w:left w:val="none" w:sz="0" w:space="0" w:color="auto"/>
            <w:bottom w:val="none" w:sz="0" w:space="0" w:color="auto"/>
            <w:right w:val="none" w:sz="0" w:space="0" w:color="auto"/>
          </w:divBdr>
        </w:div>
        <w:div w:id="1422527696">
          <w:marLeft w:val="835"/>
          <w:marRight w:val="0"/>
          <w:marTop w:val="67"/>
          <w:marBottom w:val="0"/>
          <w:divBdr>
            <w:top w:val="none" w:sz="0" w:space="0" w:color="auto"/>
            <w:left w:val="none" w:sz="0" w:space="0" w:color="auto"/>
            <w:bottom w:val="none" w:sz="0" w:space="0" w:color="auto"/>
            <w:right w:val="none" w:sz="0" w:space="0" w:color="auto"/>
          </w:divBdr>
        </w:div>
        <w:div w:id="1550142656">
          <w:marLeft w:val="2549"/>
          <w:marRight w:val="0"/>
          <w:marTop w:val="67"/>
          <w:marBottom w:val="0"/>
          <w:divBdr>
            <w:top w:val="none" w:sz="0" w:space="0" w:color="auto"/>
            <w:left w:val="none" w:sz="0" w:space="0" w:color="auto"/>
            <w:bottom w:val="none" w:sz="0" w:space="0" w:color="auto"/>
            <w:right w:val="none" w:sz="0" w:space="0" w:color="auto"/>
          </w:divBdr>
        </w:div>
        <w:div w:id="1627543971">
          <w:marLeft w:val="2549"/>
          <w:marRight w:val="0"/>
          <w:marTop w:val="67"/>
          <w:marBottom w:val="0"/>
          <w:divBdr>
            <w:top w:val="none" w:sz="0" w:space="0" w:color="auto"/>
            <w:left w:val="none" w:sz="0" w:space="0" w:color="auto"/>
            <w:bottom w:val="none" w:sz="0" w:space="0" w:color="auto"/>
            <w:right w:val="none" w:sz="0" w:space="0" w:color="auto"/>
          </w:divBdr>
        </w:div>
        <w:div w:id="1994215302">
          <w:marLeft w:val="1411"/>
          <w:marRight w:val="0"/>
          <w:marTop w:val="67"/>
          <w:marBottom w:val="0"/>
          <w:divBdr>
            <w:top w:val="none" w:sz="0" w:space="0" w:color="auto"/>
            <w:left w:val="none" w:sz="0" w:space="0" w:color="auto"/>
            <w:bottom w:val="none" w:sz="0" w:space="0" w:color="auto"/>
            <w:right w:val="none" w:sz="0" w:space="0" w:color="auto"/>
          </w:divBdr>
        </w:div>
        <w:div w:id="2046444988">
          <w:marLeft w:val="1411"/>
          <w:marRight w:val="0"/>
          <w:marTop w:val="67"/>
          <w:marBottom w:val="0"/>
          <w:divBdr>
            <w:top w:val="none" w:sz="0" w:space="0" w:color="auto"/>
            <w:left w:val="none" w:sz="0" w:space="0" w:color="auto"/>
            <w:bottom w:val="none" w:sz="0" w:space="0" w:color="auto"/>
            <w:right w:val="none" w:sz="0" w:space="0" w:color="auto"/>
          </w:divBdr>
        </w:div>
        <w:div w:id="2092844625">
          <w:marLeft w:val="1973"/>
          <w:marRight w:val="0"/>
          <w:marTop w:val="67"/>
          <w:marBottom w:val="0"/>
          <w:divBdr>
            <w:top w:val="none" w:sz="0" w:space="0" w:color="auto"/>
            <w:left w:val="none" w:sz="0" w:space="0" w:color="auto"/>
            <w:bottom w:val="none" w:sz="0" w:space="0" w:color="auto"/>
            <w:right w:val="none" w:sz="0" w:space="0" w:color="auto"/>
          </w:divBdr>
        </w:div>
      </w:divsChild>
    </w:div>
    <w:div w:id="858004460">
      <w:bodyDiv w:val="1"/>
      <w:marLeft w:val="0"/>
      <w:marRight w:val="0"/>
      <w:marTop w:val="0"/>
      <w:marBottom w:val="0"/>
      <w:divBdr>
        <w:top w:val="none" w:sz="0" w:space="0" w:color="auto"/>
        <w:left w:val="none" w:sz="0" w:space="0" w:color="auto"/>
        <w:bottom w:val="none" w:sz="0" w:space="0" w:color="auto"/>
        <w:right w:val="none" w:sz="0" w:space="0" w:color="auto"/>
      </w:divBdr>
      <w:divsChild>
        <w:div w:id="167258043">
          <w:marLeft w:val="1973"/>
          <w:marRight w:val="0"/>
          <w:marTop w:val="77"/>
          <w:marBottom w:val="0"/>
          <w:divBdr>
            <w:top w:val="none" w:sz="0" w:space="0" w:color="auto"/>
            <w:left w:val="none" w:sz="0" w:space="0" w:color="auto"/>
            <w:bottom w:val="none" w:sz="0" w:space="0" w:color="auto"/>
            <w:right w:val="none" w:sz="0" w:space="0" w:color="auto"/>
          </w:divBdr>
        </w:div>
      </w:divsChild>
    </w:div>
    <w:div w:id="893269711">
      <w:bodyDiv w:val="1"/>
      <w:marLeft w:val="0"/>
      <w:marRight w:val="0"/>
      <w:marTop w:val="0"/>
      <w:marBottom w:val="0"/>
      <w:divBdr>
        <w:top w:val="none" w:sz="0" w:space="0" w:color="auto"/>
        <w:left w:val="none" w:sz="0" w:space="0" w:color="auto"/>
        <w:bottom w:val="none" w:sz="0" w:space="0" w:color="auto"/>
        <w:right w:val="none" w:sz="0" w:space="0" w:color="auto"/>
      </w:divBdr>
      <w:divsChild>
        <w:div w:id="248974670">
          <w:marLeft w:val="1411"/>
          <w:marRight w:val="0"/>
          <w:marTop w:val="91"/>
          <w:marBottom w:val="0"/>
          <w:divBdr>
            <w:top w:val="none" w:sz="0" w:space="0" w:color="auto"/>
            <w:left w:val="none" w:sz="0" w:space="0" w:color="auto"/>
            <w:bottom w:val="none" w:sz="0" w:space="0" w:color="auto"/>
            <w:right w:val="none" w:sz="0" w:space="0" w:color="auto"/>
          </w:divBdr>
        </w:div>
        <w:div w:id="344676278">
          <w:marLeft w:val="274"/>
          <w:marRight w:val="0"/>
          <w:marTop w:val="106"/>
          <w:marBottom w:val="0"/>
          <w:divBdr>
            <w:top w:val="none" w:sz="0" w:space="0" w:color="auto"/>
            <w:left w:val="none" w:sz="0" w:space="0" w:color="auto"/>
            <w:bottom w:val="none" w:sz="0" w:space="0" w:color="auto"/>
            <w:right w:val="none" w:sz="0" w:space="0" w:color="auto"/>
          </w:divBdr>
        </w:div>
        <w:div w:id="460029136">
          <w:marLeft w:val="274"/>
          <w:marRight w:val="0"/>
          <w:marTop w:val="106"/>
          <w:marBottom w:val="0"/>
          <w:divBdr>
            <w:top w:val="none" w:sz="0" w:space="0" w:color="auto"/>
            <w:left w:val="none" w:sz="0" w:space="0" w:color="auto"/>
            <w:bottom w:val="none" w:sz="0" w:space="0" w:color="auto"/>
            <w:right w:val="none" w:sz="0" w:space="0" w:color="auto"/>
          </w:divBdr>
        </w:div>
        <w:div w:id="654339214">
          <w:marLeft w:val="1411"/>
          <w:marRight w:val="0"/>
          <w:marTop w:val="91"/>
          <w:marBottom w:val="0"/>
          <w:divBdr>
            <w:top w:val="none" w:sz="0" w:space="0" w:color="auto"/>
            <w:left w:val="none" w:sz="0" w:space="0" w:color="auto"/>
            <w:bottom w:val="none" w:sz="0" w:space="0" w:color="auto"/>
            <w:right w:val="none" w:sz="0" w:space="0" w:color="auto"/>
          </w:divBdr>
        </w:div>
        <w:div w:id="667026517">
          <w:marLeft w:val="1411"/>
          <w:marRight w:val="0"/>
          <w:marTop w:val="91"/>
          <w:marBottom w:val="0"/>
          <w:divBdr>
            <w:top w:val="none" w:sz="0" w:space="0" w:color="auto"/>
            <w:left w:val="none" w:sz="0" w:space="0" w:color="auto"/>
            <w:bottom w:val="none" w:sz="0" w:space="0" w:color="auto"/>
            <w:right w:val="none" w:sz="0" w:space="0" w:color="auto"/>
          </w:divBdr>
        </w:div>
        <w:div w:id="677275033">
          <w:marLeft w:val="1411"/>
          <w:marRight w:val="0"/>
          <w:marTop w:val="91"/>
          <w:marBottom w:val="0"/>
          <w:divBdr>
            <w:top w:val="none" w:sz="0" w:space="0" w:color="auto"/>
            <w:left w:val="none" w:sz="0" w:space="0" w:color="auto"/>
            <w:bottom w:val="none" w:sz="0" w:space="0" w:color="auto"/>
            <w:right w:val="none" w:sz="0" w:space="0" w:color="auto"/>
          </w:divBdr>
        </w:div>
        <w:div w:id="1481923354">
          <w:marLeft w:val="835"/>
          <w:marRight w:val="0"/>
          <w:marTop w:val="91"/>
          <w:marBottom w:val="0"/>
          <w:divBdr>
            <w:top w:val="none" w:sz="0" w:space="0" w:color="auto"/>
            <w:left w:val="none" w:sz="0" w:space="0" w:color="auto"/>
            <w:bottom w:val="none" w:sz="0" w:space="0" w:color="auto"/>
            <w:right w:val="none" w:sz="0" w:space="0" w:color="auto"/>
          </w:divBdr>
        </w:div>
        <w:div w:id="1526485082">
          <w:marLeft w:val="835"/>
          <w:marRight w:val="0"/>
          <w:marTop w:val="91"/>
          <w:marBottom w:val="0"/>
          <w:divBdr>
            <w:top w:val="none" w:sz="0" w:space="0" w:color="auto"/>
            <w:left w:val="none" w:sz="0" w:space="0" w:color="auto"/>
            <w:bottom w:val="none" w:sz="0" w:space="0" w:color="auto"/>
            <w:right w:val="none" w:sz="0" w:space="0" w:color="auto"/>
          </w:divBdr>
        </w:div>
        <w:div w:id="1744136406">
          <w:marLeft w:val="835"/>
          <w:marRight w:val="0"/>
          <w:marTop w:val="91"/>
          <w:marBottom w:val="0"/>
          <w:divBdr>
            <w:top w:val="none" w:sz="0" w:space="0" w:color="auto"/>
            <w:left w:val="none" w:sz="0" w:space="0" w:color="auto"/>
            <w:bottom w:val="none" w:sz="0" w:space="0" w:color="auto"/>
            <w:right w:val="none" w:sz="0" w:space="0" w:color="auto"/>
          </w:divBdr>
        </w:div>
        <w:div w:id="1987002824">
          <w:marLeft w:val="1411"/>
          <w:marRight w:val="0"/>
          <w:marTop w:val="91"/>
          <w:marBottom w:val="0"/>
          <w:divBdr>
            <w:top w:val="none" w:sz="0" w:space="0" w:color="auto"/>
            <w:left w:val="none" w:sz="0" w:space="0" w:color="auto"/>
            <w:bottom w:val="none" w:sz="0" w:space="0" w:color="auto"/>
            <w:right w:val="none" w:sz="0" w:space="0" w:color="auto"/>
          </w:divBdr>
        </w:div>
      </w:divsChild>
    </w:div>
    <w:div w:id="899900724">
      <w:bodyDiv w:val="1"/>
      <w:marLeft w:val="0"/>
      <w:marRight w:val="0"/>
      <w:marTop w:val="0"/>
      <w:marBottom w:val="0"/>
      <w:divBdr>
        <w:top w:val="none" w:sz="0" w:space="0" w:color="auto"/>
        <w:left w:val="none" w:sz="0" w:space="0" w:color="auto"/>
        <w:bottom w:val="none" w:sz="0" w:space="0" w:color="auto"/>
        <w:right w:val="none" w:sz="0" w:space="0" w:color="auto"/>
      </w:divBdr>
      <w:divsChild>
        <w:div w:id="708919931">
          <w:marLeft w:val="835"/>
          <w:marRight w:val="0"/>
          <w:marTop w:val="67"/>
          <w:marBottom w:val="0"/>
          <w:divBdr>
            <w:top w:val="none" w:sz="0" w:space="0" w:color="auto"/>
            <w:left w:val="none" w:sz="0" w:space="0" w:color="auto"/>
            <w:bottom w:val="none" w:sz="0" w:space="0" w:color="auto"/>
            <w:right w:val="none" w:sz="0" w:space="0" w:color="auto"/>
          </w:divBdr>
        </w:div>
        <w:div w:id="762150275">
          <w:marLeft w:val="835"/>
          <w:marRight w:val="0"/>
          <w:marTop w:val="67"/>
          <w:marBottom w:val="0"/>
          <w:divBdr>
            <w:top w:val="none" w:sz="0" w:space="0" w:color="auto"/>
            <w:left w:val="none" w:sz="0" w:space="0" w:color="auto"/>
            <w:bottom w:val="none" w:sz="0" w:space="0" w:color="auto"/>
            <w:right w:val="none" w:sz="0" w:space="0" w:color="auto"/>
          </w:divBdr>
        </w:div>
        <w:div w:id="1496804908">
          <w:marLeft w:val="835"/>
          <w:marRight w:val="0"/>
          <w:marTop w:val="67"/>
          <w:marBottom w:val="0"/>
          <w:divBdr>
            <w:top w:val="none" w:sz="0" w:space="0" w:color="auto"/>
            <w:left w:val="none" w:sz="0" w:space="0" w:color="auto"/>
            <w:bottom w:val="none" w:sz="0" w:space="0" w:color="auto"/>
            <w:right w:val="none" w:sz="0" w:space="0" w:color="auto"/>
          </w:divBdr>
        </w:div>
        <w:div w:id="1637956525">
          <w:marLeft w:val="835"/>
          <w:marRight w:val="0"/>
          <w:marTop w:val="67"/>
          <w:marBottom w:val="0"/>
          <w:divBdr>
            <w:top w:val="none" w:sz="0" w:space="0" w:color="auto"/>
            <w:left w:val="none" w:sz="0" w:space="0" w:color="auto"/>
            <w:bottom w:val="none" w:sz="0" w:space="0" w:color="auto"/>
            <w:right w:val="none" w:sz="0" w:space="0" w:color="auto"/>
          </w:divBdr>
        </w:div>
      </w:divsChild>
    </w:div>
    <w:div w:id="904530530">
      <w:bodyDiv w:val="1"/>
      <w:marLeft w:val="0"/>
      <w:marRight w:val="0"/>
      <w:marTop w:val="0"/>
      <w:marBottom w:val="0"/>
      <w:divBdr>
        <w:top w:val="none" w:sz="0" w:space="0" w:color="auto"/>
        <w:left w:val="none" w:sz="0" w:space="0" w:color="auto"/>
        <w:bottom w:val="none" w:sz="0" w:space="0" w:color="auto"/>
        <w:right w:val="none" w:sz="0" w:space="0" w:color="auto"/>
      </w:divBdr>
      <w:divsChild>
        <w:div w:id="1022321673">
          <w:marLeft w:val="274"/>
          <w:marRight w:val="0"/>
          <w:marTop w:val="96"/>
          <w:marBottom w:val="0"/>
          <w:divBdr>
            <w:top w:val="none" w:sz="0" w:space="0" w:color="auto"/>
            <w:left w:val="none" w:sz="0" w:space="0" w:color="auto"/>
            <w:bottom w:val="none" w:sz="0" w:space="0" w:color="auto"/>
            <w:right w:val="none" w:sz="0" w:space="0" w:color="auto"/>
          </w:divBdr>
        </w:div>
        <w:div w:id="2076925877">
          <w:marLeft w:val="835"/>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00756963">
      <w:bodyDiv w:val="1"/>
      <w:marLeft w:val="0"/>
      <w:marRight w:val="0"/>
      <w:marTop w:val="0"/>
      <w:marBottom w:val="0"/>
      <w:divBdr>
        <w:top w:val="none" w:sz="0" w:space="0" w:color="auto"/>
        <w:left w:val="none" w:sz="0" w:space="0" w:color="auto"/>
        <w:bottom w:val="none" w:sz="0" w:space="0" w:color="auto"/>
        <w:right w:val="none" w:sz="0" w:space="0" w:color="auto"/>
      </w:divBdr>
    </w:div>
    <w:div w:id="1154636942">
      <w:bodyDiv w:val="1"/>
      <w:marLeft w:val="0"/>
      <w:marRight w:val="0"/>
      <w:marTop w:val="0"/>
      <w:marBottom w:val="0"/>
      <w:divBdr>
        <w:top w:val="none" w:sz="0" w:space="0" w:color="auto"/>
        <w:left w:val="none" w:sz="0" w:space="0" w:color="auto"/>
        <w:bottom w:val="none" w:sz="0" w:space="0" w:color="auto"/>
        <w:right w:val="none" w:sz="0" w:space="0" w:color="auto"/>
      </w:divBdr>
      <w:divsChild>
        <w:div w:id="643852034">
          <w:marLeft w:val="835"/>
          <w:marRight w:val="0"/>
          <w:marTop w:val="67"/>
          <w:marBottom w:val="0"/>
          <w:divBdr>
            <w:top w:val="none" w:sz="0" w:space="0" w:color="auto"/>
            <w:left w:val="none" w:sz="0" w:space="0" w:color="auto"/>
            <w:bottom w:val="none" w:sz="0" w:space="0" w:color="auto"/>
            <w:right w:val="none" w:sz="0" w:space="0" w:color="auto"/>
          </w:divBdr>
        </w:div>
        <w:div w:id="793864174">
          <w:marLeft w:val="835"/>
          <w:marRight w:val="0"/>
          <w:marTop w:val="67"/>
          <w:marBottom w:val="0"/>
          <w:divBdr>
            <w:top w:val="none" w:sz="0" w:space="0" w:color="auto"/>
            <w:left w:val="none" w:sz="0" w:space="0" w:color="auto"/>
            <w:bottom w:val="none" w:sz="0" w:space="0" w:color="auto"/>
            <w:right w:val="none" w:sz="0" w:space="0" w:color="auto"/>
          </w:divBdr>
        </w:div>
        <w:div w:id="1190798937">
          <w:marLeft w:val="274"/>
          <w:marRight w:val="0"/>
          <w:marTop w:val="86"/>
          <w:marBottom w:val="0"/>
          <w:divBdr>
            <w:top w:val="none" w:sz="0" w:space="0" w:color="auto"/>
            <w:left w:val="none" w:sz="0" w:space="0" w:color="auto"/>
            <w:bottom w:val="none" w:sz="0" w:space="0" w:color="auto"/>
            <w:right w:val="none" w:sz="0" w:space="0" w:color="auto"/>
          </w:divBdr>
        </w:div>
      </w:divsChild>
    </w:div>
    <w:div w:id="1192887349">
      <w:bodyDiv w:val="1"/>
      <w:marLeft w:val="0"/>
      <w:marRight w:val="0"/>
      <w:marTop w:val="0"/>
      <w:marBottom w:val="0"/>
      <w:divBdr>
        <w:top w:val="none" w:sz="0" w:space="0" w:color="auto"/>
        <w:left w:val="none" w:sz="0" w:space="0" w:color="auto"/>
        <w:bottom w:val="none" w:sz="0" w:space="0" w:color="auto"/>
        <w:right w:val="none" w:sz="0" w:space="0" w:color="auto"/>
      </w:divBdr>
      <w:divsChild>
        <w:div w:id="181631637">
          <w:marLeft w:val="835"/>
          <w:marRight w:val="0"/>
          <w:marTop w:val="96"/>
          <w:marBottom w:val="0"/>
          <w:divBdr>
            <w:top w:val="none" w:sz="0" w:space="0" w:color="auto"/>
            <w:left w:val="none" w:sz="0" w:space="0" w:color="auto"/>
            <w:bottom w:val="none" w:sz="0" w:space="0" w:color="auto"/>
            <w:right w:val="none" w:sz="0" w:space="0" w:color="auto"/>
          </w:divBdr>
        </w:div>
        <w:div w:id="557663927">
          <w:marLeft w:val="274"/>
          <w:marRight w:val="0"/>
          <w:marTop w:val="115"/>
          <w:marBottom w:val="0"/>
          <w:divBdr>
            <w:top w:val="none" w:sz="0" w:space="0" w:color="auto"/>
            <w:left w:val="none" w:sz="0" w:space="0" w:color="auto"/>
            <w:bottom w:val="none" w:sz="0" w:space="0" w:color="auto"/>
            <w:right w:val="none" w:sz="0" w:space="0" w:color="auto"/>
          </w:divBdr>
        </w:div>
        <w:div w:id="609244262">
          <w:marLeft w:val="274"/>
          <w:marRight w:val="0"/>
          <w:marTop w:val="115"/>
          <w:marBottom w:val="0"/>
          <w:divBdr>
            <w:top w:val="none" w:sz="0" w:space="0" w:color="auto"/>
            <w:left w:val="none" w:sz="0" w:space="0" w:color="auto"/>
            <w:bottom w:val="none" w:sz="0" w:space="0" w:color="auto"/>
            <w:right w:val="none" w:sz="0" w:space="0" w:color="auto"/>
          </w:divBdr>
        </w:div>
        <w:div w:id="786388887">
          <w:marLeft w:val="274"/>
          <w:marRight w:val="0"/>
          <w:marTop w:val="115"/>
          <w:marBottom w:val="0"/>
          <w:divBdr>
            <w:top w:val="none" w:sz="0" w:space="0" w:color="auto"/>
            <w:left w:val="none" w:sz="0" w:space="0" w:color="auto"/>
            <w:bottom w:val="none" w:sz="0" w:space="0" w:color="auto"/>
            <w:right w:val="none" w:sz="0" w:space="0" w:color="auto"/>
          </w:divBdr>
        </w:div>
        <w:div w:id="1031416468">
          <w:marLeft w:val="835"/>
          <w:marRight w:val="0"/>
          <w:marTop w:val="96"/>
          <w:marBottom w:val="0"/>
          <w:divBdr>
            <w:top w:val="none" w:sz="0" w:space="0" w:color="auto"/>
            <w:left w:val="none" w:sz="0" w:space="0" w:color="auto"/>
            <w:bottom w:val="none" w:sz="0" w:space="0" w:color="auto"/>
            <w:right w:val="none" w:sz="0" w:space="0" w:color="auto"/>
          </w:divBdr>
        </w:div>
        <w:div w:id="1349601697">
          <w:marLeft w:val="835"/>
          <w:marRight w:val="0"/>
          <w:marTop w:val="96"/>
          <w:marBottom w:val="0"/>
          <w:divBdr>
            <w:top w:val="none" w:sz="0" w:space="0" w:color="auto"/>
            <w:left w:val="none" w:sz="0" w:space="0" w:color="auto"/>
            <w:bottom w:val="none" w:sz="0" w:space="0" w:color="auto"/>
            <w:right w:val="none" w:sz="0" w:space="0" w:color="auto"/>
          </w:divBdr>
        </w:div>
        <w:div w:id="1890147593">
          <w:marLeft w:val="274"/>
          <w:marRight w:val="0"/>
          <w:marTop w:val="115"/>
          <w:marBottom w:val="0"/>
          <w:divBdr>
            <w:top w:val="none" w:sz="0" w:space="0" w:color="auto"/>
            <w:left w:val="none" w:sz="0" w:space="0" w:color="auto"/>
            <w:bottom w:val="none" w:sz="0" w:space="0" w:color="auto"/>
            <w:right w:val="none" w:sz="0" w:space="0" w:color="auto"/>
          </w:divBdr>
        </w:div>
      </w:divsChild>
    </w:div>
    <w:div w:id="1199320669">
      <w:bodyDiv w:val="1"/>
      <w:marLeft w:val="0"/>
      <w:marRight w:val="0"/>
      <w:marTop w:val="0"/>
      <w:marBottom w:val="0"/>
      <w:divBdr>
        <w:top w:val="none" w:sz="0" w:space="0" w:color="auto"/>
        <w:left w:val="none" w:sz="0" w:space="0" w:color="auto"/>
        <w:bottom w:val="none" w:sz="0" w:space="0" w:color="auto"/>
        <w:right w:val="none" w:sz="0" w:space="0" w:color="auto"/>
      </w:divBdr>
    </w:div>
    <w:div w:id="1228296169">
      <w:bodyDiv w:val="1"/>
      <w:marLeft w:val="0"/>
      <w:marRight w:val="0"/>
      <w:marTop w:val="0"/>
      <w:marBottom w:val="0"/>
      <w:divBdr>
        <w:top w:val="none" w:sz="0" w:space="0" w:color="auto"/>
        <w:left w:val="none" w:sz="0" w:space="0" w:color="auto"/>
        <w:bottom w:val="none" w:sz="0" w:space="0" w:color="auto"/>
        <w:right w:val="none" w:sz="0" w:space="0" w:color="auto"/>
      </w:divBdr>
    </w:div>
    <w:div w:id="1292787465">
      <w:bodyDiv w:val="1"/>
      <w:marLeft w:val="0"/>
      <w:marRight w:val="0"/>
      <w:marTop w:val="0"/>
      <w:marBottom w:val="0"/>
      <w:divBdr>
        <w:top w:val="none" w:sz="0" w:space="0" w:color="auto"/>
        <w:left w:val="none" w:sz="0" w:space="0" w:color="auto"/>
        <w:bottom w:val="none" w:sz="0" w:space="0" w:color="auto"/>
        <w:right w:val="none" w:sz="0" w:space="0" w:color="auto"/>
      </w:divBdr>
      <w:divsChild>
        <w:div w:id="1209805826">
          <w:marLeft w:val="274"/>
          <w:marRight w:val="0"/>
          <w:marTop w:val="86"/>
          <w:marBottom w:val="0"/>
          <w:divBdr>
            <w:top w:val="none" w:sz="0" w:space="0" w:color="auto"/>
            <w:left w:val="none" w:sz="0" w:space="0" w:color="auto"/>
            <w:bottom w:val="none" w:sz="0" w:space="0" w:color="auto"/>
            <w:right w:val="none" w:sz="0" w:space="0" w:color="auto"/>
          </w:divBdr>
        </w:div>
      </w:divsChild>
    </w:div>
    <w:div w:id="1307395135">
      <w:bodyDiv w:val="1"/>
      <w:marLeft w:val="0"/>
      <w:marRight w:val="0"/>
      <w:marTop w:val="0"/>
      <w:marBottom w:val="0"/>
      <w:divBdr>
        <w:top w:val="none" w:sz="0" w:space="0" w:color="auto"/>
        <w:left w:val="none" w:sz="0" w:space="0" w:color="auto"/>
        <w:bottom w:val="none" w:sz="0" w:space="0" w:color="auto"/>
        <w:right w:val="none" w:sz="0" w:space="0" w:color="auto"/>
      </w:divBdr>
      <w:divsChild>
        <w:div w:id="597448475">
          <w:marLeft w:val="835"/>
          <w:marRight w:val="0"/>
          <w:marTop w:val="67"/>
          <w:marBottom w:val="0"/>
          <w:divBdr>
            <w:top w:val="none" w:sz="0" w:space="0" w:color="auto"/>
            <w:left w:val="none" w:sz="0" w:space="0" w:color="auto"/>
            <w:bottom w:val="none" w:sz="0" w:space="0" w:color="auto"/>
            <w:right w:val="none" w:sz="0" w:space="0" w:color="auto"/>
          </w:divBdr>
        </w:div>
      </w:divsChild>
    </w:div>
    <w:div w:id="1375740411">
      <w:bodyDiv w:val="1"/>
      <w:marLeft w:val="0"/>
      <w:marRight w:val="0"/>
      <w:marTop w:val="0"/>
      <w:marBottom w:val="0"/>
      <w:divBdr>
        <w:top w:val="none" w:sz="0" w:space="0" w:color="auto"/>
        <w:left w:val="none" w:sz="0" w:space="0" w:color="auto"/>
        <w:bottom w:val="none" w:sz="0" w:space="0" w:color="auto"/>
        <w:right w:val="none" w:sz="0" w:space="0" w:color="auto"/>
      </w:divBdr>
      <w:divsChild>
        <w:div w:id="125052696">
          <w:marLeft w:val="274"/>
          <w:marRight w:val="0"/>
          <w:marTop w:val="168"/>
          <w:marBottom w:val="0"/>
          <w:divBdr>
            <w:top w:val="none" w:sz="0" w:space="0" w:color="auto"/>
            <w:left w:val="none" w:sz="0" w:space="0" w:color="auto"/>
            <w:bottom w:val="none" w:sz="0" w:space="0" w:color="auto"/>
            <w:right w:val="none" w:sz="0" w:space="0" w:color="auto"/>
          </w:divBdr>
        </w:div>
        <w:div w:id="920140228">
          <w:marLeft w:val="274"/>
          <w:marRight w:val="0"/>
          <w:marTop w:val="168"/>
          <w:marBottom w:val="0"/>
          <w:divBdr>
            <w:top w:val="none" w:sz="0" w:space="0" w:color="auto"/>
            <w:left w:val="none" w:sz="0" w:space="0" w:color="auto"/>
            <w:bottom w:val="none" w:sz="0" w:space="0" w:color="auto"/>
            <w:right w:val="none" w:sz="0" w:space="0" w:color="auto"/>
          </w:divBdr>
        </w:div>
        <w:div w:id="1208184301">
          <w:marLeft w:val="274"/>
          <w:marRight w:val="0"/>
          <w:marTop w:val="168"/>
          <w:marBottom w:val="0"/>
          <w:divBdr>
            <w:top w:val="none" w:sz="0" w:space="0" w:color="auto"/>
            <w:left w:val="none" w:sz="0" w:space="0" w:color="auto"/>
            <w:bottom w:val="none" w:sz="0" w:space="0" w:color="auto"/>
            <w:right w:val="none" w:sz="0" w:space="0" w:color="auto"/>
          </w:divBdr>
        </w:div>
        <w:div w:id="1240139831">
          <w:marLeft w:val="274"/>
          <w:marRight w:val="0"/>
          <w:marTop w:val="168"/>
          <w:marBottom w:val="0"/>
          <w:divBdr>
            <w:top w:val="none" w:sz="0" w:space="0" w:color="auto"/>
            <w:left w:val="none" w:sz="0" w:space="0" w:color="auto"/>
            <w:bottom w:val="none" w:sz="0" w:space="0" w:color="auto"/>
            <w:right w:val="none" w:sz="0" w:space="0" w:color="auto"/>
          </w:divBdr>
        </w:div>
      </w:divsChild>
    </w:div>
    <w:div w:id="1376850760">
      <w:bodyDiv w:val="1"/>
      <w:marLeft w:val="0"/>
      <w:marRight w:val="0"/>
      <w:marTop w:val="0"/>
      <w:marBottom w:val="0"/>
      <w:divBdr>
        <w:top w:val="none" w:sz="0" w:space="0" w:color="auto"/>
        <w:left w:val="none" w:sz="0" w:space="0" w:color="auto"/>
        <w:bottom w:val="none" w:sz="0" w:space="0" w:color="auto"/>
        <w:right w:val="none" w:sz="0" w:space="0" w:color="auto"/>
      </w:divBdr>
      <w:divsChild>
        <w:div w:id="984236953">
          <w:marLeft w:val="835"/>
          <w:marRight w:val="0"/>
          <w:marTop w:val="67"/>
          <w:marBottom w:val="0"/>
          <w:divBdr>
            <w:top w:val="none" w:sz="0" w:space="0" w:color="auto"/>
            <w:left w:val="none" w:sz="0" w:space="0" w:color="auto"/>
            <w:bottom w:val="none" w:sz="0" w:space="0" w:color="auto"/>
            <w:right w:val="none" w:sz="0" w:space="0" w:color="auto"/>
          </w:divBdr>
        </w:div>
      </w:divsChild>
    </w:div>
    <w:div w:id="1384135510">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57403868">
      <w:bodyDiv w:val="1"/>
      <w:marLeft w:val="0"/>
      <w:marRight w:val="0"/>
      <w:marTop w:val="0"/>
      <w:marBottom w:val="0"/>
      <w:divBdr>
        <w:top w:val="none" w:sz="0" w:space="0" w:color="auto"/>
        <w:left w:val="none" w:sz="0" w:space="0" w:color="auto"/>
        <w:bottom w:val="none" w:sz="0" w:space="0" w:color="auto"/>
        <w:right w:val="none" w:sz="0" w:space="0" w:color="auto"/>
      </w:divBdr>
      <w:divsChild>
        <w:div w:id="862016367">
          <w:marLeft w:val="835"/>
          <w:marRight w:val="0"/>
          <w:marTop w:val="67"/>
          <w:marBottom w:val="0"/>
          <w:divBdr>
            <w:top w:val="none" w:sz="0" w:space="0" w:color="auto"/>
            <w:left w:val="none" w:sz="0" w:space="0" w:color="auto"/>
            <w:bottom w:val="none" w:sz="0" w:space="0" w:color="auto"/>
            <w:right w:val="none" w:sz="0" w:space="0" w:color="auto"/>
          </w:divBdr>
        </w:div>
        <w:div w:id="1884175988">
          <w:marLeft w:val="274"/>
          <w:marRight w:val="0"/>
          <w:marTop w:val="86"/>
          <w:marBottom w:val="0"/>
          <w:divBdr>
            <w:top w:val="none" w:sz="0" w:space="0" w:color="auto"/>
            <w:left w:val="none" w:sz="0" w:space="0" w:color="auto"/>
            <w:bottom w:val="none" w:sz="0" w:space="0" w:color="auto"/>
            <w:right w:val="none" w:sz="0" w:space="0" w:color="auto"/>
          </w:divBdr>
        </w:div>
        <w:div w:id="2000886371">
          <w:marLeft w:val="274"/>
          <w:marRight w:val="0"/>
          <w:marTop w:val="86"/>
          <w:marBottom w:val="0"/>
          <w:divBdr>
            <w:top w:val="none" w:sz="0" w:space="0" w:color="auto"/>
            <w:left w:val="none" w:sz="0" w:space="0" w:color="auto"/>
            <w:bottom w:val="none" w:sz="0" w:space="0" w:color="auto"/>
            <w:right w:val="none" w:sz="0" w:space="0" w:color="auto"/>
          </w:divBdr>
        </w:div>
      </w:divsChild>
    </w:div>
    <w:div w:id="1590844005">
      <w:bodyDiv w:val="1"/>
      <w:marLeft w:val="0"/>
      <w:marRight w:val="0"/>
      <w:marTop w:val="0"/>
      <w:marBottom w:val="0"/>
      <w:divBdr>
        <w:top w:val="none" w:sz="0" w:space="0" w:color="auto"/>
        <w:left w:val="none" w:sz="0" w:space="0" w:color="auto"/>
        <w:bottom w:val="none" w:sz="0" w:space="0" w:color="auto"/>
        <w:right w:val="none" w:sz="0" w:space="0" w:color="auto"/>
      </w:divBdr>
      <w:divsChild>
        <w:div w:id="690880594">
          <w:marLeft w:val="835"/>
          <w:marRight w:val="0"/>
          <w:marTop w:val="96"/>
          <w:marBottom w:val="0"/>
          <w:divBdr>
            <w:top w:val="none" w:sz="0" w:space="0" w:color="auto"/>
            <w:left w:val="none" w:sz="0" w:space="0" w:color="auto"/>
            <w:bottom w:val="none" w:sz="0" w:space="0" w:color="auto"/>
            <w:right w:val="none" w:sz="0" w:space="0" w:color="auto"/>
          </w:divBdr>
        </w:div>
      </w:divsChild>
    </w:div>
    <w:div w:id="1600134811">
      <w:bodyDiv w:val="1"/>
      <w:marLeft w:val="0"/>
      <w:marRight w:val="0"/>
      <w:marTop w:val="0"/>
      <w:marBottom w:val="0"/>
      <w:divBdr>
        <w:top w:val="none" w:sz="0" w:space="0" w:color="auto"/>
        <w:left w:val="none" w:sz="0" w:space="0" w:color="auto"/>
        <w:bottom w:val="none" w:sz="0" w:space="0" w:color="auto"/>
        <w:right w:val="none" w:sz="0" w:space="0" w:color="auto"/>
      </w:divBdr>
    </w:div>
    <w:div w:id="1601714047">
      <w:bodyDiv w:val="1"/>
      <w:marLeft w:val="0"/>
      <w:marRight w:val="0"/>
      <w:marTop w:val="0"/>
      <w:marBottom w:val="0"/>
      <w:divBdr>
        <w:top w:val="none" w:sz="0" w:space="0" w:color="auto"/>
        <w:left w:val="none" w:sz="0" w:space="0" w:color="auto"/>
        <w:bottom w:val="none" w:sz="0" w:space="0" w:color="auto"/>
        <w:right w:val="none" w:sz="0" w:space="0" w:color="auto"/>
      </w:divBdr>
      <w:divsChild>
        <w:div w:id="227962002">
          <w:marLeft w:val="835"/>
          <w:marRight w:val="0"/>
          <w:marTop w:val="96"/>
          <w:marBottom w:val="0"/>
          <w:divBdr>
            <w:top w:val="none" w:sz="0" w:space="0" w:color="auto"/>
            <w:left w:val="none" w:sz="0" w:space="0" w:color="auto"/>
            <w:bottom w:val="none" w:sz="0" w:space="0" w:color="auto"/>
            <w:right w:val="none" w:sz="0" w:space="0" w:color="auto"/>
          </w:divBdr>
        </w:div>
        <w:div w:id="427964080">
          <w:marLeft w:val="835"/>
          <w:marRight w:val="0"/>
          <w:marTop w:val="96"/>
          <w:marBottom w:val="0"/>
          <w:divBdr>
            <w:top w:val="none" w:sz="0" w:space="0" w:color="auto"/>
            <w:left w:val="none" w:sz="0" w:space="0" w:color="auto"/>
            <w:bottom w:val="none" w:sz="0" w:space="0" w:color="auto"/>
            <w:right w:val="none" w:sz="0" w:space="0" w:color="auto"/>
          </w:divBdr>
        </w:div>
        <w:div w:id="451677517">
          <w:marLeft w:val="835"/>
          <w:marRight w:val="0"/>
          <w:marTop w:val="96"/>
          <w:marBottom w:val="0"/>
          <w:divBdr>
            <w:top w:val="none" w:sz="0" w:space="0" w:color="auto"/>
            <w:left w:val="none" w:sz="0" w:space="0" w:color="auto"/>
            <w:bottom w:val="none" w:sz="0" w:space="0" w:color="auto"/>
            <w:right w:val="none" w:sz="0" w:space="0" w:color="auto"/>
          </w:divBdr>
        </w:div>
      </w:divsChild>
    </w:div>
    <w:div w:id="1656104999">
      <w:bodyDiv w:val="1"/>
      <w:marLeft w:val="0"/>
      <w:marRight w:val="0"/>
      <w:marTop w:val="0"/>
      <w:marBottom w:val="0"/>
      <w:divBdr>
        <w:top w:val="none" w:sz="0" w:space="0" w:color="auto"/>
        <w:left w:val="none" w:sz="0" w:space="0" w:color="auto"/>
        <w:bottom w:val="none" w:sz="0" w:space="0" w:color="auto"/>
        <w:right w:val="none" w:sz="0" w:space="0" w:color="auto"/>
      </w:divBdr>
    </w:div>
    <w:div w:id="1666087814">
      <w:bodyDiv w:val="1"/>
      <w:marLeft w:val="0"/>
      <w:marRight w:val="0"/>
      <w:marTop w:val="0"/>
      <w:marBottom w:val="0"/>
      <w:divBdr>
        <w:top w:val="none" w:sz="0" w:space="0" w:color="auto"/>
        <w:left w:val="none" w:sz="0" w:space="0" w:color="auto"/>
        <w:bottom w:val="none" w:sz="0" w:space="0" w:color="auto"/>
        <w:right w:val="none" w:sz="0" w:space="0" w:color="auto"/>
      </w:divBdr>
      <w:divsChild>
        <w:div w:id="220823213">
          <w:marLeft w:val="274"/>
          <w:marRight w:val="0"/>
          <w:marTop w:val="77"/>
          <w:marBottom w:val="0"/>
          <w:divBdr>
            <w:top w:val="none" w:sz="0" w:space="0" w:color="auto"/>
            <w:left w:val="none" w:sz="0" w:space="0" w:color="auto"/>
            <w:bottom w:val="none" w:sz="0" w:space="0" w:color="auto"/>
            <w:right w:val="none" w:sz="0" w:space="0" w:color="auto"/>
          </w:divBdr>
        </w:div>
        <w:div w:id="805703203">
          <w:marLeft w:val="274"/>
          <w:marRight w:val="0"/>
          <w:marTop w:val="77"/>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24480312">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24485500">
      <w:bodyDiv w:val="1"/>
      <w:marLeft w:val="0"/>
      <w:marRight w:val="0"/>
      <w:marTop w:val="0"/>
      <w:marBottom w:val="0"/>
      <w:divBdr>
        <w:top w:val="none" w:sz="0" w:space="0" w:color="auto"/>
        <w:left w:val="none" w:sz="0" w:space="0" w:color="auto"/>
        <w:bottom w:val="none" w:sz="0" w:space="0" w:color="auto"/>
        <w:right w:val="none" w:sz="0" w:space="0" w:color="auto"/>
      </w:divBdr>
    </w:div>
    <w:div w:id="1931884824">
      <w:bodyDiv w:val="1"/>
      <w:marLeft w:val="0"/>
      <w:marRight w:val="0"/>
      <w:marTop w:val="0"/>
      <w:marBottom w:val="0"/>
      <w:divBdr>
        <w:top w:val="none" w:sz="0" w:space="0" w:color="auto"/>
        <w:left w:val="none" w:sz="0" w:space="0" w:color="auto"/>
        <w:bottom w:val="none" w:sz="0" w:space="0" w:color="auto"/>
        <w:right w:val="none" w:sz="0" w:space="0" w:color="auto"/>
      </w:divBdr>
      <w:divsChild>
        <w:div w:id="1169784367">
          <w:marLeft w:val="274"/>
          <w:marRight w:val="0"/>
          <w:marTop w:val="86"/>
          <w:marBottom w:val="0"/>
          <w:divBdr>
            <w:top w:val="none" w:sz="0" w:space="0" w:color="auto"/>
            <w:left w:val="none" w:sz="0" w:space="0" w:color="auto"/>
            <w:bottom w:val="none" w:sz="0" w:space="0" w:color="auto"/>
            <w:right w:val="none" w:sz="0" w:space="0" w:color="auto"/>
          </w:divBdr>
        </w:div>
      </w:divsChild>
    </w:div>
    <w:div w:id="1995257238">
      <w:bodyDiv w:val="1"/>
      <w:marLeft w:val="0"/>
      <w:marRight w:val="0"/>
      <w:marTop w:val="0"/>
      <w:marBottom w:val="0"/>
      <w:divBdr>
        <w:top w:val="none" w:sz="0" w:space="0" w:color="auto"/>
        <w:left w:val="none" w:sz="0" w:space="0" w:color="auto"/>
        <w:bottom w:val="none" w:sz="0" w:space="0" w:color="auto"/>
        <w:right w:val="none" w:sz="0" w:space="0" w:color="auto"/>
      </w:divBdr>
      <w:divsChild>
        <w:div w:id="735471176">
          <w:marLeft w:val="835"/>
          <w:marRight w:val="0"/>
          <w:marTop w:val="67"/>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9830177">
      <w:bodyDiv w:val="1"/>
      <w:marLeft w:val="0"/>
      <w:marRight w:val="0"/>
      <w:marTop w:val="0"/>
      <w:marBottom w:val="0"/>
      <w:divBdr>
        <w:top w:val="none" w:sz="0" w:space="0" w:color="auto"/>
        <w:left w:val="none" w:sz="0" w:space="0" w:color="auto"/>
        <w:bottom w:val="none" w:sz="0" w:space="0" w:color="auto"/>
        <w:right w:val="none" w:sz="0" w:space="0" w:color="auto"/>
      </w:divBdr>
      <w:divsChild>
        <w:div w:id="12728622">
          <w:marLeft w:val="835"/>
          <w:marRight w:val="0"/>
          <w:marTop w:val="77"/>
          <w:marBottom w:val="0"/>
          <w:divBdr>
            <w:top w:val="none" w:sz="0" w:space="0" w:color="auto"/>
            <w:left w:val="none" w:sz="0" w:space="0" w:color="auto"/>
            <w:bottom w:val="none" w:sz="0" w:space="0" w:color="auto"/>
            <w:right w:val="none" w:sz="0" w:space="0" w:color="auto"/>
          </w:divBdr>
        </w:div>
        <w:div w:id="50007712">
          <w:marLeft w:val="274"/>
          <w:marRight w:val="0"/>
          <w:marTop w:val="96"/>
          <w:marBottom w:val="0"/>
          <w:divBdr>
            <w:top w:val="none" w:sz="0" w:space="0" w:color="auto"/>
            <w:left w:val="none" w:sz="0" w:space="0" w:color="auto"/>
            <w:bottom w:val="none" w:sz="0" w:space="0" w:color="auto"/>
            <w:right w:val="none" w:sz="0" w:space="0" w:color="auto"/>
          </w:divBdr>
        </w:div>
        <w:div w:id="485706380">
          <w:marLeft w:val="274"/>
          <w:marRight w:val="0"/>
          <w:marTop w:val="96"/>
          <w:marBottom w:val="0"/>
          <w:divBdr>
            <w:top w:val="none" w:sz="0" w:space="0" w:color="auto"/>
            <w:left w:val="none" w:sz="0" w:space="0" w:color="auto"/>
            <w:bottom w:val="none" w:sz="0" w:space="0" w:color="auto"/>
            <w:right w:val="none" w:sz="0" w:space="0" w:color="auto"/>
          </w:divBdr>
        </w:div>
        <w:div w:id="1675641901">
          <w:marLeft w:val="835"/>
          <w:marRight w:val="0"/>
          <w:marTop w:val="77"/>
          <w:marBottom w:val="0"/>
          <w:divBdr>
            <w:top w:val="none" w:sz="0" w:space="0" w:color="auto"/>
            <w:left w:val="none" w:sz="0" w:space="0" w:color="auto"/>
            <w:bottom w:val="none" w:sz="0" w:space="0" w:color="auto"/>
            <w:right w:val="none" w:sz="0" w:space="0" w:color="auto"/>
          </w:divBdr>
        </w:div>
        <w:div w:id="1779180092">
          <w:marLeft w:val="835"/>
          <w:marRight w:val="0"/>
          <w:marTop w:val="77"/>
          <w:marBottom w:val="0"/>
          <w:divBdr>
            <w:top w:val="none" w:sz="0" w:space="0" w:color="auto"/>
            <w:left w:val="none" w:sz="0" w:space="0" w:color="auto"/>
            <w:bottom w:val="none" w:sz="0" w:space="0" w:color="auto"/>
            <w:right w:val="none" w:sz="0" w:space="0" w:color="auto"/>
          </w:divBdr>
        </w:div>
        <w:div w:id="2012834603">
          <w:marLeft w:val="835"/>
          <w:marRight w:val="0"/>
          <w:marTop w:val="7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316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4C698-D519-4A6B-9041-1B831412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 WG1 Meeting #72bis</vt:lpstr>
    </vt:vector>
  </TitlesOfParts>
  <Company>Ericsson</Company>
  <LinksUpToDate>false</LinksUpToDate>
  <CharactersWithSpaces>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#72bis</dc:title>
  <dc:creator>Mattias Frenne</dc:creator>
  <cp:lastModifiedBy>Xinghua Song</cp:lastModifiedBy>
  <cp:revision>2</cp:revision>
  <cp:lastPrinted>2014-08-08T09:12:00Z</cp:lastPrinted>
  <dcterms:created xsi:type="dcterms:W3CDTF">2015-08-14T15:16:00Z</dcterms:created>
  <dcterms:modified xsi:type="dcterms:W3CDTF">2015-08-14T15:16:00Z</dcterms:modified>
</cp:coreProperties>
</file>