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77F" w:rsidRDefault="005F7572" w:rsidP="00D03CC5">
      <w:pPr>
        <w:pStyle w:val="FootnoteText"/>
        <w:rPr>
          <w:rFonts w:eastAsia="SimSun" w:cs="Arial"/>
          <w:b/>
          <w:bCs/>
          <w:noProof/>
          <w:sz w:val="20"/>
          <w:szCs w:val="20"/>
        </w:rPr>
      </w:pPr>
      <w:r>
        <w:rPr>
          <w:rFonts w:eastAsia="SimSun" w:cs="Arial"/>
          <w:b/>
          <w:bCs/>
          <w:noProof/>
          <w:sz w:val="20"/>
          <w:szCs w:val="20"/>
        </w:rPr>
        <w:t>3GPP TSG RAN WG1 Meeting #80</w:t>
      </w:r>
      <w:r w:rsidR="00DC376F">
        <w:rPr>
          <w:rFonts w:eastAsia="SimSun" w:cs="Arial"/>
          <w:b/>
          <w:bCs/>
          <w:noProof/>
          <w:sz w:val="20"/>
          <w:szCs w:val="20"/>
        </w:rPr>
        <w:t>bis</w:t>
      </w:r>
      <w:r w:rsidR="00D03CC5" w:rsidRPr="00A5743B">
        <w:rPr>
          <w:rFonts w:eastAsia="SimSun" w:cs="Arial"/>
          <w:b/>
          <w:bCs/>
          <w:noProof/>
          <w:sz w:val="20"/>
          <w:szCs w:val="20"/>
        </w:rPr>
        <w:tab/>
      </w:r>
      <w:r w:rsidR="00D03CC5" w:rsidRPr="00A5743B">
        <w:rPr>
          <w:rFonts w:eastAsia="SimSun" w:cs="Arial"/>
          <w:b/>
          <w:bCs/>
          <w:noProof/>
          <w:sz w:val="20"/>
          <w:szCs w:val="20"/>
        </w:rPr>
        <w:tab/>
      </w:r>
      <w:r w:rsidR="00D03CC5" w:rsidRPr="00A5743B">
        <w:rPr>
          <w:rFonts w:eastAsia="SimSun" w:cs="Arial"/>
          <w:b/>
          <w:bCs/>
          <w:noProof/>
          <w:sz w:val="20"/>
          <w:szCs w:val="20"/>
        </w:rPr>
        <w:tab/>
      </w:r>
      <w:r w:rsidR="00D03CC5" w:rsidRPr="00A5743B">
        <w:rPr>
          <w:rFonts w:eastAsia="SimSun" w:cs="Arial"/>
          <w:b/>
          <w:bCs/>
          <w:noProof/>
          <w:sz w:val="20"/>
          <w:szCs w:val="20"/>
        </w:rPr>
        <w:tab/>
      </w:r>
      <w:r w:rsidR="00D03CC5" w:rsidRPr="00A5743B">
        <w:rPr>
          <w:rFonts w:eastAsia="SimSun" w:cs="Arial"/>
          <w:b/>
          <w:bCs/>
          <w:noProof/>
          <w:sz w:val="20"/>
          <w:szCs w:val="20"/>
        </w:rPr>
        <w:tab/>
      </w:r>
      <w:r w:rsidR="00D03CC5" w:rsidRPr="00A5743B">
        <w:rPr>
          <w:rFonts w:eastAsia="SimSun" w:cs="Arial"/>
          <w:b/>
          <w:bCs/>
          <w:noProof/>
          <w:sz w:val="20"/>
          <w:szCs w:val="20"/>
        </w:rPr>
        <w:tab/>
      </w:r>
      <w:r w:rsidR="00D03CC5" w:rsidRPr="00A5743B">
        <w:rPr>
          <w:rFonts w:eastAsia="SimSun" w:cs="Arial"/>
          <w:b/>
          <w:bCs/>
          <w:noProof/>
          <w:sz w:val="20"/>
          <w:szCs w:val="20"/>
        </w:rPr>
        <w:tab/>
      </w:r>
      <w:r w:rsidR="00932FB7">
        <w:rPr>
          <w:rFonts w:eastAsia="SimSun" w:cs="Arial"/>
          <w:b/>
          <w:bCs/>
          <w:noProof/>
          <w:sz w:val="20"/>
          <w:szCs w:val="20"/>
        </w:rPr>
        <w:tab/>
      </w:r>
      <w:r w:rsidR="00932FB7">
        <w:rPr>
          <w:rFonts w:eastAsia="SimSun" w:cs="Arial"/>
          <w:b/>
          <w:bCs/>
          <w:noProof/>
          <w:sz w:val="20"/>
          <w:szCs w:val="20"/>
        </w:rPr>
        <w:tab/>
      </w:r>
      <w:r w:rsidR="00932FB7" w:rsidRPr="00932FB7">
        <w:rPr>
          <w:rFonts w:eastAsia="SimSun" w:cs="Arial"/>
          <w:b/>
          <w:bCs/>
          <w:noProof/>
          <w:sz w:val="20"/>
          <w:szCs w:val="20"/>
        </w:rPr>
        <w:t>R1-152112</w:t>
      </w:r>
    </w:p>
    <w:p w:rsidR="00D03CC5" w:rsidRPr="00A5743B" w:rsidRDefault="005F7572" w:rsidP="00D03CC5">
      <w:pPr>
        <w:pStyle w:val="FootnoteText"/>
        <w:rPr>
          <w:rFonts w:eastAsia="SimSun" w:cs="Arial"/>
          <w:b/>
          <w:bCs/>
          <w:noProof/>
          <w:sz w:val="20"/>
          <w:szCs w:val="20"/>
        </w:rPr>
      </w:pPr>
      <w:r>
        <w:rPr>
          <w:rFonts w:eastAsia="SimSun" w:cs="Arial"/>
          <w:b/>
          <w:bCs/>
          <w:noProof/>
          <w:sz w:val="20"/>
          <w:szCs w:val="20"/>
        </w:rPr>
        <w:t>Belgrade, Serbia, 20</w:t>
      </w:r>
      <w:r w:rsidR="00D03CC5" w:rsidRPr="00A5743B">
        <w:rPr>
          <w:rFonts w:eastAsia="SimSun" w:cs="Arial"/>
          <w:b/>
          <w:bCs/>
          <w:noProof/>
          <w:sz w:val="20"/>
          <w:szCs w:val="20"/>
          <w:vertAlign w:val="superscript"/>
        </w:rPr>
        <w:t>th</w:t>
      </w:r>
      <w:r>
        <w:rPr>
          <w:rFonts w:eastAsia="SimSun" w:cs="Arial"/>
          <w:b/>
          <w:bCs/>
          <w:noProof/>
          <w:sz w:val="20"/>
          <w:szCs w:val="20"/>
        </w:rPr>
        <w:t xml:space="preserve"> – 24</w:t>
      </w:r>
      <w:r w:rsidR="00D03CC5" w:rsidRPr="00A5743B">
        <w:rPr>
          <w:rFonts w:eastAsia="SimSun" w:cs="Arial"/>
          <w:b/>
          <w:bCs/>
          <w:noProof/>
          <w:sz w:val="20"/>
          <w:szCs w:val="20"/>
          <w:vertAlign w:val="superscript"/>
        </w:rPr>
        <w:t>th</w:t>
      </w:r>
      <w:r>
        <w:rPr>
          <w:rFonts w:eastAsia="SimSun" w:cs="Arial"/>
          <w:b/>
          <w:bCs/>
          <w:noProof/>
          <w:sz w:val="20"/>
          <w:szCs w:val="20"/>
        </w:rPr>
        <w:t xml:space="preserve"> April</w:t>
      </w:r>
      <w:r w:rsidR="00D03CC5" w:rsidRPr="00A5743B">
        <w:rPr>
          <w:rFonts w:eastAsia="SimSun" w:cs="Arial"/>
          <w:b/>
          <w:bCs/>
          <w:noProof/>
          <w:sz w:val="20"/>
          <w:szCs w:val="20"/>
        </w:rPr>
        <w:t xml:space="preserve"> 2015</w:t>
      </w:r>
    </w:p>
    <w:p w:rsidR="00E90E49" w:rsidRPr="00D03CC5" w:rsidRDefault="00E90E49" w:rsidP="00E1370F">
      <w:pPr>
        <w:pStyle w:val="3GPPHeader"/>
        <w:spacing w:line="240" w:lineRule="exact"/>
        <w:rPr>
          <w:rFonts w:cs="Arial"/>
          <w:sz w:val="22"/>
          <w:szCs w:val="22"/>
        </w:rPr>
      </w:pPr>
    </w:p>
    <w:p w:rsidR="00E90E49" w:rsidRPr="00F16C0E" w:rsidRDefault="00E90E49" w:rsidP="00E1370F">
      <w:pPr>
        <w:pStyle w:val="3GPPHeader"/>
        <w:spacing w:line="240" w:lineRule="exact"/>
        <w:rPr>
          <w:rFonts w:cs="Arial"/>
          <w:sz w:val="22"/>
          <w:szCs w:val="22"/>
          <w:lang w:val="en-US" w:eastAsia="ko-KR"/>
        </w:rPr>
      </w:pPr>
      <w:r w:rsidRPr="00F16C0E">
        <w:rPr>
          <w:rFonts w:cs="Arial"/>
          <w:sz w:val="22"/>
          <w:szCs w:val="22"/>
          <w:lang w:val="en-US"/>
        </w:rPr>
        <w:t xml:space="preserve">Source: </w:t>
      </w:r>
      <w:r w:rsidRPr="00F16C0E">
        <w:rPr>
          <w:rFonts w:cs="Arial"/>
          <w:sz w:val="22"/>
          <w:szCs w:val="22"/>
          <w:lang w:val="en-US"/>
        </w:rPr>
        <w:tab/>
      </w:r>
      <w:r w:rsidR="00723B13">
        <w:rPr>
          <w:rFonts w:cs="Arial"/>
          <w:sz w:val="22"/>
          <w:szCs w:val="22"/>
          <w:lang w:val="en-US"/>
        </w:rPr>
        <w:t>Ericsson</w:t>
      </w:r>
      <w:r w:rsidR="00C84FC8" w:rsidRPr="00F16C0E">
        <w:rPr>
          <w:rFonts w:cs="Arial"/>
          <w:sz w:val="22"/>
          <w:szCs w:val="22"/>
          <w:lang w:val="en-US" w:eastAsia="ko-KR"/>
        </w:rPr>
        <w:t xml:space="preserve"> </w:t>
      </w:r>
    </w:p>
    <w:p w:rsidR="00A941E2" w:rsidRDefault="00E90E49" w:rsidP="009F5AA8">
      <w:pPr>
        <w:pStyle w:val="3GPPHeader"/>
        <w:spacing w:line="240" w:lineRule="exact"/>
        <w:rPr>
          <w:rFonts w:cs="Arial"/>
          <w:sz w:val="22"/>
          <w:szCs w:val="22"/>
          <w:lang w:val="en-US" w:eastAsia="ko-KR"/>
        </w:rPr>
      </w:pPr>
      <w:r w:rsidRPr="00F16C0E">
        <w:rPr>
          <w:rFonts w:cs="Arial"/>
          <w:sz w:val="22"/>
          <w:szCs w:val="22"/>
          <w:lang w:val="en-US"/>
        </w:rPr>
        <w:t xml:space="preserve">Title:  </w:t>
      </w:r>
      <w:r w:rsidRPr="00F16C0E">
        <w:rPr>
          <w:rFonts w:cs="Arial"/>
          <w:sz w:val="22"/>
          <w:szCs w:val="22"/>
          <w:lang w:val="en-US"/>
        </w:rPr>
        <w:tab/>
      </w:r>
      <w:r w:rsidR="00DC376F" w:rsidRPr="00DC376F">
        <w:rPr>
          <w:rFonts w:cs="Arial"/>
          <w:sz w:val="22"/>
          <w:szCs w:val="22"/>
          <w:lang w:val="en-US"/>
        </w:rPr>
        <w:t>UE Receiver Model for Performance Evaluation</w:t>
      </w:r>
    </w:p>
    <w:p w:rsidR="009F5AA8" w:rsidRPr="00F16C0E" w:rsidRDefault="005F7572" w:rsidP="009F5AA8">
      <w:pPr>
        <w:pStyle w:val="3GPPHeader"/>
        <w:spacing w:line="240" w:lineRule="exact"/>
        <w:rPr>
          <w:rFonts w:cs="Arial"/>
          <w:sz w:val="22"/>
          <w:szCs w:val="22"/>
          <w:lang w:val="en-US"/>
        </w:rPr>
      </w:pPr>
      <w:r>
        <w:rPr>
          <w:rFonts w:cs="Arial"/>
          <w:sz w:val="22"/>
          <w:szCs w:val="22"/>
          <w:lang w:val="en-US"/>
        </w:rPr>
        <w:t>Agenda Item:</w:t>
      </w:r>
      <w:r>
        <w:rPr>
          <w:rFonts w:cs="Arial"/>
          <w:sz w:val="22"/>
          <w:szCs w:val="22"/>
          <w:lang w:val="en-US"/>
        </w:rPr>
        <w:tab/>
      </w:r>
      <w:r w:rsidR="00DC376F">
        <w:rPr>
          <w:rFonts w:cs="Arial"/>
          <w:sz w:val="22"/>
          <w:szCs w:val="22"/>
          <w:lang w:val="en-US"/>
        </w:rPr>
        <w:t>7.2.6.1</w:t>
      </w:r>
    </w:p>
    <w:p w:rsidR="00E90E49" w:rsidRPr="00F16C0E" w:rsidRDefault="005517EF" w:rsidP="00E1370F">
      <w:pPr>
        <w:pStyle w:val="3GPPHeader"/>
        <w:spacing w:line="240" w:lineRule="exact"/>
        <w:rPr>
          <w:rFonts w:cs="Arial"/>
          <w:sz w:val="22"/>
          <w:szCs w:val="22"/>
          <w:lang w:val="en-US"/>
        </w:rPr>
      </w:pPr>
      <w:r>
        <w:rPr>
          <w:rFonts w:cs="Arial"/>
          <w:sz w:val="22"/>
          <w:szCs w:val="22"/>
          <w:lang w:val="en-US"/>
        </w:rPr>
        <w:t>Document for:</w:t>
      </w:r>
      <w:r>
        <w:rPr>
          <w:rFonts w:cs="Arial"/>
          <w:sz w:val="22"/>
          <w:szCs w:val="22"/>
          <w:lang w:val="en-US"/>
        </w:rPr>
        <w:tab/>
      </w:r>
      <w:r w:rsidR="00DC376F" w:rsidRPr="00DC376F">
        <w:rPr>
          <w:rFonts w:cs="Arial"/>
          <w:sz w:val="22"/>
          <w:szCs w:val="22"/>
          <w:lang w:val="en-US"/>
        </w:rPr>
        <w:t>Discussion/Decision</w:t>
      </w:r>
    </w:p>
    <w:p w:rsidR="00E90E49" w:rsidRDefault="00E90E49" w:rsidP="00723B13">
      <w:pPr>
        <w:pStyle w:val="Heading1"/>
        <w:rPr>
          <w:lang w:val="en-US"/>
        </w:rPr>
      </w:pPr>
      <w:r w:rsidRPr="00F16C0E">
        <w:rPr>
          <w:lang w:val="en-US"/>
        </w:rPr>
        <w:t>Introduction</w:t>
      </w:r>
    </w:p>
    <w:p w:rsidR="00D32C58" w:rsidRDefault="00E24BEB" w:rsidP="005B19FF">
      <w:pPr>
        <w:rPr>
          <w:rFonts w:ascii="Times New Roman" w:eastAsia="Malgun Gothic" w:hAnsi="Times New Roman"/>
          <w:sz w:val="22"/>
          <w:szCs w:val="22"/>
          <w:lang w:val="en-US" w:eastAsia="sv-SE"/>
        </w:rPr>
      </w:pPr>
      <w:r w:rsidRPr="0032164D">
        <w:rPr>
          <w:rFonts w:ascii="Times New Roman" w:eastAsia="Malgun Gothic" w:hAnsi="Times New Roman"/>
          <w:sz w:val="22"/>
          <w:szCs w:val="22"/>
          <w:lang w:val="en-US" w:eastAsia="sv-SE"/>
        </w:rPr>
        <w:t xml:space="preserve">One of the objectives of this SI is to evaluate the baseline performance of the agreed simulation scenarios for the existing positioning techniques including OTDOA. The time of arrival estimation has a great impact on the positioning accuracy performance of OTDOA. </w:t>
      </w:r>
      <w:r w:rsidR="00D863DF" w:rsidRPr="0032164D">
        <w:rPr>
          <w:rFonts w:ascii="Times New Roman" w:eastAsia="Malgun Gothic" w:hAnsi="Times New Roman"/>
          <w:sz w:val="22"/>
          <w:szCs w:val="22"/>
          <w:lang w:val="en-US" w:eastAsia="sv-SE"/>
        </w:rPr>
        <w:t>One mai</w:t>
      </w:r>
      <w:r w:rsidR="00BA6096">
        <w:rPr>
          <w:rFonts w:ascii="Times New Roman" w:eastAsia="Malgun Gothic" w:hAnsi="Times New Roman"/>
          <w:sz w:val="22"/>
          <w:szCs w:val="22"/>
          <w:lang w:val="en-US" w:eastAsia="sv-SE"/>
        </w:rPr>
        <w:t>n factor on how to estimate TOA</w:t>
      </w:r>
      <w:r w:rsidR="00D863DF" w:rsidRPr="0032164D">
        <w:rPr>
          <w:rFonts w:ascii="Times New Roman" w:eastAsia="Malgun Gothic" w:hAnsi="Times New Roman"/>
          <w:sz w:val="22"/>
          <w:szCs w:val="22"/>
          <w:lang w:val="en-US" w:eastAsia="sv-SE"/>
        </w:rPr>
        <w:t xml:space="preserve"> is the assumptions </w:t>
      </w:r>
      <w:r w:rsidR="00D32C58">
        <w:rPr>
          <w:rFonts w:ascii="Times New Roman" w:eastAsia="Malgun Gothic" w:hAnsi="Times New Roman"/>
          <w:sz w:val="22"/>
          <w:szCs w:val="22"/>
          <w:lang w:val="en-US" w:eastAsia="sv-SE"/>
        </w:rPr>
        <w:t>taken in</w:t>
      </w:r>
      <w:r w:rsidR="00D863DF" w:rsidRPr="0032164D">
        <w:rPr>
          <w:rFonts w:ascii="Times New Roman" w:eastAsia="Malgun Gothic" w:hAnsi="Times New Roman"/>
          <w:sz w:val="22"/>
          <w:szCs w:val="22"/>
          <w:lang w:val="en-US" w:eastAsia="sv-SE"/>
        </w:rPr>
        <w:t xml:space="preserve"> the UE receiver</w:t>
      </w:r>
      <w:r w:rsidR="00D32C58">
        <w:rPr>
          <w:rFonts w:ascii="Times New Roman" w:eastAsia="Malgun Gothic" w:hAnsi="Times New Roman"/>
          <w:sz w:val="22"/>
          <w:szCs w:val="22"/>
          <w:lang w:val="en-US" w:eastAsia="sv-SE"/>
        </w:rPr>
        <w:t xml:space="preserve"> for performance evaluation</w:t>
      </w:r>
      <w:r w:rsidR="00D863DF" w:rsidRPr="0032164D">
        <w:rPr>
          <w:rFonts w:ascii="Times New Roman" w:eastAsia="Malgun Gothic" w:hAnsi="Times New Roman"/>
          <w:sz w:val="22"/>
          <w:szCs w:val="22"/>
          <w:lang w:val="en-US" w:eastAsia="sv-SE"/>
        </w:rPr>
        <w:t xml:space="preserve">. </w:t>
      </w:r>
    </w:p>
    <w:p w:rsidR="005B19FF" w:rsidRPr="0032164D" w:rsidRDefault="00D863DF" w:rsidP="005B19FF">
      <w:pPr>
        <w:rPr>
          <w:rFonts w:ascii="Times New Roman" w:eastAsia="Malgun Gothic" w:hAnsi="Times New Roman"/>
          <w:sz w:val="22"/>
          <w:szCs w:val="22"/>
          <w:lang w:val="en-US" w:eastAsia="sv-SE"/>
        </w:rPr>
      </w:pPr>
      <w:r w:rsidRPr="0032164D">
        <w:rPr>
          <w:rFonts w:ascii="Times New Roman" w:eastAsia="Malgun Gothic" w:hAnsi="Times New Roman"/>
          <w:sz w:val="22"/>
          <w:szCs w:val="22"/>
          <w:lang w:val="en-US" w:eastAsia="sv-SE"/>
        </w:rPr>
        <w:t>In this contribution, we emphasize the</w:t>
      </w:r>
      <w:r w:rsidR="00D32C58">
        <w:rPr>
          <w:rFonts w:ascii="Times New Roman" w:eastAsia="Malgun Gothic" w:hAnsi="Times New Roman"/>
          <w:sz w:val="22"/>
          <w:szCs w:val="22"/>
          <w:lang w:val="en-US" w:eastAsia="sv-SE"/>
        </w:rPr>
        <w:t xml:space="preserve"> significant</w:t>
      </w:r>
      <w:r w:rsidRPr="0032164D">
        <w:rPr>
          <w:rFonts w:ascii="Times New Roman" w:eastAsia="Malgun Gothic" w:hAnsi="Times New Roman"/>
          <w:sz w:val="22"/>
          <w:szCs w:val="22"/>
          <w:lang w:val="en-US" w:eastAsia="sv-SE"/>
        </w:rPr>
        <w:t xml:space="preserve"> impact of the UE receiver </w:t>
      </w:r>
      <w:r w:rsidR="00D32C58">
        <w:rPr>
          <w:rFonts w:ascii="Times New Roman" w:eastAsia="Malgun Gothic" w:hAnsi="Times New Roman"/>
          <w:sz w:val="22"/>
          <w:szCs w:val="22"/>
          <w:lang w:val="en-US" w:eastAsia="sv-SE"/>
        </w:rPr>
        <w:t>model in performance generation. In order to obtain useful</w:t>
      </w:r>
      <w:r w:rsidRPr="0032164D">
        <w:rPr>
          <w:rFonts w:ascii="Times New Roman" w:eastAsia="Malgun Gothic" w:hAnsi="Times New Roman"/>
          <w:sz w:val="22"/>
          <w:szCs w:val="22"/>
          <w:lang w:val="en-US" w:eastAsia="sv-SE"/>
        </w:rPr>
        <w:t xml:space="preserve"> baseline evaluation </w:t>
      </w:r>
      <w:r w:rsidR="00D32C58">
        <w:rPr>
          <w:rFonts w:ascii="Times New Roman" w:eastAsia="Malgun Gothic" w:hAnsi="Times New Roman"/>
          <w:sz w:val="22"/>
          <w:szCs w:val="22"/>
          <w:lang w:val="en-US" w:eastAsia="sv-SE"/>
        </w:rPr>
        <w:t xml:space="preserve">results across companies </w:t>
      </w:r>
      <w:r w:rsidRPr="0032164D">
        <w:rPr>
          <w:rFonts w:ascii="Times New Roman" w:eastAsia="Malgun Gothic" w:hAnsi="Times New Roman"/>
          <w:sz w:val="22"/>
          <w:szCs w:val="22"/>
          <w:lang w:val="en-US" w:eastAsia="sv-SE"/>
        </w:rPr>
        <w:t xml:space="preserve">for OTDOA, the UE receiver assumptions should </w:t>
      </w:r>
      <w:r w:rsidR="00D32C58">
        <w:rPr>
          <w:rFonts w:ascii="Times New Roman" w:eastAsia="Malgun Gothic" w:hAnsi="Times New Roman"/>
          <w:sz w:val="22"/>
          <w:szCs w:val="22"/>
          <w:lang w:val="en-US" w:eastAsia="sv-SE"/>
        </w:rPr>
        <w:t xml:space="preserve">at least </w:t>
      </w:r>
      <w:r w:rsidRPr="0032164D">
        <w:rPr>
          <w:rFonts w:ascii="Times New Roman" w:eastAsia="Malgun Gothic" w:hAnsi="Times New Roman"/>
          <w:sz w:val="22"/>
          <w:szCs w:val="22"/>
          <w:lang w:val="en-US" w:eastAsia="sv-SE"/>
        </w:rPr>
        <w:t>be known</w:t>
      </w:r>
      <w:r w:rsidR="00D32C58">
        <w:rPr>
          <w:rFonts w:ascii="Times New Roman" w:eastAsia="Malgun Gothic" w:hAnsi="Times New Roman"/>
          <w:sz w:val="22"/>
          <w:szCs w:val="22"/>
          <w:lang w:val="en-US" w:eastAsia="sv-SE"/>
        </w:rPr>
        <w:t>. P</w:t>
      </w:r>
      <w:r w:rsidRPr="0032164D">
        <w:rPr>
          <w:rFonts w:ascii="Times New Roman" w:eastAsia="Malgun Gothic" w:hAnsi="Times New Roman"/>
          <w:sz w:val="22"/>
          <w:szCs w:val="22"/>
          <w:lang w:val="en-US" w:eastAsia="sv-SE"/>
        </w:rPr>
        <w:t xml:space="preserve">referably the same UE receiver model should be </w:t>
      </w:r>
      <w:r w:rsidR="00D32C58">
        <w:rPr>
          <w:rFonts w:ascii="Times New Roman" w:eastAsia="Malgun Gothic" w:hAnsi="Times New Roman"/>
          <w:sz w:val="22"/>
          <w:szCs w:val="22"/>
          <w:lang w:val="en-US" w:eastAsia="sv-SE"/>
        </w:rPr>
        <w:t>us</w:t>
      </w:r>
      <w:r w:rsidR="00D32C58" w:rsidRPr="0032164D">
        <w:rPr>
          <w:rFonts w:ascii="Times New Roman" w:eastAsia="Malgun Gothic" w:hAnsi="Times New Roman"/>
          <w:sz w:val="22"/>
          <w:szCs w:val="22"/>
          <w:lang w:val="en-US" w:eastAsia="sv-SE"/>
        </w:rPr>
        <w:t xml:space="preserve">ed </w:t>
      </w:r>
      <w:r w:rsidR="00D046BC" w:rsidRPr="0032164D">
        <w:rPr>
          <w:rFonts w:ascii="Times New Roman" w:eastAsia="Malgun Gothic" w:hAnsi="Times New Roman"/>
          <w:sz w:val="22"/>
          <w:szCs w:val="22"/>
          <w:lang w:val="en-US" w:eastAsia="sv-SE"/>
        </w:rPr>
        <w:t>for evaluation</w:t>
      </w:r>
      <w:r w:rsidRPr="0032164D">
        <w:rPr>
          <w:rFonts w:ascii="Times New Roman" w:eastAsia="Malgun Gothic" w:hAnsi="Times New Roman"/>
          <w:sz w:val="22"/>
          <w:szCs w:val="22"/>
          <w:lang w:val="en-US" w:eastAsia="sv-SE"/>
        </w:rPr>
        <w:t xml:space="preserve">.  </w:t>
      </w:r>
    </w:p>
    <w:p w:rsidR="003268E3" w:rsidRDefault="00F146DC" w:rsidP="00585D05">
      <w:pPr>
        <w:pStyle w:val="Heading1"/>
        <w:rPr>
          <w:lang w:val="en-US" w:eastAsia="ko-KR"/>
        </w:rPr>
      </w:pPr>
      <w:r>
        <w:rPr>
          <w:lang w:val="en-US" w:eastAsia="ko-KR"/>
        </w:rPr>
        <w:t xml:space="preserve">UE Receiver </w:t>
      </w:r>
      <w:r w:rsidR="00EB2209">
        <w:rPr>
          <w:lang w:val="en-US" w:eastAsia="ko-KR"/>
        </w:rPr>
        <w:t>Model</w:t>
      </w:r>
    </w:p>
    <w:p w:rsidR="00D0535D" w:rsidRPr="006511C4" w:rsidRDefault="00D0535D" w:rsidP="00D0535D">
      <w:pPr>
        <w:overflowPunct/>
        <w:spacing w:after="0"/>
        <w:textAlignment w:val="auto"/>
        <w:rPr>
          <w:rFonts w:ascii="Times New Roman" w:eastAsia="Malgun Gothic" w:hAnsi="Times New Roman"/>
          <w:sz w:val="22"/>
          <w:szCs w:val="22"/>
          <w:lang w:val="en-US" w:eastAsia="sv-SE"/>
        </w:rPr>
      </w:pPr>
      <w:r w:rsidRPr="00EB4B8C">
        <w:rPr>
          <w:rFonts w:eastAsia="Malgun Gothic" w:cs="Arial"/>
          <w:lang w:val="en-US" w:eastAsia="sv-SE"/>
        </w:rPr>
        <w:br/>
      </w:r>
      <w:r w:rsidRPr="006511C4">
        <w:rPr>
          <w:rFonts w:ascii="Times New Roman" w:eastAsia="Malgun Gothic" w:hAnsi="Times New Roman"/>
          <w:sz w:val="22"/>
          <w:szCs w:val="22"/>
          <w:lang w:val="en-US" w:eastAsia="sv-SE"/>
        </w:rPr>
        <w:t xml:space="preserve">In order to get accurate positioning, line of sight (LOS) detection is important. To detect the first </w:t>
      </w:r>
      <w:r w:rsidR="007434F1">
        <w:rPr>
          <w:rFonts w:ascii="Times New Roman" w:eastAsia="Malgun Gothic" w:hAnsi="Times New Roman"/>
          <w:sz w:val="22"/>
          <w:szCs w:val="22"/>
          <w:lang w:val="en-US" w:eastAsia="sv-SE"/>
        </w:rPr>
        <w:t xml:space="preserve">channel </w:t>
      </w:r>
      <w:r w:rsidRPr="006511C4">
        <w:rPr>
          <w:rFonts w:ascii="Times New Roman" w:eastAsia="Malgun Gothic" w:hAnsi="Times New Roman"/>
          <w:sz w:val="22"/>
          <w:szCs w:val="22"/>
          <w:lang w:val="en-US" w:eastAsia="sv-SE"/>
        </w:rPr>
        <w:t xml:space="preserve">tap, we compute the cross-correlation values between the received signal </w:t>
      </w:r>
      <m:oMath>
        <m:r>
          <w:rPr>
            <w:rFonts w:ascii="Cambria Math" w:eastAsia="Malgun Gothic" w:hAnsi="Cambria Math" w:cs="Arial"/>
            <w:lang w:val="en-US" w:eastAsia="sv-SE"/>
          </w:rPr>
          <m:t>y</m:t>
        </m:r>
      </m:oMath>
      <w:r w:rsidRPr="006511C4">
        <w:rPr>
          <w:rFonts w:ascii="Times New Roman" w:eastAsia="Malgun Gothic" w:hAnsi="Times New Roman"/>
          <w:sz w:val="22"/>
          <w:szCs w:val="22"/>
          <w:lang w:val="en-US" w:eastAsia="sv-SE"/>
        </w:rPr>
        <w:t xml:space="preserve"> and the transmitted positioning reference signal </w:t>
      </w:r>
      <m:oMath>
        <m:r>
          <w:rPr>
            <w:rFonts w:ascii="Cambria Math" w:eastAsia="Malgun Gothic" w:hAnsi="Cambria Math" w:cs="Arial"/>
            <w:lang w:val="en-US" w:eastAsia="sv-SE"/>
          </w:rPr>
          <m:t>x</m:t>
        </m:r>
      </m:oMath>
      <w:r w:rsidRPr="006511C4">
        <w:rPr>
          <w:rFonts w:ascii="Times New Roman" w:eastAsia="Malgun Gothic" w:hAnsi="Times New Roman"/>
          <w:sz w:val="22"/>
          <w:szCs w:val="22"/>
          <w:lang w:val="en-US" w:eastAsia="sv-SE"/>
        </w:rPr>
        <w:t xml:space="preserve"> as follows:</w:t>
      </w:r>
    </w:p>
    <w:p w:rsidR="00D0535D" w:rsidRPr="006511C4" w:rsidRDefault="00D0535D" w:rsidP="00D0535D">
      <w:pPr>
        <w:overflowPunct/>
        <w:spacing w:after="0"/>
        <w:textAlignment w:val="auto"/>
        <w:rPr>
          <w:rFonts w:ascii="Times New Roman" w:eastAsia="Malgun Gothic" w:hAnsi="Times New Roman"/>
          <w:sz w:val="22"/>
          <w:szCs w:val="22"/>
          <w:lang w:val="en-US" w:eastAsia="sv-SE"/>
        </w:rPr>
      </w:pPr>
      <w:r w:rsidRPr="006511C4">
        <w:rPr>
          <w:rFonts w:ascii="Times New Roman" w:eastAsia="Malgun Gothic" w:hAnsi="Times New Roman"/>
          <w:position w:val="-10"/>
          <w:sz w:val="22"/>
          <w:szCs w:val="22"/>
          <w:lang w:val="en-US" w:eastAsia="sv-SE"/>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7pt" o:ole="">
            <v:imagedata r:id="rId9" o:title=""/>
          </v:shape>
          <o:OLEObject Type="Embed" ProgID="Equation.3" ShapeID="_x0000_i1025" DrawAspect="Content" ObjectID="_1490175046" r:id="rId10"/>
        </w:object>
      </w:r>
    </w:p>
    <w:p w:rsidR="00D0535D" w:rsidRPr="00D046BC" w:rsidRDefault="00D046BC" w:rsidP="00D0535D">
      <w:pPr>
        <w:overflowPunct/>
        <w:spacing w:after="0"/>
        <w:jc w:val="center"/>
        <w:textAlignment w:val="auto"/>
        <w:rPr>
          <w:rFonts w:ascii="Times New Roman" w:eastAsia="Malgun Gothic" w:hAnsi="Times New Roman"/>
          <w:sz w:val="22"/>
          <w:szCs w:val="22"/>
          <w:lang w:val="en-US" w:eastAsia="sv-SE"/>
        </w:rPr>
      </w:pPr>
      <m:oMathPara>
        <m:oMath>
          <m:r>
            <w:rPr>
              <w:rFonts w:ascii="Cambria Math" w:eastAsia="Malgun Gothic" w:hAnsi="Cambria Math" w:cs="Arial"/>
              <w:lang w:val="en-US" w:eastAsia="sv-SE"/>
            </w:rPr>
            <m:t>R</m:t>
          </m:r>
          <m:d>
            <m:dPr>
              <m:ctrlPr>
                <w:rPr>
                  <w:rFonts w:ascii="Cambria Math" w:eastAsia="Malgun Gothic" w:hAnsi="Cambria Math" w:cs="Arial"/>
                  <w:i/>
                  <w:lang w:val="en-US" w:eastAsia="sv-SE"/>
                </w:rPr>
              </m:ctrlPr>
            </m:dPr>
            <m:e>
              <m:r>
                <w:rPr>
                  <w:rFonts w:ascii="Cambria Math" w:eastAsia="Malgun Gothic" w:hAnsi="Cambria Math" w:cs="Arial"/>
                  <w:lang w:val="en-US" w:eastAsia="sv-SE"/>
                </w:rPr>
                <m:t>τ</m:t>
              </m:r>
            </m:e>
          </m:d>
          <m:r>
            <w:rPr>
              <w:rFonts w:ascii="Cambria Math" w:eastAsia="Malgun Gothic" w:hAnsi="Cambria Math" w:cs="Arial"/>
              <w:lang w:val="en-US" w:eastAsia="sv-SE"/>
            </w:rPr>
            <m:t>=</m:t>
          </m:r>
          <m:nary>
            <m:naryPr>
              <m:chr m:val="∑"/>
              <m:ctrlPr>
                <w:rPr>
                  <w:rFonts w:ascii="Cambria Math" w:eastAsia="Malgun Gothic" w:hAnsi="Cambria Math" w:cs="Arial"/>
                  <w:i/>
                  <w:lang w:val="en-US" w:eastAsia="sv-SE"/>
                </w:rPr>
              </m:ctrlPr>
            </m:naryPr>
            <m:sub>
              <m:r>
                <w:rPr>
                  <w:rFonts w:ascii="Cambria Math" w:eastAsia="Malgun Gothic" w:hAnsi="Cambria Math" w:cs="Arial"/>
                  <w:lang w:val="en-US" w:eastAsia="sv-SE"/>
                </w:rPr>
                <m:t>i=0</m:t>
              </m:r>
            </m:sub>
            <m:sup>
              <m:r>
                <w:rPr>
                  <w:rFonts w:ascii="Cambria Math" w:eastAsia="Malgun Gothic" w:hAnsi="Cambria Math" w:cs="Arial"/>
                  <w:lang w:val="en-US" w:eastAsia="sv-SE"/>
                </w:rPr>
                <m:t>K</m:t>
              </m:r>
            </m:sup>
            <m:e>
              <m:r>
                <w:rPr>
                  <w:rFonts w:ascii="Cambria Math" w:eastAsia="Malgun Gothic" w:hAnsi="Cambria Math" w:cs="Arial"/>
                  <w:lang w:val="en-US" w:eastAsia="sv-SE"/>
                </w:rPr>
                <m:t>y</m:t>
              </m:r>
              <m:d>
                <m:dPr>
                  <m:begChr m:val="["/>
                  <m:endChr m:val="]"/>
                  <m:ctrlPr>
                    <w:rPr>
                      <w:rFonts w:ascii="Cambria Math" w:eastAsia="Malgun Gothic" w:hAnsi="Cambria Math" w:cs="Arial"/>
                      <w:i/>
                      <w:lang w:val="en-US" w:eastAsia="sv-SE"/>
                    </w:rPr>
                  </m:ctrlPr>
                </m:dPr>
                <m:e>
                  <m:r>
                    <w:rPr>
                      <w:rFonts w:ascii="Cambria Math" w:eastAsia="Malgun Gothic" w:hAnsi="Cambria Math" w:cs="Arial"/>
                      <w:lang w:val="en-US" w:eastAsia="sv-SE"/>
                    </w:rPr>
                    <m:t>i</m:t>
                  </m:r>
                </m:e>
              </m:d>
              <m:sSup>
                <m:sSupPr>
                  <m:ctrlPr>
                    <w:rPr>
                      <w:rFonts w:ascii="Cambria Math" w:eastAsia="Malgun Gothic" w:hAnsi="Cambria Math" w:cs="Arial"/>
                      <w:i/>
                      <w:lang w:val="en-US" w:eastAsia="sv-SE"/>
                    </w:rPr>
                  </m:ctrlPr>
                </m:sSupPr>
                <m:e>
                  <m:r>
                    <w:rPr>
                      <w:rFonts w:ascii="Cambria Math" w:eastAsia="Malgun Gothic" w:hAnsi="Cambria Math" w:cs="Arial"/>
                      <w:lang w:val="en-US" w:eastAsia="sv-SE"/>
                    </w:rPr>
                    <m:t>x</m:t>
                  </m:r>
                </m:e>
                <m:sup>
                  <m:r>
                    <w:rPr>
                      <w:rFonts w:ascii="Cambria Math" w:eastAsia="Malgun Gothic" w:hAnsi="Cambria Math" w:cs="Arial"/>
                      <w:lang w:val="en-US" w:eastAsia="sv-SE"/>
                    </w:rPr>
                    <m:t>*</m:t>
                  </m:r>
                </m:sup>
              </m:sSup>
              <m:d>
                <m:dPr>
                  <m:begChr m:val="["/>
                  <m:endChr m:val="]"/>
                  <m:ctrlPr>
                    <w:rPr>
                      <w:rFonts w:ascii="Cambria Math" w:eastAsia="Malgun Gothic" w:hAnsi="Cambria Math" w:cs="Arial"/>
                      <w:i/>
                      <w:lang w:val="en-US" w:eastAsia="sv-SE"/>
                    </w:rPr>
                  </m:ctrlPr>
                </m:dPr>
                <m:e>
                  <m:r>
                    <w:rPr>
                      <w:rFonts w:ascii="Cambria Math" w:eastAsia="Malgun Gothic" w:hAnsi="Cambria Math" w:cs="Arial"/>
                      <w:lang w:val="en-US" w:eastAsia="sv-SE"/>
                    </w:rPr>
                    <m:t>i-τ</m:t>
                  </m:r>
                </m:e>
              </m:d>
            </m:e>
          </m:nary>
          <m:r>
            <w:rPr>
              <w:rFonts w:ascii="Cambria Math" w:eastAsia="Malgun Gothic" w:hAnsi="Cambria Math" w:cs="Arial"/>
              <w:lang w:val="en-US" w:eastAsia="sv-SE"/>
            </w:rPr>
            <m:t>,  (1)</m:t>
          </m:r>
        </m:oMath>
      </m:oMathPara>
    </w:p>
    <w:p w:rsidR="00D0535D" w:rsidRPr="006511C4" w:rsidRDefault="00D0535D" w:rsidP="00D0535D">
      <w:pPr>
        <w:overflowPunct/>
        <w:spacing w:after="0"/>
        <w:textAlignment w:val="auto"/>
        <w:rPr>
          <w:rFonts w:ascii="Times New Roman" w:eastAsia="Malgun Gothic" w:hAnsi="Times New Roman"/>
          <w:sz w:val="22"/>
          <w:szCs w:val="22"/>
          <w:lang w:val="en-US" w:eastAsia="sv-SE"/>
        </w:rPr>
      </w:pPr>
    </w:p>
    <w:p w:rsidR="00D0535D" w:rsidRPr="006511C4" w:rsidRDefault="00D0535D" w:rsidP="00D0535D">
      <w:pPr>
        <w:overflowPunct/>
        <w:spacing w:after="0"/>
        <w:textAlignment w:val="auto"/>
        <w:rPr>
          <w:rFonts w:ascii="Times New Roman" w:eastAsia="Malgun Gothic" w:hAnsi="Times New Roman"/>
          <w:sz w:val="22"/>
          <w:szCs w:val="22"/>
          <w:lang w:val="en-US" w:eastAsia="sv-SE"/>
        </w:rPr>
      </w:pPr>
      <w:proofErr w:type="gramStart"/>
      <w:r w:rsidRPr="006511C4">
        <w:rPr>
          <w:rFonts w:ascii="Times New Roman" w:eastAsia="Malgun Gothic" w:hAnsi="Times New Roman"/>
          <w:sz w:val="22"/>
          <w:szCs w:val="22"/>
          <w:lang w:val="en-US" w:eastAsia="sv-SE"/>
        </w:rPr>
        <w:t>where</w:t>
      </w:r>
      <w:proofErr w:type="gramEnd"/>
      <w:r w:rsidRPr="006511C4">
        <w:rPr>
          <w:rFonts w:ascii="Times New Roman" w:eastAsia="Malgun Gothic" w:hAnsi="Times New Roman"/>
          <w:sz w:val="22"/>
          <w:szCs w:val="22"/>
          <w:lang w:val="en-US" w:eastAsia="sv-SE"/>
        </w:rPr>
        <w:t xml:space="preserve"> </w:t>
      </w:r>
      <w:r w:rsidRPr="006511C4">
        <w:rPr>
          <w:rFonts w:ascii="Times New Roman" w:eastAsia="Malgun Gothic" w:hAnsi="Times New Roman"/>
          <w:i/>
          <w:sz w:val="22"/>
          <w:szCs w:val="22"/>
          <w:lang w:val="en-US" w:eastAsia="sv-SE"/>
        </w:rPr>
        <w:t>K</w:t>
      </w:r>
      <w:r w:rsidRPr="006511C4">
        <w:rPr>
          <w:rFonts w:ascii="Times New Roman" w:eastAsia="Malgun Gothic" w:hAnsi="Times New Roman"/>
          <w:sz w:val="22"/>
          <w:szCs w:val="22"/>
          <w:lang w:val="en-US" w:eastAsia="sv-SE"/>
        </w:rPr>
        <w:t xml:space="preserve"> is the search window for the positioning and *() denotes the complex conjugate. The search window should be large enough to cover all the taps. In our simulation, the </w:t>
      </w:r>
      <w:r w:rsidRPr="006511C4">
        <w:rPr>
          <w:rFonts w:ascii="Times New Roman" w:eastAsia="Malgun Gothic" w:hAnsi="Times New Roman"/>
          <w:i/>
          <w:sz w:val="22"/>
          <w:szCs w:val="22"/>
          <w:lang w:val="en-US" w:eastAsia="sv-SE"/>
        </w:rPr>
        <w:t>K</w:t>
      </w:r>
      <w:r w:rsidRPr="006511C4">
        <w:rPr>
          <w:rFonts w:ascii="Times New Roman" w:eastAsia="Malgun Gothic" w:hAnsi="Times New Roman"/>
          <w:sz w:val="22"/>
          <w:szCs w:val="22"/>
          <w:lang w:val="en-US" w:eastAsia="sv-SE"/>
        </w:rPr>
        <w:t xml:space="preserve"> is chosen to be 4096 which is twice of </w:t>
      </w:r>
      <w:r w:rsidRPr="006511C4">
        <w:rPr>
          <w:rFonts w:ascii="Times New Roman" w:hAnsi="Times New Roman"/>
          <w:sz w:val="22"/>
          <w:szCs w:val="22"/>
        </w:rPr>
        <w:t>our chosen IFFT block size</w:t>
      </w:r>
      <w:r w:rsidRPr="006511C4">
        <w:rPr>
          <w:rFonts w:ascii="Times New Roman" w:eastAsia="Malgun Gothic" w:hAnsi="Times New Roman"/>
          <w:sz w:val="22"/>
          <w:szCs w:val="22"/>
          <w:lang w:val="en-US" w:eastAsia="sv-SE"/>
        </w:rPr>
        <w:t xml:space="preserve">, and was adequate for the studied scenarios. The cross correlation is computed per positioning occasion. In order to make use of multiple positioning occasions, we combine the measurements accordingly </w:t>
      </w:r>
    </w:p>
    <w:p w:rsidR="00D0535D" w:rsidRPr="006511C4" w:rsidRDefault="00D0535D" w:rsidP="00D0535D">
      <w:pPr>
        <w:overflowPunct/>
        <w:spacing w:after="0"/>
        <w:textAlignment w:val="auto"/>
        <w:rPr>
          <w:rFonts w:ascii="Times New Roman" w:eastAsia="Malgun Gothic" w:hAnsi="Times New Roman"/>
          <w:sz w:val="22"/>
          <w:szCs w:val="22"/>
          <w:lang w:val="en-US" w:eastAsia="sv-SE"/>
        </w:rPr>
      </w:pPr>
    </w:p>
    <w:p w:rsidR="00D0535D" w:rsidRPr="00D046BC" w:rsidRDefault="00F70116" w:rsidP="00D0535D">
      <w:pPr>
        <w:overflowPunct/>
        <w:spacing w:after="0"/>
        <w:jc w:val="center"/>
        <w:textAlignment w:val="auto"/>
        <w:rPr>
          <w:rFonts w:ascii="Times New Roman" w:eastAsia="Malgun Gothic" w:hAnsi="Times New Roman"/>
          <w:sz w:val="22"/>
          <w:szCs w:val="22"/>
          <w:lang w:val="en-US" w:eastAsia="sv-SE"/>
        </w:rPr>
      </w:pPr>
      <m:oMathPara>
        <m:oMath>
          <m:sSub>
            <m:sSubPr>
              <m:ctrlPr>
                <w:rPr>
                  <w:rFonts w:ascii="Cambria Math" w:eastAsia="Malgun Gothic" w:hAnsi="Cambria Math" w:cs="Arial"/>
                  <w:i/>
                  <w:lang w:val="en-US" w:eastAsia="sv-SE"/>
                </w:rPr>
              </m:ctrlPr>
            </m:sSubPr>
            <m:e>
              <m:r>
                <w:rPr>
                  <w:rFonts w:ascii="Cambria Math" w:eastAsia="Malgun Gothic" w:hAnsi="Cambria Math" w:cs="Arial"/>
                  <w:lang w:val="en-US" w:eastAsia="sv-SE"/>
                </w:rPr>
                <m:t>R</m:t>
              </m:r>
            </m:e>
            <m:sub>
              <m:r>
                <w:rPr>
                  <w:rFonts w:ascii="Cambria Math" w:eastAsia="Malgun Gothic" w:hAnsi="Cambria Math" w:cs="Arial"/>
                  <w:lang w:val="en-US" w:eastAsia="sv-SE"/>
                </w:rPr>
                <m:t>ave</m:t>
              </m:r>
            </m:sub>
          </m:sSub>
          <m:r>
            <w:rPr>
              <w:rFonts w:ascii="Cambria Math" w:eastAsia="Malgun Gothic" w:hAnsi="Cambria Math" w:cs="Arial"/>
              <w:lang w:val="en-US" w:eastAsia="sv-SE"/>
            </w:rPr>
            <m:t>(τ)=</m:t>
          </m:r>
          <m:f>
            <m:fPr>
              <m:ctrlPr>
                <w:rPr>
                  <w:rFonts w:ascii="Cambria Math" w:eastAsia="Malgun Gothic" w:hAnsi="Cambria Math" w:cs="Arial"/>
                  <w:i/>
                  <w:lang w:val="en-US" w:eastAsia="sv-SE"/>
                </w:rPr>
              </m:ctrlPr>
            </m:fPr>
            <m:num>
              <m:r>
                <w:rPr>
                  <w:rFonts w:ascii="Cambria Math" w:eastAsia="Malgun Gothic" w:hAnsi="Cambria Math" w:cs="Arial"/>
                  <w:lang w:val="en-US" w:eastAsia="sv-SE"/>
                </w:rPr>
                <m:t>1</m:t>
              </m:r>
            </m:num>
            <m:den>
              <m:d>
                <m:dPr>
                  <m:begChr m:val="|"/>
                  <m:endChr m:val="|"/>
                  <m:ctrlPr>
                    <w:rPr>
                      <w:rFonts w:ascii="Cambria Math" w:eastAsia="Malgun Gothic" w:hAnsi="Cambria Math" w:cs="Arial"/>
                      <w:i/>
                      <w:lang w:val="en-US" w:eastAsia="sv-SE"/>
                    </w:rPr>
                  </m:ctrlPr>
                </m:dPr>
                <m:e>
                  <m:r>
                    <w:rPr>
                      <w:rFonts w:ascii="Cambria Math" w:eastAsia="Malgun Gothic" w:hAnsi="Cambria Math" w:cs="Arial"/>
                      <w:lang w:val="en-US" w:eastAsia="sv-SE"/>
                    </w:rPr>
                    <m:t>S</m:t>
                  </m:r>
                </m:e>
              </m:d>
            </m:den>
          </m:f>
          <m:nary>
            <m:naryPr>
              <m:chr m:val="∑"/>
              <m:supHide m:val="1"/>
              <m:ctrlPr>
                <w:rPr>
                  <w:rFonts w:ascii="Cambria Math" w:eastAsia="Malgun Gothic" w:hAnsi="Cambria Math" w:cs="Arial"/>
                  <w:i/>
                  <w:lang w:val="en-US" w:eastAsia="sv-SE"/>
                </w:rPr>
              </m:ctrlPr>
            </m:naryPr>
            <m:sub>
              <m:r>
                <w:rPr>
                  <w:rFonts w:ascii="Cambria Math" w:eastAsia="Malgun Gothic" w:hAnsi="Cambria Math" w:cs="Arial"/>
                  <w:lang w:val="en-US" w:eastAsia="sv-SE"/>
                </w:rPr>
                <m:t>s∈S</m:t>
              </m:r>
            </m:sub>
            <m:sup/>
            <m:e>
              <m:r>
                <w:rPr>
                  <w:rFonts w:ascii="Cambria Math" w:eastAsia="Malgun Gothic" w:hAnsi="Cambria Math" w:cs="Arial"/>
                  <w:lang w:val="en-US" w:eastAsia="sv-SE"/>
                </w:rPr>
                <m:t>|</m:t>
              </m:r>
              <m:sSub>
                <m:sSubPr>
                  <m:ctrlPr>
                    <w:rPr>
                      <w:rFonts w:ascii="Cambria Math" w:eastAsia="Malgun Gothic" w:hAnsi="Cambria Math" w:cs="Arial"/>
                      <w:i/>
                      <w:lang w:val="en-US" w:eastAsia="sv-SE"/>
                    </w:rPr>
                  </m:ctrlPr>
                </m:sSubPr>
                <m:e>
                  <m:r>
                    <w:rPr>
                      <w:rFonts w:ascii="Cambria Math" w:eastAsia="Malgun Gothic" w:hAnsi="Cambria Math" w:cs="Arial"/>
                      <w:lang w:val="en-US" w:eastAsia="sv-SE"/>
                    </w:rPr>
                    <m:t>R</m:t>
                  </m:r>
                </m:e>
                <m:sub>
                  <m:r>
                    <w:rPr>
                      <w:rFonts w:ascii="Cambria Math" w:eastAsia="Malgun Gothic" w:hAnsi="Cambria Math" w:cs="Arial"/>
                      <w:lang w:val="en-US" w:eastAsia="sv-SE"/>
                    </w:rPr>
                    <m:t>s</m:t>
                  </m:r>
                </m:sub>
              </m:sSub>
              <m:r>
                <w:rPr>
                  <w:rFonts w:ascii="Cambria Math" w:eastAsia="Malgun Gothic" w:hAnsi="Cambria Math" w:cs="Arial"/>
                  <w:lang w:val="en-US" w:eastAsia="sv-SE"/>
                </w:rPr>
                <m:t>(τ)</m:t>
              </m:r>
            </m:e>
          </m:nary>
          <m:r>
            <w:rPr>
              <w:rFonts w:ascii="Cambria Math" w:eastAsia="Malgun Gothic" w:hAnsi="Cambria Math" w:cs="Arial"/>
              <w:lang w:val="en-US" w:eastAsia="sv-SE"/>
            </w:rPr>
            <m:t>|,  (2)</m:t>
          </m:r>
        </m:oMath>
      </m:oMathPara>
    </w:p>
    <w:p w:rsidR="00D0535D" w:rsidRPr="006511C4" w:rsidRDefault="00D0535D" w:rsidP="00D0535D">
      <w:pPr>
        <w:overflowPunct/>
        <w:spacing w:after="0"/>
        <w:textAlignment w:val="auto"/>
        <w:rPr>
          <w:rFonts w:ascii="Times New Roman" w:eastAsia="Malgun Gothic" w:hAnsi="Times New Roman"/>
          <w:sz w:val="22"/>
          <w:szCs w:val="22"/>
          <w:lang w:val="en-US" w:eastAsia="sv-SE"/>
        </w:rPr>
      </w:pPr>
    </w:p>
    <w:p w:rsidR="00D0535D" w:rsidRPr="0032164D" w:rsidRDefault="00D0535D" w:rsidP="00D0535D">
      <w:pPr>
        <w:overflowPunct/>
        <w:spacing w:after="0"/>
        <w:textAlignment w:val="auto"/>
        <w:rPr>
          <w:rFonts w:ascii="Times New Roman" w:hAnsi="Times New Roman"/>
          <w:sz w:val="22"/>
          <w:szCs w:val="22"/>
        </w:rPr>
      </w:pPr>
      <w:proofErr w:type="gramStart"/>
      <w:r w:rsidRPr="006511C4">
        <w:rPr>
          <w:rFonts w:ascii="Times New Roman" w:eastAsia="Malgun Gothic" w:hAnsi="Times New Roman"/>
          <w:sz w:val="22"/>
          <w:szCs w:val="22"/>
          <w:lang w:val="en-US" w:eastAsia="sv-SE"/>
        </w:rPr>
        <w:t>where</w:t>
      </w:r>
      <w:proofErr w:type="gramEnd"/>
      <w:r w:rsidRPr="006511C4">
        <w:rPr>
          <w:rFonts w:ascii="Times New Roman" w:eastAsia="Malgun Gothic" w:hAnsi="Times New Roman"/>
          <w:sz w:val="22"/>
          <w:szCs w:val="22"/>
          <w:lang w:val="en-US" w:eastAsia="sv-SE"/>
        </w:rPr>
        <w:t xml:space="preserve"> </w:t>
      </w:r>
      <w:r w:rsidRPr="006511C4">
        <w:rPr>
          <w:rFonts w:ascii="Times New Roman" w:eastAsia="Malgun Gothic" w:hAnsi="Times New Roman"/>
          <w:i/>
          <w:sz w:val="22"/>
          <w:szCs w:val="22"/>
          <w:lang w:val="en-US" w:eastAsia="sv-SE"/>
        </w:rPr>
        <w:t>S</w:t>
      </w:r>
      <w:r w:rsidRPr="006511C4">
        <w:rPr>
          <w:rFonts w:ascii="Times New Roman" w:eastAsia="Malgun Gothic" w:hAnsi="Times New Roman"/>
          <w:sz w:val="22"/>
          <w:szCs w:val="22"/>
          <w:lang w:val="en-US" w:eastAsia="sv-SE"/>
        </w:rPr>
        <w:t xml:space="preserve"> is the set of cross correlation estimates, and S is constrained by the number of receiver antennas and the number of positioning occasions. </w:t>
      </w:r>
      <w:r w:rsidRPr="006511C4">
        <w:rPr>
          <w:rFonts w:ascii="Times New Roman" w:hAnsi="Times New Roman"/>
          <w:sz w:val="22"/>
          <w:szCs w:val="22"/>
        </w:rPr>
        <w:t xml:space="preserve">The PRS configuration can be seen as a trade-off between performance and cost. Also, configurations with similar costs can correspond to different performance. For example, a configuration with multiple consecutive PRS subframes and sparse PRS occasions can imply the same cost as a configuration with one PRS subframe and dense PRS occasions. In </w:t>
      </w:r>
      <w:r w:rsidR="00D046BC">
        <w:rPr>
          <w:rFonts w:ascii="Times New Roman" w:hAnsi="Times New Roman"/>
          <w:sz w:val="22"/>
          <w:szCs w:val="22"/>
        </w:rPr>
        <w:t>our baseline evaluation study [1]</w:t>
      </w:r>
      <w:proofErr w:type="gramStart"/>
      <w:r w:rsidR="00D046BC">
        <w:rPr>
          <w:rFonts w:ascii="Times New Roman" w:hAnsi="Times New Roman"/>
          <w:sz w:val="22"/>
          <w:szCs w:val="22"/>
        </w:rPr>
        <w:t xml:space="preserve">, </w:t>
      </w:r>
      <w:r w:rsidRPr="006511C4">
        <w:rPr>
          <w:rFonts w:ascii="Times New Roman" w:hAnsi="Times New Roman"/>
          <w:sz w:val="22"/>
          <w:szCs w:val="22"/>
        </w:rPr>
        <w:t xml:space="preserve"> we</w:t>
      </w:r>
      <w:proofErr w:type="gramEnd"/>
      <w:r w:rsidRPr="006511C4">
        <w:rPr>
          <w:rFonts w:ascii="Times New Roman" w:hAnsi="Times New Roman"/>
          <w:sz w:val="22"/>
          <w:szCs w:val="22"/>
        </w:rPr>
        <w:t xml:space="preserve"> consider the latter kind of configuration with one PRS subframe and a PRS occasion periodicity of 160</w:t>
      </w:r>
      <w:r w:rsidR="00D046BC">
        <w:rPr>
          <w:rFonts w:ascii="Times New Roman" w:hAnsi="Times New Roman"/>
          <w:sz w:val="22"/>
          <w:szCs w:val="22"/>
        </w:rPr>
        <w:t xml:space="preserve"> </w:t>
      </w:r>
      <w:proofErr w:type="spellStart"/>
      <w:r w:rsidRPr="006511C4">
        <w:rPr>
          <w:rFonts w:ascii="Times New Roman" w:hAnsi="Times New Roman"/>
          <w:sz w:val="22"/>
          <w:szCs w:val="22"/>
        </w:rPr>
        <w:t>ms</w:t>
      </w:r>
      <w:proofErr w:type="spellEnd"/>
      <w:r w:rsidRPr="006511C4">
        <w:rPr>
          <w:rFonts w:ascii="Times New Roman" w:hAnsi="Times New Roman"/>
          <w:sz w:val="22"/>
          <w:szCs w:val="22"/>
        </w:rPr>
        <w:t>. The UE requirements stipulates the use of data from 16 PRS occasions [ref TS 36.133, Section 8.1.2.5], and even though the UE is free to use more PRS occasions for the timing estimation, we consider 8 PRS occasions in the receiver model.</w:t>
      </w:r>
      <w:r w:rsidRPr="006511C4">
        <w:rPr>
          <w:rFonts w:ascii="Times New Roman" w:eastAsia="Malgun Gothic" w:hAnsi="Times New Roman"/>
          <w:sz w:val="22"/>
          <w:szCs w:val="22"/>
          <w:lang w:val="en-US" w:eastAsia="sv-SE"/>
        </w:rPr>
        <w:t xml:space="preserve"> Finally, the first tap is estimated with the predetermined threshold value as:</w:t>
      </w:r>
    </w:p>
    <w:p w:rsidR="00D0535D" w:rsidRPr="006511C4" w:rsidRDefault="00D0535D" w:rsidP="00D0535D">
      <w:pPr>
        <w:overflowPunct/>
        <w:spacing w:after="0"/>
        <w:textAlignment w:val="auto"/>
        <w:rPr>
          <w:rFonts w:ascii="Times New Roman" w:eastAsia="Malgun Gothic" w:hAnsi="Times New Roman"/>
          <w:sz w:val="22"/>
          <w:szCs w:val="22"/>
          <w:lang w:val="en-US" w:eastAsia="sv-SE"/>
        </w:rPr>
      </w:pPr>
    </w:p>
    <w:p w:rsidR="00D0535D" w:rsidRPr="00C044AC" w:rsidRDefault="00F70116" w:rsidP="00D0535D">
      <w:pPr>
        <w:overflowPunct/>
        <w:spacing w:after="0"/>
        <w:jc w:val="center"/>
        <w:textAlignment w:val="auto"/>
        <w:rPr>
          <w:rFonts w:ascii="Times New Roman" w:eastAsia="Malgun Gothic" w:hAnsi="Times New Roman"/>
          <w:lang w:val="en-US" w:eastAsia="sv-SE"/>
        </w:rPr>
      </w:pPr>
      <m:oMathPara>
        <m:oMath>
          <m:acc>
            <m:accPr>
              <m:ctrlPr>
                <w:rPr>
                  <w:rFonts w:ascii="Cambria Math" w:eastAsia="Malgun Gothic" w:hAnsi="Cambria Math" w:cs="Arial"/>
                  <w:i/>
                  <w:lang w:val="en-US" w:eastAsia="sv-SE"/>
                </w:rPr>
              </m:ctrlPr>
            </m:accPr>
            <m:e>
              <m:r>
                <w:rPr>
                  <w:rFonts w:ascii="Cambria Math" w:eastAsia="Malgun Gothic" w:hAnsi="Cambria Math" w:cs="Arial"/>
                  <w:lang w:val="en-US" w:eastAsia="sv-SE"/>
                </w:rPr>
                <m:t>τ</m:t>
              </m:r>
            </m:e>
          </m:acc>
          <m:r>
            <w:rPr>
              <w:rFonts w:ascii="Cambria Math" w:eastAsia="Malgun Gothic" w:hAnsi="Cambria Math" w:cs="Arial"/>
              <w:lang w:val="en-US" w:eastAsia="sv-SE"/>
            </w:rPr>
            <m:t>=</m:t>
          </m:r>
          <m:func>
            <m:funcPr>
              <m:ctrlPr>
                <w:rPr>
                  <w:rFonts w:ascii="Cambria Math" w:eastAsia="Malgun Gothic" w:hAnsi="Cambria Math" w:cs="Arial"/>
                  <w:i/>
                  <w:lang w:val="en-US" w:eastAsia="sv-SE"/>
                </w:rPr>
              </m:ctrlPr>
            </m:funcPr>
            <m:fName>
              <m:r>
                <m:rPr>
                  <m:sty m:val="p"/>
                </m:rPr>
                <w:rPr>
                  <w:rFonts w:ascii="Cambria Math" w:eastAsia="Malgun Gothic" w:hAnsi="Cambria Math" w:cs="Arial"/>
                  <w:lang w:val="en-US" w:eastAsia="sv-SE"/>
                </w:rPr>
                <m:t>arg</m:t>
              </m:r>
            </m:fName>
            <m:e>
              <m:func>
                <m:funcPr>
                  <m:ctrlPr>
                    <w:rPr>
                      <w:rFonts w:ascii="Cambria Math" w:eastAsia="Malgun Gothic" w:hAnsi="Cambria Math" w:cs="Arial"/>
                      <w:i/>
                      <w:lang w:val="en-US" w:eastAsia="sv-SE"/>
                    </w:rPr>
                  </m:ctrlPr>
                </m:funcPr>
                <m:fName>
                  <m:r>
                    <m:rPr>
                      <m:sty m:val="p"/>
                    </m:rPr>
                    <w:rPr>
                      <w:rFonts w:ascii="Cambria Math" w:eastAsia="Malgun Gothic" w:hAnsi="Cambria Math" w:cs="Arial"/>
                      <w:lang w:val="en-US" w:eastAsia="sv-SE"/>
                    </w:rPr>
                    <m:t>min</m:t>
                  </m:r>
                </m:fName>
                <m:e>
                  <m:r>
                    <w:rPr>
                      <w:rFonts w:ascii="Cambria Math" w:eastAsia="Malgun Gothic" w:hAnsi="Cambria Math" w:cs="Arial"/>
                      <w:lang w:val="en-US" w:eastAsia="sv-SE"/>
                    </w:rPr>
                    <m:t>{</m:t>
                  </m:r>
                  <m:f>
                    <m:fPr>
                      <m:ctrlPr>
                        <w:rPr>
                          <w:rFonts w:ascii="Cambria Math" w:eastAsia="Malgun Gothic" w:hAnsi="Cambria Math" w:cs="Arial"/>
                          <w:i/>
                          <w:lang w:val="en-US" w:eastAsia="sv-SE"/>
                        </w:rPr>
                      </m:ctrlPr>
                    </m:fPr>
                    <m:num>
                      <m:sSub>
                        <m:sSubPr>
                          <m:ctrlPr>
                            <w:rPr>
                              <w:rFonts w:ascii="Cambria Math" w:eastAsia="Malgun Gothic" w:hAnsi="Cambria Math" w:cs="Arial"/>
                              <w:i/>
                              <w:lang w:val="en-US" w:eastAsia="sv-SE"/>
                            </w:rPr>
                          </m:ctrlPr>
                        </m:sSubPr>
                        <m:e>
                          <m:r>
                            <w:rPr>
                              <w:rFonts w:ascii="Cambria Math" w:eastAsia="Malgun Gothic" w:hAnsi="Cambria Math" w:cs="Arial"/>
                              <w:lang w:val="en-US" w:eastAsia="sv-SE"/>
                            </w:rPr>
                            <m:t>R</m:t>
                          </m:r>
                        </m:e>
                        <m:sub>
                          <m:r>
                            <w:rPr>
                              <w:rFonts w:ascii="Cambria Math" w:eastAsia="Malgun Gothic" w:hAnsi="Cambria Math" w:cs="Arial"/>
                              <w:lang w:val="en-US" w:eastAsia="sv-SE"/>
                            </w:rPr>
                            <m:t>ave</m:t>
                          </m:r>
                        </m:sub>
                      </m:sSub>
                      <m:d>
                        <m:dPr>
                          <m:ctrlPr>
                            <w:rPr>
                              <w:rFonts w:ascii="Cambria Math" w:eastAsia="Malgun Gothic" w:hAnsi="Cambria Math" w:cs="Arial"/>
                              <w:i/>
                              <w:lang w:val="en-US" w:eastAsia="sv-SE"/>
                            </w:rPr>
                          </m:ctrlPr>
                        </m:dPr>
                        <m:e>
                          <m:r>
                            <w:rPr>
                              <w:rFonts w:ascii="Cambria Math" w:eastAsia="Malgun Gothic" w:hAnsi="Cambria Math" w:cs="Arial"/>
                              <w:lang w:val="en-US" w:eastAsia="sv-SE"/>
                            </w:rPr>
                            <m:t>τ</m:t>
                          </m:r>
                        </m:e>
                      </m:d>
                    </m:num>
                    <m:den>
                      <m:func>
                        <m:funcPr>
                          <m:ctrlPr>
                            <w:rPr>
                              <w:rFonts w:ascii="Cambria Math" w:eastAsia="Malgun Gothic" w:hAnsi="Cambria Math" w:cs="Arial"/>
                              <w:i/>
                              <w:lang w:val="en-US" w:eastAsia="sv-SE"/>
                            </w:rPr>
                          </m:ctrlPr>
                        </m:funcPr>
                        <m:fName>
                          <m:r>
                            <m:rPr>
                              <m:sty m:val="p"/>
                            </m:rPr>
                            <w:rPr>
                              <w:rFonts w:ascii="Cambria Math" w:eastAsia="Malgun Gothic" w:hAnsi="Cambria Math" w:cs="Arial"/>
                              <w:lang w:val="en-US" w:eastAsia="sv-SE"/>
                            </w:rPr>
                            <m:t>max</m:t>
                          </m:r>
                        </m:fName>
                        <m:e>
                          <m:d>
                            <m:dPr>
                              <m:begChr m:val="{"/>
                              <m:endChr m:val="}"/>
                              <m:ctrlPr>
                                <w:rPr>
                                  <w:rFonts w:ascii="Cambria Math" w:eastAsia="Malgun Gothic" w:hAnsi="Cambria Math" w:cs="Arial"/>
                                  <w:i/>
                                  <w:lang w:val="en-US" w:eastAsia="sv-SE"/>
                                </w:rPr>
                              </m:ctrlPr>
                            </m:dPr>
                            <m:e>
                              <m:sSub>
                                <m:sSubPr>
                                  <m:ctrlPr>
                                    <w:rPr>
                                      <w:rFonts w:ascii="Cambria Math" w:eastAsia="Malgun Gothic" w:hAnsi="Cambria Math" w:cs="Arial"/>
                                      <w:i/>
                                      <w:lang w:val="en-US" w:eastAsia="sv-SE"/>
                                    </w:rPr>
                                  </m:ctrlPr>
                                </m:sSubPr>
                                <m:e>
                                  <m:r>
                                    <w:rPr>
                                      <w:rFonts w:ascii="Cambria Math" w:eastAsia="Malgun Gothic" w:hAnsi="Cambria Math" w:cs="Arial"/>
                                      <w:lang w:val="en-US" w:eastAsia="sv-SE"/>
                                    </w:rPr>
                                    <m:t>R</m:t>
                                  </m:r>
                                </m:e>
                                <m:sub>
                                  <m:r>
                                    <w:rPr>
                                      <w:rFonts w:ascii="Cambria Math" w:eastAsia="Malgun Gothic" w:hAnsi="Cambria Math" w:cs="Arial"/>
                                      <w:lang w:val="en-US" w:eastAsia="sv-SE"/>
                                    </w:rPr>
                                    <m:t>ave</m:t>
                                  </m:r>
                                </m:sub>
                              </m:sSub>
                            </m:e>
                          </m:d>
                        </m:e>
                      </m:func>
                    </m:den>
                  </m:f>
                  <m:r>
                    <w:rPr>
                      <w:rFonts w:ascii="Cambria Math" w:eastAsia="Malgun Gothic" w:hAnsi="Cambria Math" w:cs="Arial"/>
                      <w:lang w:val="en-US" w:eastAsia="sv-SE"/>
                    </w:rPr>
                    <m:t>≥ ε}</m:t>
                  </m:r>
                </m:e>
              </m:func>
              <m:r>
                <w:rPr>
                  <w:rFonts w:ascii="Cambria Math" w:eastAsia="Malgun Gothic" w:hAnsi="Cambria Math" w:cs="Arial"/>
                  <w:lang w:val="en-US" w:eastAsia="sv-SE"/>
                </w:rPr>
                <m:t>. (3)</m:t>
              </m:r>
            </m:e>
          </m:func>
        </m:oMath>
      </m:oMathPara>
    </w:p>
    <w:p w:rsidR="00C044AC" w:rsidRDefault="00C044AC" w:rsidP="00C044AC">
      <w:pPr>
        <w:overflowPunct/>
        <w:spacing w:after="0"/>
        <w:textAlignment w:val="auto"/>
        <w:rPr>
          <w:rFonts w:ascii="Times New Roman" w:eastAsia="Malgun Gothic" w:hAnsi="Times New Roman"/>
          <w:sz w:val="22"/>
          <w:szCs w:val="22"/>
          <w:lang w:val="en-US" w:eastAsia="sv-SE"/>
        </w:rPr>
      </w:pPr>
    </w:p>
    <w:p w:rsidR="00C044AC" w:rsidRPr="006511C4" w:rsidRDefault="00C044AC" w:rsidP="00C044AC">
      <w:pPr>
        <w:overflowPunct/>
        <w:spacing w:after="0"/>
        <w:textAlignment w:val="auto"/>
        <w:rPr>
          <w:rFonts w:ascii="Times New Roman" w:eastAsia="Malgun Gothic" w:hAnsi="Times New Roman"/>
          <w:sz w:val="22"/>
          <w:szCs w:val="22"/>
          <w:lang w:val="en-US" w:eastAsia="sv-SE"/>
        </w:rPr>
      </w:pPr>
      <w:r w:rsidRPr="006511C4">
        <w:rPr>
          <w:rFonts w:ascii="Times New Roman" w:eastAsia="Malgun Gothic" w:hAnsi="Times New Roman"/>
          <w:sz w:val="22"/>
          <w:szCs w:val="22"/>
          <w:lang w:val="en-US" w:eastAsia="sv-SE"/>
        </w:rPr>
        <w:t xml:space="preserve">The threshold value </w:t>
      </w:r>
      <m:oMath>
        <m:r>
          <w:rPr>
            <w:rFonts w:ascii="Cambria Math" w:eastAsia="Malgun Gothic" w:hAnsi="Cambria Math" w:cs="Arial"/>
            <w:lang w:val="en-US" w:eastAsia="sv-SE"/>
          </w:rPr>
          <m:t>ε</m:t>
        </m:r>
      </m:oMath>
      <w:r w:rsidRPr="006511C4">
        <w:rPr>
          <w:rFonts w:ascii="Times New Roman" w:eastAsia="Malgun Gothic" w:hAnsi="Times New Roman"/>
          <w:sz w:val="22"/>
          <w:szCs w:val="22"/>
          <w:lang w:val="en-US" w:eastAsia="sv-SE"/>
        </w:rPr>
        <w:t xml:space="preserve"> has to be carefully chosen when considering the multipath propagation. In the simulation set-up of this contribution, we do not optimize the threshold value. </w:t>
      </w:r>
      <w:r>
        <w:rPr>
          <w:rFonts w:ascii="Times New Roman" w:eastAsia="Malgun Gothic" w:hAnsi="Times New Roman"/>
          <w:sz w:val="22"/>
          <w:szCs w:val="22"/>
          <w:lang w:val="en-US" w:eastAsia="sv-SE"/>
        </w:rPr>
        <w:t xml:space="preserve">Depending on the choice of PRS interference scenario (ideal muting and no muting [1]) one of these threshold values are considered in (3): </w:t>
      </w:r>
    </w:p>
    <w:p w:rsidR="00C044AC" w:rsidRPr="006511C4" w:rsidRDefault="00C044AC" w:rsidP="00C044AC">
      <w:pPr>
        <w:overflowPunct/>
        <w:spacing w:after="0"/>
        <w:textAlignment w:val="auto"/>
        <w:rPr>
          <w:rFonts w:ascii="Times New Roman" w:eastAsia="Malgun Gothic" w:hAnsi="Times New Roman"/>
          <w:sz w:val="22"/>
          <w:szCs w:val="22"/>
          <w:lang w:val="en-US" w:eastAsia="sv-SE"/>
        </w:rPr>
      </w:pPr>
    </w:p>
    <w:p w:rsidR="00C044AC" w:rsidRPr="006511C4" w:rsidRDefault="00C044AC" w:rsidP="00C044AC">
      <w:pPr>
        <w:pStyle w:val="ListParagraph"/>
        <w:numPr>
          <w:ilvl w:val="0"/>
          <w:numId w:val="30"/>
        </w:numPr>
        <w:rPr>
          <w:rFonts w:ascii="Times New Roman" w:eastAsia="Malgun Gothic" w:hAnsi="Times New Roman" w:cs="Times New Roman"/>
          <w:lang w:eastAsia="sv-SE"/>
        </w:rPr>
      </w:pPr>
      <w:r>
        <w:rPr>
          <w:rFonts w:ascii="Times New Roman" w:eastAsia="Malgun Gothic" w:hAnsi="Times New Roman" w:cs="Times New Roman"/>
          <w:lang w:eastAsia="sv-SE"/>
        </w:rPr>
        <w:t xml:space="preserve"> </w:t>
      </w:r>
      <m:oMath>
        <m:r>
          <w:rPr>
            <w:rFonts w:ascii="Cambria Math" w:eastAsia="Malgun Gothic" w:hAnsi="Cambria Math" w:cs="Arial"/>
            <w:lang w:eastAsia="sv-SE"/>
          </w:rPr>
          <m:t>ε=0.5</m:t>
        </m:r>
      </m:oMath>
      <w:r w:rsidRPr="006511C4">
        <w:rPr>
          <w:rFonts w:ascii="Times New Roman" w:eastAsia="Malgun Gothic" w:hAnsi="Times New Roman" w:cs="Times New Roman"/>
          <w:lang w:eastAsia="sv-SE"/>
        </w:rPr>
        <w:t xml:space="preserve"> </w:t>
      </w:r>
      <w:proofErr w:type="gramStart"/>
      <w:r w:rsidRPr="006511C4">
        <w:rPr>
          <w:rFonts w:ascii="Times New Roman" w:eastAsia="Malgun Gothic" w:hAnsi="Times New Roman" w:cs="Times New Roman"/>
          <w:lang w:eastAsia="sv-SE"/>
        </w:rPr>
        <w:t>for</w:t>
      </w:r>
      <w:proofErr w:type="gramEnd"/>
      <w:r w:rsidRPr="006511C4">
        <w:rPr>
          <w:rFonts w:ascii="Times New Roman" w:eastAsia="Malgun Gothic" w:hAnsi="Times New Roman" w:cs="Times New Roman"/>
          <w:lang w:eastAsia="sv-SE"/>
        </w:rPr>
        <w:t xml:space="preserve"> the ideal muting case, which implies that the first-tap is estimated as the earliest tap that is at least half as strong as the highest peak. </w:t>
      </w:r>
    </w:p>
    <w:p w:rsidR="00C044AC" w:rsidRPr="006511C4" w:rsidRDefault="00C044AC" w:rsidP="00C044AC">
      <w:pPr>
        <w:pStyle w:val="ListParagraph"/>
        <w:numPr>
          <w:ilvl w:val="0"/>
          <w:numId w:val="30"/>
        </w:numPr>
        <w:rPr>
          <w:rFonts w:ascii="Times New Roman" w:eastAsia="Malgun Gothic" w:hAnsi="Times New Roman" w:cs="Times New Roman"/>
          <w:lang w:eastAsia="sv-SE"/>
        </w:rPr>
      </w:pPr>
      <w:r>
        <w:rPr>
          <w:rFonts w:ascii="Times New Roman" w:eastAsia="Malgun Gothic" w:hAnsi="Times New Roman" w:cs="Times New Roman"/>
          <w:lang w:eastAsia="sv-SE"/>
        </w:rPr>
        <w:t xml:space="preserve"> </w:t>
      </w:r>
      <m:oMath>
        <m:r>
          <w:rPr>
            <w:rFonts w:ascii="Cambria Math" w:eastAsia="Malgun Gothic" w:hAnsi="Cambria Math" w:cs="Arial"/>
            <w:lang w:eastAsia="sv-SE"/>
          </w:rPr>
          <m:t xml:space="preserve">ε=1 </m:t>
        </m:r>
      </m:oMath>
      <w:proofErr w:type="gramStart"/>
      <w:r w:rsidRPr="006511C4">
        <w:rPr>
          <w:rFonts w:ascii="Times New Roman" w:eastAsia="Malgun Gothic" w:hAnsi="Times New Roman" w:cs="Times New Roman"/>
          <w:lang w:eastAsia="sv-SE"/>
        </w:rPr>
        <w:t>for</w:t>
      </w:r>
      <w:proofErr w:type="gramEnd"/>
      <w:r w:rsidRPr="006511C4">
        <w:rPr>
          <w:rFonts w:ascii="Times New Roman" w:eastAsia="Malgun Gothic" w:hAnsi="Times New Roman" w:cs="Times New Roman"/>
          <w:lang w:eastAsia="sv-SE"/>
        </w:rPr>
        <w:t xml:space="preserve"> the no muting case, which implies that the first-tap is estimated as the strongest peak.</w:t>
      </w:r>
    </w:p>
    <w:p w:rsidR="00585D05" w:rsidRPr="005B4A5E" w:rsidRDefault="0032164D" w:rsidP="00585D05">
      <w:pPr>
        <w:rPr>
          <w:rFonts w:ascii="Times New Roman" w:hAnsi="Times New Roman"/>
          <w:b/>
          <w:bCs/>
        </w:rPr>
      </w:pPr>
      <w:r w:rsidRPr="006511C4">
        <w:rPr>
          <w:rFonts w:ascii="Times New Roman" w:eastAsia="Malgun Gothic" w:hAnsi="Times New Roman"/>
          <w:sz w:val="22"/>
          <w:szCs w:val="22"/>
          <w:lang w:val="en-US" w:eastAsia="sv-SE"/>
        </w:rPr>
        <w:t xml:space="preserve">Furthermore, we add the constraint on the time estimate that </w:t>
      </w:r>
      <m:oMath>
        <m:sSub>
          <m:sSubPr>
            <m:ctrlPr>
              <w:rPr>
                <w:rFonts w:ascii="Cambria Math" w:eastAsia="Malgun Gothic" w:hAnsi="Cambria Math" w:cs="Arial"/>
                <w:i/>
                <w:lang w:val="en-US" w:eastAsia="sv-SE"/>
              </w:rPr>
            </m:ctrlPr>
          </m:sSubPr>
          <m:e>
            <m:r>
              <w:rPr>
                <w:rFonts w:ascii="Cambria Math" w:eastAsia="Malgun Gothic" w:hAnsi="Cambria Math" w:cs="Arial"/>
                <w:lang w:val="en-US" w:eastAsia="sv-SE"/>
              </w:rPr>
              <m:t>R</m:t>
            </m:r>
          </m:e>
          <m:sub>
            <m:r>
              <w:rPr>
                <w:rFonts w:ascii="Cambria Math" w:eastAsia="Malgun Gothic" w:hAnsi="Cambria Math" w:cs="Arial"/>
                <w:lang w:val="en-US" w:eastAsia="sv-SE"/>
              </w:rPr>
              <m:t>ave</m:t>
            </m:r>
          </m:sub>
        </m:sSub>
        <m:d>
          <m:dPr>
            <m:ctrlPr>
              <w:rPr>
                <w:rFonts w:ascii="Cambria Math" w:eastAsia="Malgun Gothic" w:hAnsi="Cambria Math" w:cs="Arial"/>
                <w:i/>
                <w:lang w:val="en-US" w:eastAsia="sv-SE"/>
              </w:rPr>
            </m:ctrlPr>
          </m:dPr>
          <m:e>
            <m:acc>
              <m:accPr>
                <m:ctrlPr>
                  <w:rPr>
                    <w:rFonts w:ascii="Cambria Math" w:eastAsia="Malgun Gothic" w:hAnsi="Cambria Math" w:cs="Arial"/>
                    <w:i/>
                    <w:lang w:val="en-US" w:eastAsia="sv-SE"/>
                  </w:rPr>
                </m:ctrlPr>
              </m:accPr>
              <m:e>
                <m:r>
                  <w:rPr>
                    <w:rFonts w:ascii="Cambria Math" w:eastAsia="Malgun Gothic" w:hAnsi="Cambria Math" w:cs="Arial"/>
                    <w:lang w:val="en-US" w:eastAsia="sv-SE"/>
                  </w:rPr>
                  <m:t>τ</m:t>
                </m:r>
              </m:e>
            </m:acc>
          </m:e>
        </m:d>
      </m:oMath>
      <w:r w:rsidRPr="006511C4">
        <w:rPr>
          <w:rFonts w:ascii="Times New Roman" w:eastAsia="Malgun Gothic" w:hAnsi="Times New Roman"/>
          <w:sz w:val="22"/>
          <w:szCs w:val="22"/>
          <w:lang w:val="en-US" w:eastAsia="sv-SE"/>
        </w:rPr>
        <w:t xml:space="preserve"> should have a negative derivative; this is to make sure that we have found the top of the correlation peak.</w:t>
      </w:r>
    </w:p>
    <w:p w:rsidR="00BA6096" w:rsidRDefault="00BA6096" w:rsidP="00585D05">
      <w:pPr>
        <w:rPr>
          <w:rFonts w:ascii="Times New Roman" w:hAnsi="Times New Roman"/>
          <w:b/>
          <w:bCs/>
        </w:rPr>
      </w:pPr>
    </w:p>
    <w:p w:rsidR="00585D05" w:rsidRDefault="00585D05" w:rsidP="00585D05">
      <w:pPr>
        <w:rPr>
          <w:rFonts w:ascii="Times New Roman" w:hAnsi="Times New Roman"/>
          <w:b/>
          <w:bCs/>
        </w:rPr>
      </w:pPr>
      <w:r w:rsidRPr="005B4A5E">
        <w:rPr>
          <w:rFonts w:ascii="Times New Roman" w:hAnsi="Times New Roman"/>
          <w:b/>
          <w:bCs/>
        </w:rPr>
        <w:t>Proposal</w:t>
      </w:r>
      <w:r w:rsidR="00AE517D">
        <w:rPr>
          <w:rFonts w:ascii="Times New Roman" w:hAnsi="Times New Roman"/>
          <w:b/>
          <w:bCs/>
        </w:rPr>
        <w:t xml:space="preserve"> </w:t>
      </w:r>
      <w:r w:rsidR="00EB2209">
        <w:rPr>
          <w:rFonts w:ascii="Times New Roman" w:hAnsi="Times New Roman"/>
          <w:b/>
          <w:bCs/>
        </w:rPr>
        <w:t>1</w:t>
      </w:r>
      <w:r w:rsidRPr="005B4A5E">
        <w:rPr>
          <w:rFonts w:ascii="Times New Roman" w:hAnsi="Times New Roman"/>
          <w:b/>
          <w:bCs/>
        </w:rPr>
        <w:t xml:space="preserve">: The baseline performance results should be accompanied by the </w:t>
      </w:r>
      <w:r w:rsidR="00EB2209">
        <w:rPr>
          <w:rFonts w:ascii="Times New Roman" w:hAnsi="Times New Roman"/>
          <w:b/>
          <w:bCs/>
        </w:rPr>
        <w:t>description of</w:t>
      </w:r>
      <w:r w:rsidRPr="005B4A5E">
        <w:rPr>
          <w:rFonts w:ascii="Times New Roman" w:hAnsi="Times New Roman"/>
          <w:b/>
          <w:bCs/>
        </w:rPr>
        <w:t xml:space="preserve"> the UE receiver</w:t>
      </w:r>
      <w:r w:rsidR="00476DD6">
        <w:rPr>
          <w:rFonts w:ascii="Times New Roman" w:hAnsi="Times New Roman"/>
          <w:b/>
          <w:bCs/>
        </w:rPr>
        <w:t xml:space="preserve"> model</w:t>
      </w:r>
      <w:r w:rsidRPr="005B4A5E">
        <w:rPr>
          <w:rFonts w:ascii="Times New Roman" w:hAnsi="Times New Roman"/>
          <w:b/>
          <w:bCs/>
        </w:rPr>
        <w:t xml:space="preserve">. </w:t>
      </w:r>
    </w:p>
    <w:p w:rsidR="00B82E3B" w:rsidRPr="0032164D" w:rsidRDefault="00B82E3B" w:rsidP="00B82E3B">
      <w:pPr>
        <w:rPr>
          <w:rFonts w:ascii="Times New Roman" w:hAnsi="Times New Roman"/>
          <w:b/>
          <w:bCs/>
        </w:rPr>
      </w:pPr>
      <w:r w:rsidRPr="005B4A5E">
        <w:rPr>
          <w:rFonts w:ascii="Times New Roman" w:hAnsi="Times New Roman"/>
          <w:b/>
          <w:bCs/>
        </w:rPr>
        <w:t>Proposal</w:t>
      </w:r>
      <w:r>
        <w:rPr>
          <w:rFonts w:ascii="Times New Roman" w:hAnsi="Times New Roman"/>
          <w:b/>
          <w:bCs/>
        </w:rPr>
        <w:t xml:space="preserve"> 2: UE receiver model for performance evaluation should be discussed and aligned in order to generate comparable results across companies. The proposed UE receiver model is a good candidate. </w:t>
      </w:r>
    </w:p>
    <w:p w:rsidR="00585D05" w:rsidRPr="0032164D" w:rsidRDefault="00585D05" w:rsidP="00B82E3B">
      <w:pPr>
        <w:overflowPunct/>
        <w:spacing w:after="0"/>
        <w:textAlignment w:val="auto"/>
        <w:rPr>
          <w:rFonts w:ascii="Times New Roman" w:eastAsia="Malgun Gothic" w:hAnsi="Times New Roman"/>
          <w:sz w:val="22"/>
          <w:szCs w:val="22"/>
          <w:lang w:eastAsia="sv-SE"/>
        </w:rPr>
      </w:pPr>
    </w:p>
    <w:p w:rsidR="007434F1" w:rsidRDefault="007434F1" w:rsidP="0032164D">
      <w:pPr>
        <w:pStyle w:val="Heading1"/>
        <w:rPr>
          <w:rFonts w:eastAsia="Malgun Gothic"/>
          <w:lang w:val="en-US" w:eastAsia="sv-SE"/>
        </w:rPr>
      </w:pPr>
      <w:r>
        <w:rPr>
          <w:rFonts w:eastAsia="Malgun Gothic"/>
          <w:lang w:val="en-US" w:eastAsia="sv-SE"/>
        </w:rPr>
        <w:t>Enhanced UE Receiver</w:t>
      </w:r>
    </w:p>
    <w:p w:rsidR="007434F1" w:rsidRDefault="007434F1" w:rsidP="0032164D">
      <w:pPr>
        <w:rPr>
          <w:rFonts w:eastAsia="Malgun Gothic"/>
          <w:lang w:val="en-US" w:eastAsia="sv-SE"/>
        </w:rPr>
      </w:pPr>
    </w:p>
    <w:p w:rsidR="00D32C58" w:rsidRDefault="007434F1" w:rsidP="0032164D">
      <w:pPr>
        <w:rPr>
          <w:rFonts w:ascii="Times New Roman" w:hAnsi="Times New Roman"/>
          <w:sz w:val="22"/>
          <w:szCs w:val="22"/>
        </w:rPr>
      </w:pPr>
      <w:r w:rsidRPr="0032164D">
        <w:rPr>
          <w:rFonts w:ascii="Times New Roman" w:hAnsi="Times New Roman"/>
          <w:sz w:val="22"/>
          <w:szCs w:val="22"/>
        </w:rPr>
        <w:t xml:space="preserve">In Section 2, we described a basic UE receiver implementation. The </w:t>
      </w:r>
      <w:r w:rsidR="00BA6096">
        <w:rPr>
          <w:rFonts w:ascii="Times New Roman" w:hAnsi="Times New Roman"/>
          <w:sz w:val="22"/>
          <w:szCs w:val="22"/>
        </w:rPr>
        <w:t xml:space="preserve">baseline performance </w:t>
      </w:r>
      <w:r w:rsidRPr="0032164D">
        <w:rPr>
          <w:rFonts w:ascii="Times New Roman" w:hAnsi="Times New Roman"/>
          <w:sz w:val="22"/>
          <w:szCs w:val="22"/>
        </w:rPr>
        <w:t>simulation results in the companion contribution [</w:t>
      </w:r>
      <w:r w:rsidR="00585D05">
        <w:rPr>
          <w:rFonts w:ascii="Times New Roman" w:hAnsi="Times New Roman"/>
          <w:sz w:val="22"/>
          <w:szCs w:val="22"/>
        </w:rPr>
        <w:t>1</w:t>
      </w:r>
      <w:r w:rsidRPr="0032164D">
        <w:rPr>
          <w:rFonts w:ascii="Times New Roman" w:hAnsi="Times New Roman"/>
          <w:sz w:val="22"/>
          <w:szCs w:val="22"/>
        </w:rPr>
        <w:t xml:space="preserve">] were obtained under this simple receiver implementation. However, the </w:t>
      </w:r>
      <w:r w:rsidR="00BF155C" w:rsidRPr="0032164D">
        <w:rPr>
          <w:rFonts w:ascii="Times New Roman" w:hAnsi="Times New Roman"/>
          <w:sz w:val="22"/>
          <w:szCs w:val="22"/>
        </w:rPr>
        <w:t xml:space="preserve">current TOA estimation algorithm, although simple in implementation, </w:t>
      </w:r>
      <w:r w:rsidR="00585D05" w:rsidRPr="0032164D">
        <w:rPr>
          <w:rFonts w:ascii="Times New Roman" w:hAnsi="Times New Roman"/>
          <w:sz w:val="22"/>
          <w:szCs w:val="22"/>
        </w:rPr>
        <w:t xml:space="preserve">in some situations </w:t>
      </w:r>
      <w:r w:rsidR="00BF155C" w:rsidRPr="0032164D">
        <w:rPr>
          <w:rFonts w:ascii="Times New Roman" w:hAnsi="Times New Roman"/>
          <w:sz w:val="22"/>
          <w:szCs w:val="22"/>
        </w:rPr>
        <w:t xml:space="preserve">is </w:t>
      </w:r>
      <w:r w:rsidR="00D32C58">
        <w:rPr>
          <w:rFonts w:ascii="Times New Roman" w:hAnsi="Times New Roman"/>
          <w:sz w:val="22"/>
          <w:szCs w:val="22"/>
        </w:rPr>
        <w:t>observed to be</w:t>
      </w:r>
      <w:r w:rsidR="00D32C58" w:rsidRPr="0032164D">
        <w:rPr>
          <w:rFonts w:ascii="Times New Roman" w:hAnsi="Times New Roman"/>
          <w:sz w:val="22"/>
          <w:szCs w:val="22"/>
        </w:rPr>
        <w:t xml:space="preserve"> </w:t>
      </w:r>
      <w:r w:rsidR="00D32C58">
        <w:rPr>
          <w:rFonts w:ascii="Times New Roman" w:hAnsi="Times New Roman"/>
          <w:sz w:val="22"/>
          <w:szCs w:val="22"/>
        </w:rPr>
        <w:t>sub-</w:t>
      </w:r>
      <w:r w:rsidR="00BF155C" w:rsidRPr="0032164D">
        <w:rPr>
          <w:rFonts w:ascii="Times New Roman" w:hAnsi="Times New Roman"/>
          <w:sz w:val="22"/>
          <w:szCs w:val="22"/>
        </w:rPr>
        <w:t xml:space="preserve">optimal. </w:t>
      </w:r>
    </w:p>
    <w:p w:rsidR="00BA6096" w:rsidRDefault="00C044AC" w:rsidP="0032164D">
      <w:pPr>
        <w:rPr>
          <w:rFonts w:ascii="Times New Roman" w:hAnsi="Times New Roman"/>
          <w:sz w:val="22"/>
          <w:szCs w:val="22"/>
        </w:rPr>
      </w:pPr>
      <w:r>
        <w:rPr>
          <w:rFonts w:ascii="Times New Roman" w:hAnsi="Times New Roman"/>
          <w:sz w:val="22"/>
          <w:szCs w:val="22"/>
        </w:rPr>
        <w:t xml:space="preserve">Figure 1 presents a scenario where our UE receiver </w:t>
      </w:r>
      <w:r w:rsidR="005F049C">
        <w:rPr>
          <w:rFonts w:ascii="Times New Roman" w:hAnsi="Times New Roman"/>
          <w:sz w:val="22"/>
          <w:szCs w:val="22"/>
        </w:rPr>
        <w:t xml:space="preserve">model </w:t>
      </w:r>
      <w:r>
        <w:rPr>
          <w:rFonts w:ascii="Times New Roman" w:hAnsi="Times New Roman"/>
          <w:sz w:val="22"/>
          <w:szCs w:val="22"/>
        </w:rPr>
        <w:t>performs satisfactor</w:t>
      </w:r>
      <w:r w:rsidR="00D32C58">
        <w:rPr>
          <w:rFonts w:ascii="Times New Roman" w:hAnsi="Times New Roman"/>
          <w:sz w:val="22"/>
          <w:szCs w:val="22"/>
        </w:rPr>
        <w:t>ily</w:t>
      </w:r>
      <w:r>
        <w:rPr>
          <w:rFonts w:ascii="Times New Roman" w:hAnsi="Times New Roman"/>
          <w:sz w:val="22"/>
          <w:szCs w:val="22"/>
        </w:rPr>
        <w:t xml:space="preserve">. </w:t>
      </w:r>
    </w:p>
    <w:p w:rsidR="00BA6096" w:rsidRDefault="00BA6096" w:rsidP="00BA6096">
      <w:pPr>
        <w:jc w:val="center"/>
        <w:rPr>
          <w:rFonts w:ascii="Times New Roman" w:hAnsi="Times New Roman"/>
          <w:sz w:val="22"/>
          <w:szCs w:val="22"/>
        </w:rPr>
      </w:pPr>
      <w:r w:rsidRPr="0032164D">
        <w:rPr>
          <w:rFonts w:ascii="Times New Roman" w:hAnsi="Times New Roman"/>
          <w:noProof/>
          <w:sz w:val="22"/>
          <w:szCs w:val="22"/>
          <w:lang w:val="en-US" w:eastAsia="en-US"/>
        </w:rPr>
        <w:drawing>
          <wp:inline distT="0" distB="0" distL="0" distR="0" wp14:anchorId="496C7B05" wp14:editId="61B8485B">
            <wp:extent cx="4684143" cy="3127622"/>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oss_correlation1.jpg"/>
                    <pic:cNvPicPr/>
                  </pic:nvPicPr>
                  <pic:blipFill>
                    <a:blip r:embed="rId11">
                      <a:extLst>
                        <a:ext uri="{28A0092B-C50C-407E-A947-70E740481C1C}">
                          <a14:useLocalDpi xmlns:a14="http://schemas.microsoft.com/office/drawing/2010/main" val="0"/>
                        </a:ext>
                      </a:extLst>
                    </a:blip>
                    <a:stretch>
                      <a:fillRect/>
                    </a:stretch>
                  </pic:blipFill>
                  <pic:spPr>
                    <a:xfrm>
                      <a:off x="0" y="0"/>
                      <a:ext cx="4681093" cy="3125585"/>
                    </a:xfrm>
                    <a:prstGeom prst="rect">
                      <a:avLst/>
                    </a:prstGeom>
                  </pic:spPr>
                </pic:pic>
              </a:graphicData>
            </a:graphic>
          </wp:inline>
        </w:drawing>
      </w:r>
    </w:p>
    <w:p w:rsidR="00BA6096" w:rsidRDefault="00BA6096" w:rsidP="000B1BB2">
      <w:pPr>
        <w:rPr>
          <w:rFonts w:ascii="Times New Roman" w:hAnsi="Times New Roman"/>
          <w:sz w:val="22"/>
          <w:szCs w:val="22"/>
        </w:rPr>
      </w:pPr>
    </w:p>
    <w:p w:rsidR="00BA6096" w:rsidRPr="0032164D" w:rsidRDefault="00BA6096" w:rsidP="00BA6096">
      <w:pPr>
        <w:jc w:val="center"/>
        <w:rPr>
          <w:rFonts w:ascii="Times New Roman" w:hAnsi="Times New Roman"/>
          <w:sz w:val="22"/>
          <w:szCs w:val="22"/>
        </w:rPr>
      </w:pPr>
      <w:proofErr w:type="gramStart"/>
      <w:r>
        <w:rPr>
          <w:rFonts w:ascii="Times New Roman" w:hAnsi="Times New Roman"/>
          <w:sz w:val="22"/>
          <w:szCs w:val="22"/>
        </w:rPr>
        <w:t>Figure 1.</w:t>
      </w:r>
      <w:proofErr w:type="gramEnd"/>
      <w:r>
        <w:rPr>
          <w:rFonts w:ascii="Times New Roman" w:hAnsi="Times New Roman"/>
          <w:sz w:val="22"/>
          <w:szCs w:val="22"/>
        </w:rPr>
        <w:t xml:space="preserve"> Exemplifying a situation where our simple UE receiver model performs well.</w:t>
      </w:r>
    </w:p>
    <w:p w:rsidR="00BA6096" w:rsidRDefault="00BA6096" w:rsidP="0032164D">
      <w:pPr>
        <w:rPr>
          <w:rFonts w:ascii="Times New Roman" w:hAnsi="Times New Roman"/>
          <w:sz w:val="22"/>
          <w:szCs w:val="22"/>
        </w:rPr>
      </w:pPr>
    </w:p>
    <w:p w:rsidR="00BA6096" w:rsidRDefault="00BA6096" w:rsidP="00BA6096">
      <w:pPr>
        <w:overflowPunct/>
        <w:spacing w:after="0"/>
        <w:textAlignment w:val="auto"/>
        <w:rPr>
          <w:rFonts w:ascii="Times New Roman" w:eastAsia="Malgun Gothic" w:hAnsi="Times New Roman"/>
          <w:sz w:val="22"/>
          <w:szCs w:val="22"/>
          <w:lang w:val="en-US" w:eastAsia="sv-SE"/>
        </w:rPr>
      </w:pPr>
      <w:r>
        <w:rPr>
          <w:rFonts w:ascii="Times New Roman" w:eastAsia="Malgun Gothic" w:hAnsi="Times New Roman"/>
          <w:sz w:val="22"/>
          <w:szCs w:val="22"/>
          <w:lang w:val="en-US" w:eastAsia="sv-SE"/>
        </w:rPr>
        <w:t xml:space="preserve">Figure 2 and Figure 3 show two situations where by having a lower and a higher threshold respectively, we would have improved the TOA estimation considerably. Our simple UE receiver fails in these two situations. </w:t>
      </w:r>
    </w:p>
    <w:p w:rsidR="00BA6096" w:rsidRDefault="00BA6096" w:rsidP="00BA6096">
      <w:pPr>
        <w:overflowPunct/>
        <w:spacing w:after="0"/>
        <w:textAlignment w:val="auto"/>
        <w:rPr>
          <w:rFonts w:ascii="Times New Roman" w:eastAsia="Malgun Gothic" w:hAnsi="Times New Roman"/>
          <w:sz w:val="22"/>
          <w:szCs w:val="22"/>
          <w:lang w:val="en-US" w:eastAsia="sv-SE"/>
        </w:rPr>
      </w:pPr>
    </w:p>
    <w:p w:rsidR="00BA6096" w:rsidRDefault="00BA6096" w:rsidP="00BA6096">
      <w:pPr>
        <w:overflowPunct/>
        <w:spacing w:after="0"/>
        <w:jc w:val="center"/>
        <w:textAlignment w:val="auto"/>
        <w:rPr>
          <w:rFonts w:ascii="Times New Roman" w:eastAsia="Malgun Gothic" w:hAnsi="Times New Roman"/>
          <w:sz w:val="22"/>
          <w:szCs w:val="22"/>
          <w:lang w:val="en-US" w:eastAsia="sv-SE"/>
        </w:rPr>
      </w:pPr>
      <w:r w:rsidRPr="0032164D">
        <w:rPr>
          <w:rFonts w:ascii="Times New Roman" w:eastAsia="Malgun Gothic" w:hAnsi="Times New Roman"/>
          <w:noProof/>
          <w:sz w:val="22"/>
          <w:szCs w:val="22"/>
          <w:lang w:val="en-US" w:eastAsia="en-US"/>
        </w:rPr>
        <w:drawing>
          <wp:inline distT="0" distB="0" distL="0" distR="0" wp14:anchorId="75BCA738" wp14:editId="6167F937">
            <wp:extent cx="4201065" cy="2951510"/>
            <wp:effectExtent l="0" t="0" r="952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oss_correlation2.jpg"/>
                    <pic:cNvPicPr/>
                  </pic:nvPicPr>
                  <pic:blipFill>
                    <a:blip r:embed="rId12">
                      <a:extLst>
                        <a:ext uri="{28A0092B-C50C-407E-A947-70E740481C1C}">
                          <a14:useLocalDpi xmlns:a14="http://schemas.microsoft.com/office/drawing/2010/main" val="0"/>
                        </a:ext>
                      </a:extLst>
                    </a:blip>
                    <a:stretch>
                      <a:fillRect/>
                    </a:stretch>
                  </pic:blipFill>
                  <pic:spPr>
                    <a:xfrm>
                      <a:off x="0" y="0"/>
                      <a:ext cx="4196966" cy="2948630"/>
                    </a:xfrm>
                    <a:prstGeom prst="rect">
                      <a:avLst/>
                    </a:prstGeom>
                  </pic:spPr>
                </pic:pic>
              </a:graphicData>
            </a:graphic>
          </wp:inline>
        </w:drawing>
      </w:r>
    </w:p>
    <w:p w:rsidR="00BA6096" w:rsidRDefault="00BA6096" w:rsidP="00BA6096">
      <w:pPr>
        <w:overflowPunct/>
        <w:spacing w:after="0"/>
        <w:jc w:val="center"/>
        <w:textAlignment w:val="auto"/>
        <w:rPr>
          <w:rFonts w:ascii="Times New Roman" w:eastAsia="Malgun Gothic" w:hAnsi="Times New Roman"/>
          <w:sz w:val="22"/>
          <w:szCs w:val="22"/>
          <w:lang w:val="en-US" w:eastAsia="sv-SE"/>
        </w:rPr>
      </w:pPr>
      <w:proofErr w:type="gramStart"/>
      <w:r>
        <w:rPr>
          <w:rFonts w:ascii="Times New Roman" w:eastAsia="Malgun Gothic" w:hAnsi="Times New Roman"/>
          <w:sz w:val="22"/>
          <w:szCs w:val="22"/>
          <w:lang w:val="en-US" w:eastAsia="sv-SE"/>
        </w:rPr>
        <w:t>Figure 2.</w:t>
      </w:r>
      <w:proofErr w:type="gramEnd"/>
      <w:r>
        <w:rPr>
          <w:rFonts w:ascii="Times New Roman" w:eastAsia="Malgun Gothic" w:hAnsi="Times New Roman"/>
          <w:sz w:val="22"/>
          <w:szCs w:val="22"/>
          <w:lang w:val="en-US" w:eastAsia="sv-SE"/>
        </w:rPr>
        <w:t xml:space="preserve"> Exemplifying a situation where having a lower threshold value would have improved the TOA estimation considerably.</w:t>
      </w:r>
    </w:p>
    <w:p w:rsidR="00BA6096" w:rsidRDefault="00BA6096" w:rsidP="00BA6096">
      <w:pPr>
        <w:overflowPunct/>
        <w:spacing w:after="0"/>
        <w:jc w:val="center"/>
        <w:textAlignment w:val="auto"/>
        <w:rPr>
          <w:rFonts w:ascii="Times New Roman" w:eastAsia="Malgun Gothic" w:hAnsi="Times New Roman"/>
          <w:sz w:val="22"/>
          <w:szCs w:val="22"/>
          <w:lang w:val="en-US" w:eastAsia="sv-SE"/>
        </w:rPr>
      </w:pPr>
    </w:p>
    <w:p w:rsidR="00BA6096" w:rsidRDefault="00BA6096" w:rsidP="00BA6096">
      <w:pPr>
        <w:overflowPunct/>
        <w:spacing w:after="0"/>
        <w:jc w:val="center"/>
        <w:textAlignment w:val="auto"/>
        <w:rPr>
          <w:rFonts w:ascii="Times New Roman" w:eastAsia="Malgun Gothic" w:hAnsi="Times New Roman"/>
          <w:sz w:val="22"/>
          <w:szCs w:val="22"/>
          <w:lang w:val="en-US" w:eastAsia="sv-SE"/>
        </w:rPr>
      </w:pPr>
      <w:r w:rsidRPr="0032164D">
        <w:rPr>
          <w:rFonts w:ascii="Times New Roman" w:eastAsia="Malgun Gothic" w:hAnsi="Times New Roman"/>
          <w:noProof/>
          <w:sz w:val="22"/>
          <w:szCs w:val="22"/>
          <w:lang w:val="en-US" w:eastAsia="en-US"/>
        </w:rPr>
        <w:drawing>
          <wp:inline distT="0" distB="0" distL="0" distR="0" wp14:anchorId="6CD0A625" wp14:editId="1B82BA40">
            <wp:extent cx="4287329" cy="28626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ross_correlation4.jpg"/>
                    <pic:cNvPicPr/>
                  </pic:nvPicPr>
                  <pic:blipFill>
                    <a:blip r:embed="rId13">
                      <a:extLst>
                        <a:ext uri="{28A0092B-C50C-407E-A947-70E740481C1C}">
                          <a14:useLocalDpi xmlns:a14="http://schemas.microsoft.com/office/drawing/2010/main" val="0"/>
                        </a:ext>
                      </a:extLst>
                    </a:blip>
                    <a:stretch>
                      <a:fillRect/>
                    </a:stretch>
                  </pic:blipFill>
                  <pic:spPr>
                    <a:xfrm>
                      <a:off x="0" y="0"/>
                      <a:ext cx="4282091" cy="2859170"/>
                    </a:xfrm>
                    <a:prstGeom prst="rect">
                      <a:avLst/>
                    </a:prstGeom>
                  </pic:spPr>
                </pic:pic>
              </a:graphicData>
            </a:graphic>
          </wp:inline>
        </w:drawing>
      </w:r>
    </w:p>
    <w:p w:rsidR="00BA6096" w:rsidRPr="006511C4" w:rsidRDefault="00BA6096" w:rsidP="00BA6096">
      <w:pPr>
        <w:jc w:val="center"/>
        <w:rPr>
          <w:rFonts w:ascii="Times New Roman" w:eastAsia="Malgun Gothic" w:hAnsi="Times New Roman"/>
          <w:sz w:val="22"/>
          <w:szCs w:val="22"/>
          <w:lang w:val="en-US" w:eastAsia="sv-SE"/>
        </w:rPr>
      </w:pPr>
      <w:proofErr w:type="gramStart"/>
      <w:r>
        <w:rPr>
          <w:rFonts w:ascii="Times New Roman" w:eastAsia="Malgun Gothic" w:hAnsi="Times New Roman"/>
          <w:sz w:val="22"/>
          <w:szCs w:val="22"/>
          <w:lang w:val="en-US" w:eastAsia="sv-SE"/>
        </w:rPr>
        <w:t>Figure 3.</w:t>
      </w:r>
      <w:proofErr w:type="gramEnd"/>
      <w:r>
        <w:rPr>
          <w:rFonts w:ascii="Times New Roman" w:eastAsia="Malgun Gothic" w:hAnsi="Times New Roman"/>
          <w:sz w:val="22"/>
          <w:szCs w:val="22"/>
          <w:lang w:val="en-US" w:eastAsia="sv-SE"/>
        </w:rPr>
        <w:t xml:space="preserve"> Exemplifying a situation where having a higher threshold value would have improved the TOA estimation considerably.</w:t>
      </w:r>
    </w:p>
    <w:p w:rsidR="00BA6096" w:rsidRPr="000B1BB2" w:rsidRDefault="00BA6096" w:rsidP="0032164D">
      <w:pPr>
        <w:rPr>
          <w:rFonts w:ascii="Times New Roman" w:hAnsi="Times New Roman"/>
          <w:sz w:val="22"/>
          <w:szCs w:val="22"/>
          <w:lang w:val="en-US"/>
        </w:rPr>
      </w:pPr>
    </w:p>
    <w:p w:rsidR="00BA6096" w:rsidRDefault="00BA6096" w:rsidP="00BA6096">
      <w:pPr>
        <w:rPr>
          <w:rFonts w:ascii="Times New Roman" w:hAnsi="Times New Roman"/>
          <w:sz w:val="22"/>
          <w:szCs w:val="22"/>
        </w:rPr>
      </w:pPr>
      <w:r w:rsidRPr="0032164D">
        <w:rPr>
          <w:rFonts w:ascii="Times New Roman" w:hAnsi="Times New Roman"/>
          <w:sz w:val="22"/>
          <w:szCs w:val="22"/>
        </w:rPr>
        <w:t>In the following</w:t>
      </w:r>
      <w:r w:rsidR="000B1BB2">
        <w:rPr>
          <w:rFonts w:ascii="Times New Roman" w:hAnsi="Times New Roman"/>
          <w:sz w:val="22"/>
          <w:szCs w:val="22"/>
        </w:rPr>
        <w:t xml:space="preserve"> sections</w:t>
      </w:r>
      <w:r w:rsidRPr="0032164D">
        <w:rPr>
          <w:rFonts w:ascii="Times New Roman" w:hAnsi="Times New Roman"/>
          <w:sz w:val="22"/>
          <w:szCs w:val="22"/>
        </w:rPr>
        <w:t xml:space="preserve">, we highlight some issues with the current TOA estimation and give some simple ideas on how the TOA estimation in the receiver model can be improved. </w:t>
      </w:r>
    </w:p>
    <w:p w:rsidR="00FE019F" w:rsidRDefault="00FE019F" w:rsidP="00BA6096">
      <w:pPr>
        <w:rPr>
          <w:rFonts w:ascii="Times New Roman" w:hAnsi="Times New Roman"/>
          <w:sz w:val="22"/>
          <w:szCs w:val="22"/>
        </w:rPr>
      </w:pPr>
    </w:p>
    <w:p w:rsidR="00FE019F" w:rsidRDefault="00FE019F" w:rsidP="00BA6096">
      <w:pPr>
        <w:rPr>
          <w:rFonts w:ascii="Times New Roman" w:hAnsi="Times New Roman"/>
          <w:sz w:val="22"/>
          <w:szCs w:val="22"/>
        </w:rPr>
      </w:pPr>
    </w:p>
    <w:p w:rsidR="00FE019F" w:rsidRDefault="00FE019F" w:rsidP="00FE019F">
      <w:pPr>
        <w:pStyle w:val="Heading2"/>
        <w:rPr>
          <w:rFonts w:eastAsia="Malgun Gothic"/>
          <w:lang w:val="en-US" w:eastAsia="sv-SE"/>
        </w:rPr>
      </w:pPr>
      <w:r>
        <w:rPr>
          <w:rFonts w:eastAsia="Malgun Gothic"/>
          <w:lang w:val="en-US" w:eastAsia="sv-SE"/>
        </w:rPr>
        <w:t>Improved threshold selection for peak detection</w:t>
      </w:r>
    </w:p>
    <w:p w:rsidR="00FE019F" w:rsidRDefault="00FE019F" w:rsidP="00FE019F">
      <w:pPr>
        <w:rPr>
          <w:rFonts w:ascii="Times New Roman" w:eastAsia="Malgun Gothic" w:hAnsi="Times New Roman"/>
          <w:sz w:val="22"/>
          <w:szCs w:val="22"/>
          <w:lang w:val="en-US" w:eastAsia="sv-SE"/>
        </w:rPr>
      </w:pPr>
      <w:r>
        <w:rPr>
          <w:rFonts w:ascii="Times New Roman" w:eastAsia="Malgun Gothic" w:hAnsi="Times New Roman"/>
          <w:sz w:val="22"/>
          <w:szCs w:val="22"/>
          <w:lang w:val="en-US" w:eastAsia="sv-SE"/>
        </w:rPr>
        <w:t>Figures 2 and Figure 3 show that c</w:t>
      </w:r>
      <w:r w:rsidRPr="006511C4">
        <w:rPr>
          <w:rFonts w:ascii="Times New Roman" w:eastAsia="Malgun Gothic" w:hAnsi="Times New Roman"/>
          <w:sz w:val="22"/>
          <w:szCs w:val="22"/>
          <w:lang w:val="en-US" w:eastAsia="sv-SE"/>
        </w:rPr>
        <w:t xml:space="preserve">hoosing an </w:t>
      </w:r>
      <w:r>
        <w:rPr>
          <w:rFonts w:ascii="Times New Roman" w:eastAsia="Malgun Gothic" w:hAnsi="Times New Roman"/>
          <w:sz w:val="22"/>
          <w:szCs w:val="22"/>
          <w:lang w:val="en-US" w:eastAsia="sv-SE"/>
        </w:rPr>
        <w:t>optimized</w:t>
      </w:r>
      <w:r w:rsidRPr="006511C4">
        <w:rPr>
          <w:rFonts w:ascii="Times New Roman" w:eastAsia="Malgun Gothic" w:hAnsi="Times New Roman"/>
          <w:sz w:val="22"/>
          <w:szCs w:val="22"/>
          <w:lang w:val="en-US" w:eastAsia="sv-SE"/>
        </w:rPr>
        <w:t xml:space="preserve"> threshold value could improve the TOA estimation performance</w:t>
      </w:r>
      <w:r>
        <w:rPr>
          <w:rFonts w:ascii="Times New Roman" w:eastAsia="Malgun Gothic" w:hAnsi="Times New Roman"/>
          <w:sz w:val="22"/>
          <w:szCs w:val="22"/>
          <w:lang w:val="en-US" w:eastAsia="sv-SE"/>
        </w:rPr>
        <w:t xml:space="preserve">. </w:t>
      </w:r>
      <w:r w:rsidRPr="006511C4">
        <w:rPr>
          <w:rFonts w:ascii="Times New Roman" w:eastAsia="Malgun Gothic" w:hAnsi="Times New Roman"/>
          <w:sz w:val="22"/>
          <w:szCs w:val="22"/>
          <w:lang w:val="en-US" w:eastAsia="sv-SE"/>
        </w:rPr>
        <w:t xml:space="preserve">One could for example use an SINR based threshold instead of a fixed threshold. In other words, the value of the threshold can be varied to tradeoff between LOS detection and robustness to interference and noise. The no muting case is expected to have low </w:t>
      </w:r>
      <w:proofErr w:type="gramStart"/>
      <w:r w:rsidRPr="006511C4">
        <w:rPr>
          <w:rFonts w:ascii="Times New Roman" w:eastAsia="Malgun Gothic" w:hAnsi="Times New Roman"/>
          <w:sz w:val="22"/>
          <w:szCs w:val="22"/>
          <w:lang w:val="en-US" w:eastAsia="sv-SE"/>
        </w:rPr>
        <w:t>SINR,</w:t>
      </w:r>
      <w:proofErr w:type="gramEnd"/>
      <w:r w:rsidRPr="006511C4">
        <w:rPr>
          <w:rFonts w:ascii="Times New Roman" w:eastAsia="Malgun Gothic" w:hAnsi="Times New Roman"/>
          <w:sz w:val="22"/>
          <w:szCs w:val="22"/>
          <w:lang w:val="en-US" w:eastAsia="sv-SE"/>
        </w:rPr>
        <w:t xml:space="preserve"> therefore we chose the strongest </w:t>
      </w:r>
      <w:r w:rsidRPr="006511C4">
        <w:rPr>
          <w:rFonts w:ascii="Times New Roman" w:eastAsia="Malgun Gothic" w:hAnsi="Times New Roman"/>
          <w:sz w:val="22"/>
          <w:szCs w:val="22"/>
          <w:lang w:val="en-US" w:eastAsia="sv-SE"/>
        </w:rPr>
        <w:lastRenderedPageBreak/>
        <w:t xml:space="preserve">tap in this case, i.e. </w:t>
      </w:r>
      <m:oMath>
        <m:r>
          <w:rPr>
            <w:rFonts w:ascii="Cambria Math" w:eastAsia="Malgun Gothic" w:hAnsi="Cambria Math" w:cs="Arial"/>
            <w:lang w:val="en-US" w:eastAsia="sv-SE"/>
          </w:rPr>
          <m:t xml:space="preserve">ε=1 </m:t>
        </m:r>
      </m:oMath>
      <w:r w:rsidRPr="006511C4">
        <w:rPr>
          <w:rFonts w:ascii="Times New Roman" w:eastAsia="Malgun Gothic" w:hAnsi="Times New Roman"/>
          <w:sz w:val="22"/>
          <w:szCs w:val="22"/>
          <w:lang w:val="en-US" w:eastAsia="sv-SE"/>
        </w:rPr>
        <w:t>in (3). The receiver model should be taken into account when studying the results in</w:t>
      </w:r>
      <w:r>
        <w:rPr>
          <w:rFonts w:ascii="Times New Roman" w:eastAsia="Malgun Gothic" w:hAnsi="Times New Roman"/>
          <w:sz w:val="22"/>
          <w:szCs w:val="22"/>
          <w:lang w:val="en-US" w:eastAsia="sv-SE"/>
        </w:rPr>
        <w:t xml:space="preserve"> [1]</w:t>
      </w:r>
      <w:r w:rsidRPr="006511C4">
        <w:rPr>
          <w:rFonts w:ascii="Times New Roman" w:eastAsia="Malgun Gothic" w:hAnsi="Times New Roman"/>
          <w:sz w:val="22"/>
          <w:szCs w:val="22"/>
          <w:lang w:val="en-US" w:eastAsia="sv-SE"/>
        </w:rPr>
        <w:t>. An advanced receiver model can improve the positioning performanc</w:t>
      </w:r>
      <w:r>
        <w:rPr>
          <w:rFonts w:ascii="Times New Roman" w:eastAsia="Malgun Gothic" w:hAnsi="Times New Roman"/>
          <w:sz w:val="22"/>
          <w:szCs w:val="22"/>
          <w:lang w:val="en-US" w:eastAsia="sv-SE"/>
        </w:rPr>
        <w:t>e. One could for example make us</w:t>
      </w:r>
      <w:r w:rsidRPr="006511C4">
        <w:rPr>
          <w:rFonts w:ascii="Times New Roman" w:eastAsia="Malgun Gothic" w:hAnsi="Times New Roman"/>
          <w:sz w:val="22"/>
          <w:szCs w:val="22"/>
          <w:lang w:val="en-US" w:eastAsia="sv-SE"/>
        </w:rPr>
        <w:t xml:space="preserve">e of multiple PRS </w:t>
      </w:r>
      <w:proofErr w:type="spellStart"/>
      <w:r w:rsidRPr="006511C4">
        <w:rPr>
          <w:rFonts w:ascii="Times New Roman" w:eastAsia="Malgun Gothic" w:hAnsi="Times New Roman"/>
          <w:sz w:val="22"/>
          <w:szCs w:val="22"/>
          <w:lang w:val="en-US" w:eastAsia="sv-SE"/>
        </w:rPr>
        <w:t>subframes</w:t>
      </w:r>
      <w:proofErr w:type="spellEnd"/>
      <w:r w:rsidRPr="006511C4">
        <w:rPr>
          <w:rFonts w:ascii="Times New Roman" w:eastAsia="Malgun Gothic" w:hAnsi="Times New Roman"/>
          <w:sz w:val="22"/>
          <w:szCs w:val="22"/>
          <w:lang w:val="en-US" w:eastAsia="sv-SE"/>
        </w:rPr>
        <w:t xml:space="preserve"> differently than a simple averaging operation.</w:t>
      </w:r>
    </w:p>
    <w:p w:rsidR="00FE019F" w:rsidRDefault="00FE019F" w:rsidP="00FE019F">
      <w:pPr>
        <w:rPr>
          <w:rFonts w:ascii="Times New Roman" w:eastAsia="Malgun Gothic" w:hAnsi="Times New Roman"/>
          <w:sz w:val="22"/>
          <w:szCs w:val="22"/>
          <w:lang w:val="en-US" w:eastAsia="sv-SE"/>
        </w:rPr>
      </w:pPr>
      <w:r>
        <w:rPr>
          <w:rFonts w:ascii="Times New Roman" w:eastAsia="Malgun Gothic" w:hAnsi="Times New Roman"/>
          <w:sz w:val="22"/>
          <w:szCs w:val="22"/>
          <w:lang w:val="en-US" w:eastAsia="sv-SE"/>
        </w:rPr>
        <w:t>Based on our baseline simulation results presented in [1], we can claim that this simple UE receiver performs quite well for the ideal muting scenario. We believe that for getting an improvement in the “no muting” scenario”, we have to have a more advanced UE receiver model.</w:t>
      </w:r>
    </w:p>
    <w:p w:rsidR="00FE019F" w:rsidRDefault="00FE019F" w:rsidP="00FE019F">
      <w:pPr>
        <w:rPr>
          <w:rFonts w:ascii="Times New Roman" w:eastAsia="Malgun Gothic" w:hAnsi="Times New Roman"/>
          <w:sz w:val="22"/>
          <w:szCs w:val="22"/>
          <w:lang w:val="en-US" w:eastAsia="sv-SE"/>
        </w:rPr>
      </w:pPr>
    </w:p>
    <w:p w:rsidR="00FE019F" w:rsidRDefault="00FE019F" w:rsidP="00FE019F">
      <w:pPr>
        <w:rPr>
          <w:rFonts w:ascii="Times New Roman" w:eastAsia="Malgun Gothic" w:hAnsi="Times New Roman"/>
          <w:sz w:val="22"/>
          <w:szCs w:val="22"/>
          <w:lang w:val="en-US" w:eastAsia="sv-SE"/>
        </w:rPr>
      </w:pPr>
    </w:p>
    <w:p w:rsidR="00FE019F" w:rsidRPr="00AE5D3E" w:rsidRDefault="00FE019F" w:rsidP="00FE019F">
      <w:pPr>
        <w:pStyle w:val="Heading2"/>
        <w:rPr>
          <w:rFonts w:eastAsia="Malgun Gothic"/>
          <w:lang w:val="en-US" w:eastAsia="sv-SE"/>
        </w:rPr>
      </w:pPr>
      <w:r>
        <w:rPr>
          <w:rFonts w:eastAsia="Malgun Gothic"/>
          <w:lang w:val="en-US" w:eastAsia="sv-SE"/>
        </w:rPr>
        <w:t>Improvements by limiting the number of RSTD reports</w:t>
      </w:r>
    </w:p>
    <w:p w:rsidR="00FE019F" w:rsidRDefault="00FE019F" w:rsidP="00FE019F">
      <w:pPr>
        <w:rPr>
          <w:rFonts w:ascii="Times New Roman" w:eastAsia="Malgun Gothic" w:hAnsi="Times New Roman"/>
          <w:sz w:val="22"/>
          <w:szCs w:val="22"/>
          <w:lang w:val="en-US" w:eastAsia="sv-SE"/>
        </w:rPr>
      </w:pPr>
    </w:p>
    <w:p w:rsidR="00FE019F" w:rsidRDefault="00FE019F" w:rsidP="00FE019F">
      <w:pPr>
        <w:rPr>
          <w:rFonts w:ascii="Times New Roman" w:eastAsia="Malgun Gothic" w:hAnsi="Times New Roman"/>
          <w:sz w:val="22"/>
          <w:szCs w:val="22"/>
          <w:lang w:val="en-US" w:eastAsia="sv-SE"/>
        </w:rPr>
      </w:pPr>
      <w:r>
        <w:rPr>
          <w:rFonts w:ascii="Times New Roman" w:eastAsia="Malgun Gothic" w:hAnsi="Times New Roman"/>
          <w:sz w:val="22"/>
          <w:szCs w:val="22"/>
          <w:lang w:val="en-US" w:eastAsia="sv-SE"/>
        </w:rPr>
        <w:t>Figures 2 and 3 present the extreme situations that can be avoided. In our baseline performance evaluations [1], we tried to avoid these extreme cases using the following technique:</w:t>
      </w:r>
    </w:p>
    <w:p w:rsidR="00FE019F" w:rsidRDefault="00FE019F" w:rsidP="00FE019F">
      <w:pPr>
        <w:pStyle w:val="ListParagraph"/>
        <w:numPr>
          <w:ilvl w:val="0"/>
          <w:numId w:val="33"/>
        </w:numPr>
        <w:jc w:val="both"/>
        <w:rPr>
          <w:rFonts w:ascii="Times New Roman" w:eastAsia="Malgun Gothic" w:hAnsi="Times New Roman"/>
          <w:lang w:eastAsia="sv-SE"/>
        </w:rPr>
      </w:pPr>
      <w:r>
        <w:rPr>
          <w:rFonts w:ascii="Times New Roman" w:eastAsia="Malgun Gothic" w:hAnsi="Times New Roman"/>
          <w:lang w:eastAsia="sv-SE"/>
        </w:rPr>
        <w:t>In the “no muting” scenario, we allow maximum 10 RSTD from the UE, meaning that only 10 cells will contribute in the OTDOA method. The situation in Figure 3 is typically associated with the “no muting” interference scenario.</w:t>
      </w:r>
    </w:p>
    <w:p w:rsidR="00FE019F" w:rsidRDefault="00FE019F" w:rsidP="00FE019F">
      <w:pPr>
        <w:pStyle w:val="ListParagraph"/>
        <w:numPr>
          <w:ilvl w:val="0"/>
          <w:numId w:val="33"/>
        </w:numPr>
        <w:jc w:val="both"/>
        <w:rPr>
          <w:rFonts w:ascii="Times New Roman" w:eastAsia="Malgun Gothic" w:hAnsi="Times New Roman"/>
          <w:lang w:eastAsia="sv-SE"/>
        </w:rPr>
      </w:pPr>
      <w:r>
        <w:rPr>
          <w:rFonts w:ascii="Times New Roman" w:eastAsia="Malgun Gothic" w:hAnsi="Times New Roman"/>
          <w:lang w:eastAsia="sv-SE"/>
        </w:rPr>
        <w:t xml:space="preserve">We vary the number of cells entering the OTDOA, based on an SINR threshold. </w:t>
      </w:r>
      <w:r w:rsidRPr="0032164D">
        <w:rPr>
          <w:rFonts w:ascii="Times New Roman" w:eastAsia="Malgun Gothic" w:hAnsi="Times New Roman"/>
          <w:lang w:eastAsia="sv-SE"/>
        </w:rPr>
        <w:t xml:space="preserve"> </w:t>
      </w:r>
    </w:p>
    <w:p w:rsidR="00FE019F" w:rsidRDefault="00FE019F" w:rsidP="00FE019F">
      <w:pPr>
        <w:rPr>
          <w:rFonts w:ascii="Times New Roman" w:eastAsia="Malgun Gothic" w:hAnsi="Times New Roman"/>
          <w:sz w:val="22"/>
          <w:szCs w:val="22"/>
          <w:lang w:val="en-US" w:eastAsia="sv-SE"/>
        </w:rPr>
      </w:pPr>
    </w:p>
    <w:p w:rsidR="00FE019F" w:rsidRDefault="00FE019F" w:rsidP="00FE019F">
      <w:pPr>
        <w:rPr>
          <w:rFonts w:ascii="Times New Roman" w:eastAsia="Malgun Gothic" w:hAnsi="Times New Roman"/>
          <w:sz w:val="22"/>
          <w:szCs w:val="22"/>
          <w:lang w:val="en-US" w:eastAsia="sv-SE"/>
        </w:rPr>
      </w:pPr>
      <w:r>
        <w:rPr>
          <w:rFonts w:ascii="Times New Roman" w:eastAsia="Malgun Gothic" w:hAnsi="Times New Roman"/>
          <w:sz w:val="22"/>
          <w:szCs w:val="22"/>
          <w:lang w:val="en-US" w:eastAsia="sv-SE"/>
        </w:rPr>
        <w:t>The above mentioned techniques related can be potentially improved based on further studies.</w:t>
      </w:r>
    </w:p>
    <w:p w:rsidR="00FE019F" w:rsidRPr="006A74DE" w:rsidRDefault="00FE019F" w:rsidP="00BA6096">
      <w:pPr>
        <w:rPr>
          <w:rFonts w:ascii="Times New Roman" w:hAnsi="Times New Roman"/>
          <w:sz w:val="22"/>
          <w:szCs w:val="22"/>
          <w:lang w:val="en-US"/>
        </w:rPr>
      </w:pPr>
    </w:p>
    <w:p w:rsidR="007434F1" w:rsidRPr="0032164D" w:rsidRDefault="007434F1" w:rsidP="0032164D">
      <w:pPr>
        <w:rPr>
          <w:rFonts w:eastAsia="Malgun Gothic"/>
          <w:lang w:eastAsia="sv-SE"/>
        </w:rPr>
      </w:pPr>
    </w:p>
    <w:p w:rsidR="007434F1" w:rsidRPr="00EB2209" w:rsidRDefault="007434F1" w:rsidP="00FE019F">
      <w:pPr>
        <w:pStyle w:val="Heading2"/>
        <w:rPr>
          <w:rFonts w:eastAsia="Malgun Gothic"/>
          <w:lang w:val="en-US" w:eastAsia="sv-SE"/>
        </w:rPr>
      </w:pPr>
      <w:r>
        <w:rPr>
          <w:rFonts w:eastAsia="Malgun Gothic"/>
          <w:lang w:val="en-US" w:eastAsia="sv-SE"/>
        </w:rPr>
        <w:t>Improved threshold selection</w:t>
      </w:r>
    </w:p>
    <w:p w:rsidR="00BF155C" w:rsidRPr="006511C4" w:rsidRDefault="00BF155C" w:rsidP="00BF155C">
      <w:pPr>
        <w:pStyle w:val="ListParagraph"/>
        <w:rPr>
          <w:rFonts w:ascii="Times New Roman" w:eastAsia="Malgun Gothic" w:hAnsi="Times New Roman" w:cs="Times New Roman"/>
          <w:lang w:eastAsia="sv-SE"/>
        </w:rPr>
      </w:pPr>
    </w:p>
    <w:p w:rsidR="00872513" w:rsidRDefault="00D32C58" w:rsidP="00872513">
      <w:pPr>
        <w:rPr>
          <w:rFonts w:ascii="Times New Roman" w:eastAsia="Malgun Gothic" w:hAnsi="Times New Roman"/>
          <w:sz w:val="22"/>
          <w:szCs w:val="22"/>
          <w:lang w:val="en-US" w:eastAsia="sv-SE"/>
        </w:rPr>
      </w:pPr>
      <w:r>
        <w:rPr>
          <w:rFonts w:ascii="Times New Roman" w:eastAsia="Malgun Gothic" w:hAnsi="Times New Roman"/>
          <w:sz w:val="22"/>
          <w:szCs w:val="22"/>
          <w:lang w:val="en-US" w:eastAsia="sv-SE"/>
        </w:rPr>
        <w:t>In Section 2</w:t>
      </w:r>
      <w:r w:rsidR="00BF155C" w:rsidRPr="006511C4">
        <w:rPr>
          <w:rFonts w:ascii="Times New Roman" w:eastAsia="Malgun Gothic" w:hAnsi="Times New Roman"/>
          <w:sz w:val="22"/>
          <w:szCs w:val="22"/>
          <w:lang w:val="en-US" w:eastAsia="sv-SE"/>
        </w:rPr>
        <w:t xml:space="preserve">, we have described a simple UE receiver whose performance is sub-optimal in general. </w:t>
      </w:r>
      <w:proofErr w:type="gramStart"/>
      <w:r w:rsidR="000B1BB2">
        <w:rPr>
          <w:rFonts w:ascii="Times New Roman" w:eastAsia="Malgun Gothic" w:hAnsi="Times New Roman"/>
          <w:sz w:val="22"/>
          <w:szCs w:val="22"/>
          <w:lang w:val="en-US" w:eastAsia="sv-SE"/>
        </w:rPr>
        <w:t>Figures 2 and 3 show that c</w:t>
      </w:r>
      <w:r w:rsidR="000B1BB2" w:rsidRPr="006511C4">
        <w:rPr>
          <w:rFonts w:ascii="Times New Roman" w:eastAsia="Malgun Gothic" w:hAnsi="Times New Roman"/>
          <w:sz w:val="22"/>
          <w:szCs w:val="22"/>
          <w:lang w:val="en-US" w:eastAsia="sv-SE"/>
        </w:rPr>
        <w:t xml:space="preserve">hoosing an </w:t>
      </w:r>
      <w:r w:rsidR="000B1BB2">
        <w:rPr>
          <w:rFonts w:ascii="Times New Roman" w:eastAsia="Malgun Gothic" w:hAnsi="Times New Roman"/>
          <w:sz w:val="22"/>
          <w:szCs w:val="22"/>
          <w:lang w:val="en-US" w:eastAsia="sv-SE"/>
        </w:rPr>
        <w:t>optimized</w:t>
      </w:r>
      <w:r w:rsidR="000B1BB2" w:rsidRPr="006511C4">
        <w:rPr>
          <w:rFonts w:ascii="Times New Roman" w:eastAsia="Malgun Gothic" w:hAnsi="Times New Roman"/>
          <w:sz w:val="22"/>
          <w:szCs w:val="22"/>
          <w:lang w:val="en-US" w:eastAsia="sv-SE"/>
        </w:rPr>
        <w:t xml:space="preserve"> threshold value could improve the TOA estimation performance</w:t>
      </w:r>
      <w:r w:rsidR="000B1BB2">
        <w:rPr>
          <w:rFonts w:ascii="Times New Roman" w:eastAsia="Malgun Gothic" w:hAnsi="Times New Roman"/>
          <w:sz w:val="22"/>
          <w:szCs w:val="22"/>
          <w:lang w:val="en-US" w:eastAsia="sv-SE"/>
        </w:rPr>
        <w:t>.</w:t>
      </w:r>
      <w:proofErr w:type="gramEnd"/>
      <w:r w:rsidR="000B1BB2">
        <w:rPr>
          <w:rFonts w:ascii="Times New Roman" w:eastAsia="Malgun Gothic" w:hAnsi="Times New Roman"/>
          <w:sz w:val="22"/>
          <w:szCs w:val="22"/>
          <w:lang w:val="en-US" w:eastAsia="sv-SE"/>
        </w:rPr>
        <w:t xml:space="preserve"> </w:t>
      </w:r>
      <w:r w:rsidR="00BE7BD3">
        <w:rPr>
          <w:rFonts w:ascii="Times New Roman" w:eastAsia="Malgun Gothic" w:hAnsi="Times New Roman"/>
          <w:sz w:val="22"/>
          <w:szCs w:val="22"/>
          <w:lang w:val="en-US" w:eastAsia="sv-SE"/>
        </w:rPr>
        <w:t>The</w:t>
      </w:r>
      <w:r w:rsidR="000B1BB2">
        <w:rPr>
          <w:rFonts w:ascii="Times New Roman" w:eastAsia="Malgun Gothic" w:hAnsi="Times New Roman"/>
          <w:sz w:val="22"/>
          <w:szCs w:val="22"/>
          <w:lang w:val="en-US" w:eastAsia="sv-SE"/>
        </w:rPr>
        <w:t>se</w:t>
      </w:r>
      <w:r w:rsidR="00BE7BD3">
        <w:rPr>
          <w:rFonts w:ascii="Times New Roman" w:eastAsia="Malgun Gothic" w:hAnsi="Times New Roman"/>
          <w:sz w:val="22"/>
          <w:szCs w:val="22"/>
          <w:lang w:val="en-US" w:eastAsia="sv-SE"/>
        </w:rPr>
        <w:t xml:space="preserve"> figures </w:t>
      </w:r>
      <w:r w:rsidR="00EB2209">
        <w:rPr>
          <w:rFonts w:ascii="Times New Roman" w:eastAsia="Malgun Gothic" w:hAnsi="Times New Roman"/>
          <w:sz w:val="22"/>
          <w:szCs w:val="22"/>
          <w:lang w:val="en-US" w:eastAsia="sv-SE"/>
        </w:rPr>
        <w:t>illustrate</w:t>
      </w:r>
      <w:r w:rsidR="00872513">
        <w:rPr>
          <w:rFonts w:ascii="Times New Roman" w:eastAsia="Malgun Gothic" w:hAnsi="Times New Roman"/>
          <w:sz w:val="22"/>
          <w:szCs w:val="22"/>
          <w:lang w:val="en-US" w:eastAsia="sv-SE"/>
        </w:rPr>
        <w:t xml:space="preserve"> scenarios wh</w:t>
      </w:r>
      <w:r w:rsidR="00EB2209">
        <w:rPr>
          <w:rFonts w:ascii="Times New Roman" w:eastAsia="Malgun Gothic" w:hAnsi="Times New Roman"/>
          <w:sz w:val="22"/>
          <w:szCs w:val="22"/>
          <w:lang w:val="en-US" w:eastAsia="sv-SE"/>
        </w:rPr>
        <w:t>ere the UE receiver threshold choice</w:t>
      </w:r>
      <w:r w:rsidR="00872513">
        <w:rPr>
          <w:rFonts w:ascii="Times New Roman" w:eastAsia="Malgun Gothic" w:hAnsi="Times New Roman"/>
          <w:sz w:val="22"/>
          <w:szCs w:val="22"/>
          <w:lang w:val="en-US" w:eastAsia="sv-SE"/>
        </w:rPr>
        <w:t xml:space="preserve"> can </w:t>
      </w:r>
      <w:r w:rsidR="00EB2209">
        <w:rPr>
          <w:rFonts w:ascii="Times New Roman" w:eastAsia="Malgun Gothic" w:hAnsi="Times New Roman"/>
          <w:sz w:val="22"/>
          <w:szCs w:val="22"/>
          <w:lang w:val="en-US" w:eastAsia="sv-SE"/>
        </w:rPr>
        <w:t xml:space="preserve">significantly </w:t>
      </w:r>
      <w:r w:rsidR="00872513">
        <w:rPr>
          <w:rFonts w:ascii="Times New Roman" w:eastAsia="Malgun Gothic" w:hAnsi="Times New Roman"/>
          <w:sz w:val="22"/>
          <w:szCs w:val="22"/>
          <w:lang w:val="en-US" w:eastAsia="sv-SE"/>
        </w:rPr>
        <w:t>impact the TOA estimation. In our simulations, we tried to avoid most of these worst case scenarios by the following techniques:</w:t>
      </w:r>
    </w:p>
    <w:p w:rsidR="00872513" w:rsidRDefault="00872513" w:rsidP="0032164D">
      <w:pPr>
        <w:pStyle w:val="ListParagraph"/>
        <w:numPr>
          <w:ilvl w:val="0"/>
          <w:numId w:val="33"/>
        </w:numPr>
        <w:jc w:val="both"/>
        <w:rPr>
          <w:rFonts w:ascii="Times New Roman" w:eastAsia="Malgun Gothic" w:hAnsi="Times New Roman"/>
          <w:lang w:eastAsia="sv-SE"/>
        </w:rPr>
      </w:pPr>
      <w:r>
        <w:rPr>
          <w:rFonts w:ascii="Times New Roman" w:eastAsia="Malgun Gothic" w:hAnsi="Times New Roman"/>
          <w:lang w:eastAsia="sv-SE"/>
        </w:rPr>
        <w:t>In the “no muting” scenario, we allow maximum 10 RSTD from the UE, meaning that only 10 cells will contribute in the OTDOA method. Figure 3 is mostly caused in the “no muting” interference scenario.</w:t>
      </w:r>
    </w:p>
    <w:p w:rsidR="00BE7BD3" w:rsidRDefault="00872513" w:rsidP="0032164D">
      <w:pPr>
        <w:pStyle w:val="ListParagraph"/>
        <w:numPr>
          <w:ilvl w:val="0"/>
          <w:numId w:val="33"/>
        </w:numPr>
        <w:jc w:val="both"/>
        <w:rPr>
          <w:rFonts w:ascii="Times New Roman" w:eastAsia="Malgun Gothic" w:hAnsi="Times New Roman"/>
          <w:lang w:eastAsia="sv-SE"/>
        </w:rPr>
      </w:pPr>
      <w:r>
        <w:rPr>
          <w:rFonts w:ascii="Times New Roman" w:eastAsia="Malgun Gothic" w:hAnsi="Times New Roman"/>
          <w:lang w:eastAsia="sv-SE"/>
        </w:rPr>
        <w:t xml:space="preserve">We vary the number of cells entering the OTDOA, based on an SINR threshold. </w:t>
      </w:r>
      <w:r w:rsidRPr="0032164D">
        <w:rPr>
          <w:rFonts w:ascii="Times New Roman" w:eastAsia="Malgun Gothic" w:hAnsi="Times New Roman"/>
          <w:lang w:eastAsia="sv-SE"/>
        </w:rPr>
        <w:t xml:space="preserve"> </w:t>
      </w:r>
    </w:p>
    <w:p w:rsidR="00BE7BD3" w:rsidRDefault="00BE7BD3" w:rsidP="00BF155C">
      <w:pPr>
        <w:rPr>
          <w:rFonts w:ascii="Times New Roman" w:eastAsia="Malgun Gothic" w:hAnsi="Times New Roman"/>
          <w:sz w:val="22"/>
          <w:szCs w:val="22"/>
          <w:lang w:val="en-US" w:eastAsia="sv-SE"/>
        </w:rPr>
      </w:pPr>
    </w:p>
    <w:p w:rsidR="005F049C" w:rsidRDefault="00BF155C" w:rsidP="005B4A5E">
      <w:pPr>
        <w:rPr>
          <w:rFonts w:ascii="Times New Roman" w:eastAsia="Malgun Gothic" w:hAnsi="Times New Roman"/>
          <w:sz w:val="22"/>
          <w:szCs w:val="22"/>
          <w:lang w:val="en-US" w:eastAsia="sv-SE"/>
        </w:rPr>
      </w:pPr>
      <w:r w:rsidRPr="006511C4">
        <w:rPr>
          <w:rFonts w:ascii="Times New Roman" w:eastAsia="Malgun Gothic" w:hAnsi="Times New Roman"/>
          <w:sz w:val="22"/>
          <w:szCs w:val="22"/>
          <w:lang w:val="en-US" w:eastAsia="sv-SE"/>
        </w:rPr>
        <w:t xml:space="preserve">One could for example use an SINR based threshold instead of a fixed threshold. In other words, the value of the threshold can be varied to tradeoff between LOS detection and robustness to interference and noise. The no muting case is expected to have low </w:t>
      </w:r>
      <w:proofErr w:type="gramStart"/>
      <w:r w:rsidRPr="006511C4">
        <w:rPr>
          <w:rFonts w:ascii="Times New Roman" w:eastAsia="Malgun Gothic" w:hAnsi="Times New Roman"/>
          <w:sz w:val="22"/>
          <w:szCs w:val="22"/>
          <w:lang w:val="en-US" w:eastAsia="sv-SE"/>
        </w:rPr>
        <w:t>SINR,</w:t>
      </w:r>
      <w:proofErr w:type="gramEnd"/>
      <w:r w:rsidRPr="006511C4">
        <w:rPr>
          <w:rFonts w:ascii="Times New Roman" w:eastAsia="Malgun Gothic" w:hAnsi="Times New Roman"/>
          <w:sz w:val="22"/>
          <w:szCs w:val="22"/>
          <w:lang w:val="en-US" w:eastAsia="sv-SE"/>
        </w:rPr>
        <w:t xml:space="preserve"> therefore we chose the strongest tap in this case, i.e. </w:t>
      </w:r>
      <m:oMath>
        <m:r>
          <w:rPr>
            <w:rFonts w:ascii="Cambria Math" w:eastAsia="Malgun Gothic" w:hAnsi="Cambria Math" w:cs="Arial"/>
            <w:lang w:val="en-US" w:eastAsia="sv-SE"/>
          </w:rPr>
          <m:t xml:space="preserve">ε=1 </m:t>
        </m:r>
      </m:oMath>
      <w:r w:rsidRPr="006511C4">
        <w:rPr>
          <w:rFonts w:ascii="Times New Roman" w:eastAsia="Malgun Gothic" w:hAnsi="Times New Roman"/>
          <w:sz w:val="22"/>
          <w:szCs w:val="22"/>
          <w:lang w:val="en-US" w:eastAsia="sv-SE"/>
        </w:rPr>
        <w:t>in (3). The receiver model should be taken into account when studying the results in</w:t>
      </w:r>
      <w:r w:rsidR="0032164D">
        <w:rPr>
          <w:rFonts w:ascii="Times New Roman" w:eastAsia="Malgun Gothic" w:hAnsi="Times New Roman"/>
          <w:sz w:val="22"/>
          <w:szCs w:val="22"/>
          <w:lang w:val="en-US" w:eastAsia="sv-SE"/>
        </w:rPr>
        <w:t xml:space="preserve"> [1]</w:t>
      </w:r>
      <w:r w:rsidRPr="006511C4">
        <w:rPr>
          <w:rFonts w:ascii="Times New Roman" w:eastAsia="Malgun Gothic" w:hAnsi="Times New Roman"/>
          <w:sz w:val="22"/>
          <w:szCs w:val="22"/>
          <w:lang w:val="en-US" w:eastAsia="sv-SE"/>
        </w:rPr>
        <w:t>. An advanced receiver model can improve the positioning performance. One could for example make use of multiple PRS subframes differently than a simple averaging operation.</w:t>
      </w:r>
    </w:p>
    <w:p w:rsidR="00872513" w:rsidRDefault="00EB2209" w:rsidP="005B4A5E">
      <w:pPr>
        <w:rPr>
          <w:rFonts w:ascii="Times New Roman" w:eastAsia="Malgun Gothic" w:hAnsi="Times New Roman"/>
          <w:sz w:val="22"/>
          <w:szCs w:val="22"/>
          <w:lang w:val="en-US" w:eastAsia="sv-SE"/>
        </w:rPr>
      </w:pPr>
      <w:r>
        <w:rPr>
          <w:rFonts w:ascii="Times New Roman" w:eastAsia="Malgun Gothic" w:hAnsi="Times New Roman"/>
          <w:sz w:val="22"/>
          <w:szCs w:val="22"/>
          <w:lang w:val="en-US" w:eastAsia="sv-SE"/>
        </w:rPr>
        <w:t>As demonstrated by</w:t>
      </w:r>
      <w:r w:rsidR="00872513">
        <w:rPr>
          <w:rFonts w:ascii="Times New Roman" w:eastAsia="Malgun Gothic" w:hAnsi="Times New Roman"/>
          <w:sz w:val="22"/>
          <w:szCs w:val="22"/>
          <w:lang w:val="en-US" w:eastAsia="sv-SE"/>
        </w:rPr>
        <w:t xml:space="preserve"> our baseline simulation results presented in [1], this simple UE receiver performs </w:t>
      </w:r>
      <w:proofErr w:type="spellStart"/>
      <w:r w:rsidR="00872513">
        <w:rPr>
          <w:rFonts w:ascii="Times New Roman" w:eastAsia="Malgun Gothic" w:hAnsi="Times New Roman"/>
          <w:sz w:val="22"/>
          <w:szCs w:val="22"/>
          <w:lang w:val="en-US" w:eastAsia="sv-SE"/>
        </w:rPr>
        <w:t>ell</w:t>
      </w:r>
      <w:proofErr w:type="spellEnd"/>
      <w:r w:rsidR="00872513">
        <w:rPr>
          <w:rFonts w:ascii="Times New Roman" w:eastAsia="Malgun Gothic" w:hAnsi="Times New Roman"/>
          <w:sz w:val="22"/>
          <w:szCs w:val="22"/>
          <w:lang w:val="en-US" w:eastAsia="sv-SE"/>
        </w:rPr>
        <w:t xml:space="preserve"> for the ideal muting scenario. </w:t>
      </w:r>
      <w:r>
        <w:rPr>
          <w:rFonts w:ascii="Times New Roman" w:eastAsia="Malgun Gothic" w:hAnsi="Times New Roman"/>
          <w:sz w:val="22"/>
          <w:szCs w:val="22"/>
          <w:lang w:val="en-US" w:eastAsia="sv-SE"/>
        </w:rPr>
        <w:t xml:space="preserve">However, in order to achieve </w:t>
      </w:r>
      <w:r w:rsidR="00872513">
        <w:rPr>
          <w:rFonts w:ascii="Times New Roman" w:eastAsia="Malgun Gothic" w:hAnsi="Times New Roman"/>
          <w:sz w:val="22"/>
          <w:szCs w:val="22"/>
          <w:lang w:val="en-US" w:eastAsia="sv-SE"/>
        </w:rPr>
        <w:t>improvement in the “no muting” scenario”, we have to have a more advanced UE receiver model.</w:t>
      </w:r>
    </w:p>
    <w:p w:rsidR="00BF155C" w:rsidRDefault="00BF155C" w:rsidP="0032164D">
      <w:pPr>
        <w:rPr>
          <w:rFonts w:eastAsia="Malgun Gothic"/>
          <w:lang w:val="en-US" w:eastAsia="sv-SE"/>
        </w:rPr>
      </w:pPr>
    </w:p>
    <w:p w:rsidR="007434F1" w:rsidRPr="00FE019F" w:rsidRDefault="007434F1" w:rsidP="00FE019F">
      <w:pPr>
        <w:pStyle w:val="Heading2"/>
        <w:rPr>
          <w:rFonts w:eastAsia="Malgun Gothic"/>
          <w:lang w:val="en-US" w:eastAsia="sv-SE"/>
        </w:rPr>
      </w:pPr>
      <w:r>
        <w:rPr>
          <w:rFonts w:eastAsia="Malgun Gothic"/>
          <w:lang w:val="en-US" w:eastAsia="sv-SE"/>
        </w:rPr>
        <w:t xml:space="preserve">Improved post-processing </w:t>
      </w:r>
      <w:r w:rsidR="00D12D57">
        <w:rPr>
          <w:rFonts w:eastAsia="Malgun Gothic"/>
          <w:lang w:val="en-US" w:eastAsia="sv-SE"/>
        </w:rPr>
        <w:t>of</w:t>
      </w:r>
      <w:r>
        <w:rPr>
          <w:rFonts w:eastAsia="Malgun Gothic"/>
          <w:lang w:val="en-US" w:eastAsia="sv-SE"/>
        </w:rPr>
        <w:t xml:space="preserve"> correlation output</w:t>
      </w:r>
    </w:p>
    <w:p w:rsidR="00D12D57" w:rsidRPr="00FE019F" w:rsidRDefault="00BF155C" w:rsidP="0032164D">
      <w:pPr>
        <w:rPr>
          <w:rFonts w:ascii="Times New Roman" w:eastAsia="Malgun Gothic" w:hAnsi="Times New Roman"/>
          <w:sz w:val="22"/>
          <w:szCs w:val="22"/>
          <w:lang w:val="en-US" w:eastAsia="sv-SE"/>
        </w:rPr>
      </w:pPr>
      <w:r w:rsidRPr="00FE019F">
        <w:rPr>
          <w:rFonts w:ascii="Times New Roman" w:eastAsia="Malgun Gothic" w:hAnsi="Times New Roman"/>
          <w:sz w:val="22"/>
          <w:szCs w:val="22"/>
          <w:lang w:val="en-US" w:eastAsia="sv-SE"/>
        </w:rPr>
        <w:t>In the companion paper [</w:t>
      </w:r>
      <w:r w:rsidR="004741D9" w:rsidRPr="00FE019F">
        <w:rPr>
          <w:rFonts w:ascii="Times New Roman" w:eastAsia="Malgun Gothic" w:hAnsi="Times New Roman"/>
          <w:sz w:val="22"/>
          <w:szCs w:val="22"/>
          <w:lang w:val="en-US" w:eastAsia="sv-SE"/>
        </w:rPr>
        <w:t>2</w:t>
      </w:r>
      <w:r w:rsidRPr="00FE019F">
        <w:rPr>
          <w:rFonts w:ascii="Times New Roman" w:eastAsia="Malgun Gothic" w:hAnsi="Times New Roman"/>
          <w:sz w:val="22"/>
          <w:szCs w:val="22"/>
          <w:lang w:val="en-US" w:eastAsia="sv-SE"/>
        </w:rPr>
        <w:t>], we have provided some discussion on the auto-correlation properties of the current PRS</w:t>
      </w:r>
      <w:r w:rsidR="00216DFD" w:rsidRPr="00FE019F">
        <w:rPr>
          <w:rFonts w:ascii="Times New Roman" w:eastAsia="Malgun Gothic" w:hAnsi="Times New Roman"/>
          <w:sz w:val="22"/>
          <w:szCs w:val="22"/>
          <w:lang w:val="en-US" w:eastAsia="sv-SE"/>
        </w:rPr>
        <w:t xml:space="preserve">. In Figure 2 below, we show the result of correlating a PRS with itself (auto-correlation). </w:t>
      </w:r>
      <w:r w:rsidR="00216DFD" w:rsidRPr="00FE019F">
        <w:rPr>
          <w:rFonts w:ascii="Times New Roman" w:eastAsia="Malgun Gothic" w:hAnsi="Times New Roman"/>
          <w:sz w:val="22"/>
          <w:szCs w:val="22"/>
          <w:lang w:val="en-US" w:eastAsia="sv-SE"/>
        </w:rPr>
        <w:lastRenderedPageBreak/>
        <w:t>According to the figure, the auto-correlation of the PRS gives rise to some undesired side peaks that makes it harder for the current TOA estimation algorithm (described in Section 2) to detect the desired main peak. However, we note that the slides lobes/peaks occur at a constant time interval. An improved UE receiver can make use of this knowledge to reduce the ambiguity created by the side peaks.</w:t>
      </w:r>
    </w:p>
    <w:p w:rsidR="00D12D57" w:rsidRDefault="00D12D57" w:rsidP="0032164D">
      <w:pPr>
        <w:rPr>
          <w:rFonts w:eastAsia="Malgun Gothic"/>
          <w:lang w:val="en-US" w:eastAsia="sv-SE"/>
        </w:rPr>
      </w:pPr>
    </w:p>
    <w:p w:rsidR="00D12D57" w:rsidRDefault="00BF155C" w:rsidP="0032164D">
      <w:pPr>
        <w:rPr>
          <w:rFonts w:eastAsia="Malgun Gothic"/>
          <w:lang w:val="en-US" w:eastAsia="sv-SE"/>
        </w:rPr>
      </w:pPr>
      <w:r>
        <w:rPr>
          <w:rFonts w:eastAsia="Malgun Gothic"/>
          <w:lang w:val="en-US" w:eastAsia="sv-SE"/>
        </w:rPr>
        <w:t xml:space="preserve">  </w:t>
      </w:r>
      <w:r w:rsidR="00D046BC" w:rsidRPr="0032164D">
        <w:rPr>
          <w:rFonts w:eastAsia="Malgun Gothic"/>
          <w:noProof/>
          <w:lang w:val="en-US" w:eastAsia="en-US"/>
        </w:rPr>
        <w:drawing>
          <wp:inline distT="0" distB="0" distL="0" distR="0" wp14:anchorId="012FF6CE" wp14:editId="281BF03D">
            <wp:extent cx="5761990" cy="3209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1990" cy="3209290"/>
                    </a:xfrm>
                    <a:prstGeom prst="rect">
                      <a:avLst/>
                    </a:prstGeom>
                    <a:noFill/>
                  </pic:spPr>
                </pic:pic>
              </a:graphicData>
            </a:graphic>
          </wp:inline>
        </w:drawing>
      </w:r>
    </w:p>
    <w:p w:rsidR="00D12D57" w:rsidRDefault="00D12D57" w:rsidP="0032164D">
      <w:pPr>
        <w:rPr>
          <w:rFonts w:eastAsia="Malgun Gothic"/>
          <w:lang w:val="en-US" w:eastAsia="sv-SE"/>
        </w:rPr>
      </w:pPr>
    </w:p>
    <w:p w:rsidR="00D12D57" w:rsidRDefault="00D12D57" w:rsidP="00D12D57">
      <w:pPr>
        <w:jc w:val="center"/>
      </w:pPr>
      <w:proofErr w:type="gramStart"/>
      <w:r>
        <w:rPr>
          <w:rStyle w:val="IvDbodytextChar"/>
          <w:rFonts w:eastAsia="SimSun"/>
        </w:rPr>
        <w:t>Figure 2.</w:t>
      </w:r>
      <w:proofErr w:type="gramEnd"/>
      <w:r>
        <w:rPr>
          <w:rStyle w:val="IvDbodytextChar"/>
          <w:rFonts w:eastAsia="SimSun"/>
        </w:rPr>
        <w:t xml:space="preserve"> Autocorrelation output of current PRS pattern with normal CP</w:t>
      </w:r>
    </w:p>
    <w:p w:rsidR="00D12D57" w:rsidRPr="0032164D" w:rsidRDefault="00D12D57" w:rsidP="0032164D">
      <w:pPr>
        <w:rPr>
          <w:rFonts w:eastAsia="Malgun Gothic"/>
          <w:lang w:eastAsia="sv-SE"/>
        </w:rPr>
      </w:pPr>
    </w:p>
    <w:p w:rsidR="007434F1" w:rsidRDefault="007434F1" w:rsidP="0032164D">
      <w:pPr>
        <w:rPr>
          <w:rFonts w:eastAsia="Malgun Gothic"/>
          <w:lang w:val="en-US" w:eastAsia="sv-SE"/>
        </w:rPr>
      </w:pPr>
    </w:p>
    <w:p w:rsidR="007434F1" w:rsidRDefault="007434F1" w:rsidP="0032164D">
      <w:pPr>
        <w:pStyle w:val="Heading2"/>
        <w:rPr>
          <w:rFonts w:eastAsia="Malgun Gothic"/>
          <w:lang w:val="en-US" w:eastAsia="sv-SE"/>
        </w:rPr>
      </w:pPr>
      <w:r>
        <w:rPr>
          <w:rFonts w:eastAsia="Malgun Gothic"/>
          <w:lang w:val="en-US" w:eastAsia="sv-SE"/>
        </w:rPr>
        <w:t>Avoiding inter-carrier interference</w:t>
      </w:r>
    </w:p>
    <w:p w:rsidR="00D12D57" w:rsidRDefault="00D12D57" w:rsidP="0032164D">
      <w:pPr>
        <w:rPr>
          <w:rFonts w:eastAsia="Malgun Gothic"/>
          <w:lang w:val="en-US" w:eastAsia="sv-SE"/>
        </w:rPr>
      </w:pPr>
    </w:p>
    <w:p w:rsidR="00216DFD" w:rsidRDefault="00D12D57" w:rsidP="0032164D">
      <w:pPr>
        <w:rPr>
          <w:rFonts w:eastAsia="Malgun Gothic"/>
          <w:lang w:val="en-US" w:eastAsia="sv-SE"/>
        </w:rPr>
      </w:pPr>
      <w:r w:rsidRPr="00FE019F">
        <w:rPr>
          <w:rFonts w:ascii="Times New Roman" w:eastAsia="Malgun Gothic" w:hAnsi="Times New Roman"/>
          <w:sz w:val="22"/>
          <w:szCs w:val="22"/>
          <w:lang w:val="en-US" w:eastAsia="sv-SE"/>
        </w:rPr>
        <w:t>The sub-carriers within an OFDM symbol are orthogonal when transmitted</w:t>
      </w:r>
      <w:r w:rsidR="00216DFD" w:rsidRPr="00FE019F">
        <w:rPr>
          <w:rFonts w:ascii="Times New Roman" w:eastAsia="Malgun Gothic" w:hAnsi="Times New Roman"/>
          <w:sz w:val="22"/>
          <w:szCs w:val="22"/>
          <w:lang w:val="en-US" w:eastAsia="sv-SE"/>
        </w:rPr>
        <w:t>. H</w:t>
      </w:r>
      <w:r w:rsidRPr="00FE019F">
        <w:rPr>
          <w:rFonts w:ascii="Times New Roman" w:eastAsia="Malgun Gothic" w:hAnsi="Times New Roman"/>
          <w:sz w:val="22"/>
          <w:szCs w:val="22"/>
          <w:lang w:val="en-US" w:eastAsia="sv-SE"/>
        </w:rPr>
        <w:t xml:space="preserve">owever, </w:t>
      </w:r>
      <w:r w:rsidR="00216DFD" w:rsidRPr="00FE019F">
        <w:rPr>
          <w:rFonts w:ascii="Times New Roman" w:eastAsia="Malgun Gothic" w:hAnsi="Times New Roman"/>
          <w:sz w:val="22"/>
          <w:szCs w:val="22"/>
          <w:lang w:val="en-US" w:eastAsia="sv-SE"/>
        </w:rPr>
        <w:t>in the received signal</w:t>
      </w:r>
      <w:r w:rsidR="00EC55F4" w:rsidRPr="00FE019F">
        <w:rPr>
          <w:rFonts w:ascii="Times New Roman" w:eastAsia="Malgun Gothic" w:hAnsi="Times New Roman"/>
          <w:sz w:val="22"/>
          <w:szCs w:val="22"/>
          <w:lang w:val="en-US" w:eastAsia="sv-SE"/>
        </w:rPr>
        <w:t>,</w:t>
      </w:r>
      <w:r w:rsidRPr="00FE019F">
        <w:rPr>
          <w:rFonts w:ascii="Times New Roman" w:eastAsia="Malgun Gothic" w:hAnsi="Times New Roman"/>
          <w:sz w:val="22"/>
          <w:szCs w:val="22"/>
          <w:lang w:val="en-US" w:eastAsia="sv-SE"/>
        </w:rPr>
        <w:t xml:space="preserve"> the </w:t>
      </w:r>
      <w:r w:rsidR="00EC55F4" w:rsidRPr="00FE019F">
        <w:rPr>
          <w:rFonts w:ascii="Times New Roman" w:eastAsia="Malgun Gothic" w:hAnsi="Times New Roman"/>
          <w:sz w:val="22"/>
          <w:szCs w:val="22"/>
          <w:lang w:val="en-US" w:eastAsia="sv-SE"/>
        </w:rPr>
        <w:t xml:space="preserve">sub-carriers </w:t>
      </w:r>
      <w:proofErr w:type="gramStart"/>
      <w:r w:rsidR="00EC55F4" w:rsidRPr="00FE019F">
        <w:rPr>
          <w:rFonts w:ascii="Times New Roman" w:eastAsia="Malgun Gothic" w:hAnsi="Times New Roman"/>
          <w:sz w:val="22"/>
          <w:szCs w:val="22"/>
          <w:lang w:val="en-US" w:eastAsia="sv-SE"/>
        </w:rPr>
        <w:t xml:space="preserve">generally  </w:t>
      </w:r>
      <w:r w:rsidR="00216DFD" w:rsidRPr="00FE019F">
        <w:rPr>
          <w:rFonts w:ascii="Times New Roman" w:eastAsia="Malgun Gothic" w:hAnsi="Times New Roman"/>
          <w:sz w:val="22"/>
          <w:szCs w:val="22"/>
          <w:lang w:val="en-US" w:eastAsia="sv-SE"/>
        </w:rPr>
        <w:t>have</w:t>
      </w:r>
      <w:proofErr w:type="gramEnd"/>
      <w:r w:rsidR="00216DFD" w:rsidRPr="00FE019F">
        <w:rPr>
          <w:rFonts w:ascii="Times New Roman" w:eastAsia="Malgun Gothic" w:hAnsi="Times New Roman"/>
          <w:sz w:val="22"/>
          <w:szCs w:val="22"/>
          <w:lang w:val="en-US" w:eastAsia="sv-SE"/>
        </w:rPr>
        <w:t xml:space="preserve"> lost </w:t>
      </w:r>
      <w:r w:rsidR="00EC55F4" w:rsidRPr="00FE019F">
        <w:rPr>
          <w:rFonts w:ascii="Times New Roman" w:eastAsia="Malgun Gothic" w:hAnsi="Times New Roman"/>
          <w:sz w:val="22"/>
          <w:szCs w:val="22"/>
          <w:lang w:val="en-US" w:eastAsia="sv-SE"/>
        </w:rPr>
        <w:t xml:space="preserve">orthogonality leading to inter-carrier interference. </w:t>
      </w:r>
      <w:r w:rsidR="00216DFD" w:rsidRPr="00FE019F">
        <w:rPr>
          <w:rFonts w:ascii="Times New Roman" w:eastAsia="Malgun Gothic" w:hAnsi="Times New Roman"/>
          <w:sz w:val="22"/>
          <w:szCs w:val="22"/>
          <w:lang w:val="en-US" w:eastAsia="sv-SE"/>
        </w:rPr>
        <w:t xml:space="preserve">When the sub-carriers lose orthogonality, the inter-PRS interference would increase leading to degraded cross-correlation performance. A carefully designed receiver can avoid this issue by considering only those sub-carriers in the correlation procedure that are relevant to the desired PRS. Such an implementation can be especially helpful in denser deployments where an ideal PRS muting is hard to achieve. </w:t>
      </w:r>
    </w:p>
    <w:p w:rsidR="00216DFD" w:rsidRDefault="00216DFD" w:rsidP="0032164D">
      <w:pPr>
        <w:rPr>
          <w:rFonts w:eastAsia="Malgun Gothic"/>
          <w:lang w:val="en-US" w:eastAsia="sv-SE"/>
        </w:rPr>
      </w:pPr>
    </w:p>
    <w:p w:rsidR="00216DFD" w:rsidRDefault="00216DFD" w:rsidP="00216DFD">
      <w:pPr>
        <w:pStyle w:val="Heading2"/>
        <w:rPr>
          <w:rFonts w:eastAsia="Malgun Gothic"/>
          <w:lang w:val="en-US" w:eastAsia="sv-SE"/>
        </w:rPr>
      </w:pPr>
      <w:r>
        <w:rPr>
          <w:rFonts w:eastAsia="Malgun Gothic"/>
          <w:lang w:val="en-US" w:eastAsia="sv-SE"/>
        </w:rPr>
        <w:t>Improved RSTD Quality Assessment</w:t>
      </w:r>
    </w:p>
    <w:p w:rsidR="00C77B88" w:rsidRPr="00FE019F" w:rsidRDefault="00216DFD" w:rsidP="0032164D">
      <w:pPr>
        <w:rPr>
          <w:rFonts w:ascii="Times New Roman" w:eastAsia="Malgun Gothic" w:hAnsi="Times New Roman"/>
          <w:sz w:val="22"/>
          <w:szCs w:val="22"/>
          <w:lang w:val="en-US" w:eastAsia="sv-SE"/>
        </w:rPr>
      </w:pPr>
      <w:r w:rsidRPr="00FE019F">
        <w:rPr>
          <w:rFonts w:ascii="Times New Roman" w:eastAsia="Malgun Gothic" w:hAnsi="Times New Roman"/>
          <w:sz w:val="22"/>
          <w:szCs w:val="22"/>
          <w:lang w:val="en-US" w:eastAsia="sv-SE"/>
        </w:rPr>
        <w:t xml:space="preserve">Assessing the quality of the RSTD measurements is also a part of the receiver model. These quality assessments are reported to the location server </w:t>
      </w:r>
      <w:r w:rsidR="000B1BB2" w:rsidRPr="00FE019F">
        <w:rPr>
          <w:rFonts w:ascii="Times New Roman" w:eastAsia="Malgun Gothic" w:hAnsi="Times New Roman"/>
          <w:sz w:val="22"/>
          <w:szCs w:val="22"/>
          <w:lang w:val="en-US" w:eastAsia="sv-SE"/>
        </w:rPr>
        <w:t>which helps in</w:t>
      </w:r>
      <w:r w:rsidR="00C77B88" w:rsidRPr="00FE019F">
        <w:rPr>
          <w:rFonts w:ascii="Times New Roman" w:eastAsia="Malgun Gothic" w:hAnsi="Times New Roman"/>
          <w:sz w:val="22"/>
          <w:szCs w:val="22"/>
          <w:lang w:val="en-US" w:eastAsia="sv-SE"/>
        </w:rPr>
        <w:t xml:space="preserve"> comput</w:t>
      </w:r>
      <w:r w:rsidR="000B1BB2" w:rsidRPr="00FE019F">
        <w:rPr>
          <w:rFonts w:ascii="Times New Roman" w:eastAsia="Malgun Gothic" w:hAnsi="Times New Roman"/>
          <w:sz w:val="22"/>
          <w:szCs w:val="22"/>
          <w:lang w:val="en-US" w:eastAsia="sv-SE"/>
        </w:rPr>
        <w:t>ing</w:t>
      </w:r>
      <w:r w:rsidR="00C77B88" w:rsidRPr="00FE019F">
        <w:rPr>
          <w:rFonts w:ascii="Times New Roman" w:eastAsia="Malgun Gothic" w:hAnsi="Times New Roman"/>
          <w:sz w:val="22"/>
          <w:szCs w:val="22"/>
          <w:lang w:val="en-US" w:eastAsia="sv-SE"/>
        </w:rPr>
        <w:t xml:space="preserve"> a more reliable position estimate. In a companion contribution [3], we have discussed the importance of these reports and the potential enhancements related to them that can better capture </w:t>
      </w:r>
      <w:r w:rsidR="003B456F">
        <w:rPr>
          <w:rFonts w:ascii="Times New Roman" w:eastAsia="Malgun Gothic" w:hAnsi="Times New Roman"/>
          <w:sz w:val="22"/>
          <w:szCs w:val="22"/>
          <w:lang w:val="en-US" w:eastAsia="sv-SE"/>
        </w:rPr>
        <w:t>other</w:t>
      </w:r>
      <w:r w:rsidR="00C77B88" w:rsidRPr="00FE019F">
        <w:rPr>
          <w:rFonts w:ascii="Times New Roman" w:eastAsia="Malgun Gothic" w:hAnsi="Times New Roman"/>
          <w:sz w:val="22"/>
          <w:szCs w:val="22"/>
          <w:lang w:val="en-US" w:eastAsia="sv-SE"/>
        </w:rPr>
        <w:t xml:space="preserve"> relevant parameters such</w:t>
      </w:r>
      <w:r w:rsidR="000B1BB2" w:rsidRPr="00FE019F">
        <w:rPr>
          <w:rFonts w:ascii="Times New Roman" w:eastAsia="Malgun Gothic" w:hAnsi="Times New Roman"/>
          <w:sz w:val="22"/>
          <w:szCs w:val="22"/>
          <w:lang w:val="en-US" w:eastAsia="sv-SE"/>
        </w:rPr>
        <w:t xml:space="preserve"> as</w:t>
      </w:r>
      <w:r w:rsidR="00C77B88" w:rsidRPr="00FE019F">
        <w:rPr>
          <w:rFonts w:ascii="Times New Roman" w:eastAsia="Malgun Gothic" w:hAnsi="Times New Roman"/>
          <w:sz w:val="22"/>
          <w:szCs w:val="22"/>
          <w:lang w:val="en-US" w:eastAsia="sv-SE"/>
        </w:rPr>
        <w:t xml:space="preserve"> SNR and stronger NLOS situations. </w:t>
      </w:r>
    </w:p>
    <w:p w:rsidR="00C77B88" w:rsidRPr="00FE019F" w:rsidRDefault="00C77B88" w:rsidP="0032164D">
      <w:pPr>
        <w:rPr>
          <w:rFonts w:ascii="Times New Roman" w:eastAsia="Malgun Gothic" w:hAnsi="Times New Roman"/>
          <w:sz w:val="22"/>
          <w:szCs w:val="22"/>
          <w:lang w:val="en-US" w:eastAsia="sv-SE"/>
        </w:rPr>
      </w:pPr>
    </w:p>
    <w:p w:rsidR="00216DFD" w:rsidRDefault="008625CB" w:rsidP="0032164D">
      <w:pPr>
        <w:rPr>
          <w:rFonts w:ascii="Times New Roman" w:eastAsia="Malgun Gothic" w:hAnsi="Times New Roman"/>
          <w:sz w:val="22"/>
          <w:szCs w:val="22"/>
          <w:lang w:val="en-US" w:eastAsia="sv-SE"/>
        </w:rPr>
      </w:pPr>
      <w:r w:rsidRPr="00FE019F">
        <w:rPr>
          <w:rFonts w:ascii="Times New Roman" w:eastAsia="Malgun Gothic" w:hAnsi="Times New Roman"/>
          <w:sz w:val="22"/>
          <w:szCs w:val="22"/>
          <w:lang w:val="en-US" w:eastAsia="sv-SE"/>
        </w:rPr>
        <w:t>In</w:t>
      </w:r>
      <w:r w:rsidR="00C77B88" w:rsidRPr="00FE019F">
        <w:rPr>
          <w:rFonts w:ascii="Times New Roman" w:eastAsia="Malgun Gothic" w:hAnsi="Times New Roman"/>
          <w:sz w:val="22"/>
          <w:szCs w:val="22"/>
          <w:lang w:val="en-US" w:eastAsia="sv-SE"/>
        </w:rPr>
        <w:t xml:space="preserve"> the current reporting procedure, it would be useful to discuss and agree on a baseline method that maps uncertainties in the TOA estimate to the quality assessment report. Note that in our companion paper [</w:t>
      </w:r>
      <w:r w:rsidR="00BA6096" w:rsidRPr="00FE019F">
        <w:rPr>
          <w:rFonts w:ascii="Times New Roman" w:eastAsia="Malgun Gothic" w:hAnsi="Times New Roman"/>
          <w:sz w:val="22"/>
          <w:szCs w:val="22"/>
          <w:lang w:val="en-US" w:eastAsia="sv-SE"/>
        </w:rPr>
        <w:t>1</w:t>
      </w:r>
      <w:r w:rsidR="00C77B88" w:rsidRPr="00FE019F">
        <w:rPr>
          <w:rFonts w:ascii="Times New Roman" w:eastAsia="Malgun Gothic" w:hAnsi="Times New Roman"/>
          <w:sz w:val="22"/>
          <w:szCs w:val="22"/>
          <w:lang w:val="en-US" w:eastAsia="sv-SE"/>
        </w:rPr>
        <w:t>],</w:t>
      </w:r>
      <w:r w:rsidRPr="00FE019F">
        <w:rPr>
          <w:rFonts w:ascii="Times New Roman" w:eastAsia="Malgun Gothic" w:hAnsi="Times New Roman"/>
          <w:sz w:val="22"/>
          <w:szCs w:val="22"/>
          <w:lang w:val="en-US" w:eastAsia="sv-SE"/>
        </w:rPr>
        <w:t xml:space="preserve"> the </w:t>
      </w:r>
      <w:r w:rsidRPr="00FE019F">
        <w:rPr>
          <w:rFonts w:ascii="Times New Roman" w:eastAsia="Malgun Gothic" w:hAnsi="Times New Roman"/>
          <w:sz w:val="22"/>
          <w:szCs w:val="22"/>
          <w:lang w:val="en-US" w:eastAsia="sv-SE"/>
        </w:rPr>
        <w:lastRenderedPageBreak/>
        <w:t>link quality assessment is based on peak values of the correlation output</w:t>
      </w:r>
      <w:r w:rsidR="00FE4D0C" w:rsidRPr="00FE019F">
        <w:rPr>
          <w:rFonts w:ascii="Times New Roman" w:eastAsia="Malgun Gothic" w:hAnsi="Times New Roman"/>
          <w:sz w:val="22"/>
          <w:szCs w:val="22"/>
          <w:lang w:val="en-US" w:eastAsia="sv-SE"/>
        </w:rPr>
        <w:t>, which can</w:t>
      </w:r>
      <w:r w:rsidRPr="00FE019F">
        <w:rPr>
          <w:rFonts w:ascii="Times New Roman" w:eastAsia="Malgun Gothic" w:hAnsi="Times New Roman"/>
          <w:sz w:val="22"/>
          <w:szCs w:val="22"/>
          <w:lang w:val="en-US" w:eastAsia="sv-SE"/>
        </w:rPr>
        <w:t xml:space="preserve"> be potentially enhanced </w:t>
      </w:r>
      <w:r w:rsidR="00FE4D0C" w:rsidRPr="00FE019F">
        <w:rPr>
          <w:rFonts w:ascii="Times New Roman" w:eastAsia="Malgun Gothic" w:hAnsi="Times New Roman"/>
          <w:sz w:val="22"/>
          <w:szCs w:val="22"/>
          <w:lang w:val="en-US" w:eastAsia="sv-SE"/>
        </w:rPr>
        <w:t xml:space="preserve">by </w:t>
      </w:r>
      <w:r w:rsidRPr="00FE019F">
        <w:rPr>
          <w:rFonts w:ascii="Times New Roman" w:eastAsia="Malgun Gothic" w:hAnsi="Times New Roman"/>
          <w:sz w:val="22"/>
          <w:szCs w:val="22"/>
          <w:lang w:val="en-US" w:eastAsia="sv-SE"/>
        </w:rPr>
        <w:t>conside</w:t>
      </w:r>
      <w:r w:rsidR="00FE4D0C" w:rsidRPr="00FE019F">
        <w:rPr>
          <w:rFonts w:ascii="Times New Roman" w:eastAsia="Malgun Gothic" w:hAnsi="Times New Roman"/>
          <w:sz w:val="22"/>
          <w:szCs w:val="22"/>
          <w:lang w:val="en-US" w:eastAsia="sv-SE"/>
        </w:rPr>
        <w:t>ring other factors, and thus help</w:t>
      </w:r>
      <w:r w:rsidRPr="00FE019F">
        <w:rPr>
          <w:rFonts w:ascii="Times New Roman" w:eastAsia="Malgun Gothic" w:hAnsi="Times New Roman"/>
          <w:sz w:val="22"/>
          <w:szCs w:val="22"/>
          <w:lang w:val="en-US" w:eastAsia="sv-SE"/>
        </w:rPr>
        <w:t xml:space="preserve"> to improve the overall position estimate. </w:t>
      </w:r>
    </w:p>
    <w:p w:rsidR="006A74DE" w:rsidRDefault="006A74DE" w:rsidP="0032164D">
      <w:pPr>
        <w:rPr>
          <w:rFonts w:ascii="Times New Roman" w:eastAsia="Malgun Gothic" w:hAnsi="Times New Roman"/>
          <w:sz w:val="22"/>
          <w:szCs w:val="22"/>
          <w:lang w:val="en-US" w:eastAsia="sv-SE"/>
        </w:rPr>
      </w:pPr>
    </w:p>
    <w:p w:rsidR="006A74DE" w:rsidRDefault="006A74DE" w:rsidP="006A74DE">
      <w:pPr>
        <w:rPr>
          <w:rFonts w:ascii="Times New Roman" w:eastAsia="Malgun Gothic" w:hAnsi="Times New Roman"/>
          <w:sz w:val="22"/>
          <w:szCs w:val="22"/>
          <w:lang w:val="en-US" w:eastAsia="sv-SE"/>
        </w:rPr>
      </w:pPr>
      <w:r>
        <w:rPr>
          <w:rFonts w:ascii="Times New Roman" w:eastAsia="Malgun Gothic" w:hAnsi="Times New Roman"/>
          <w:sz w:val="22"/>
          <w:szCs w:val="22"/>
          <w:lang w:val="en-US" w:eastAsia="sv-SE"/>
        </w:rPr>
        <w:t>Based on the discussion in Section 3, we have the following observations.</w:t>
      </w:r>
    </w:p>
    <w:p w:rsidR="006A74DE" w:rsidRPr="00FE019F" w:rsidRDefault="006A74DE" w:rsidP="006A74DE">
      <w:pPr>
        <w:rPr>
          <w:rFonts w:ascii="Times New Roman" w:eastAsia="Malgun Gothic" w:hAnsi="Times New Roman"/>
          <w:b/>
          <w:sz w:val="22"/>
          <w:szCs w:val="22"/>
          <w:lang w:val="en-US" w:eastAsia="sv-SE"/>
        </w:rPr>
      </w:pPr>
      <w:r w:rsidRPr="00FE019F">
        <w:rPr>
          <w:rFonts w:ascii="Times New Roman" w:eastAsia="Malgun Gothic" w:hAnsi="Times New Roman"/>
          <w:b/>
          <w:sz w:val="22"/>
          <w:szCs w:val="22"/>
          <w:lang w:val="en-US" w:eastAsia="sv-SE"/>
        </w:rPr>
        <w:t>Observations:</w:t>
      </w:r>
    </w:p>
    <w:p w:rsidR="006A74DE" w:rsidRDefault="006A74DE" w:rsidP="006A74DE">
      <w:pPr>
        <w:ind w:left="567"/>
        <w:rPr>
          <w:rFonts w:ascii="Times New Roman" w:eastAsia="Malgun Gothic" w:hAnsi="Times New Roman"/>
          <w:sz w:val="22"/>
          <w:szCs w:val="22"/>
          <w:lang w:val="en-US" w:eastAsia="sv-SE"/>
        </w:rPr>
      </w:pPr>
      <w:r w:rsidRPr="00585D05">
        <w:rPr>
          <w:rFonts w:ascii="Times New Roman" w:hAnsi="Times New Roman"/>
          <w:b/>
          <w:bCs/>
        </w:rPr>
        <w:t>Observation 1: The UE receiver model used in evaluations ha</w:t>
      </w:r>
      <w:r>
        <w:rPr>
          <w:rFonts w:ascii="Times New Roman" w:hAnsi="Times New Roman"/>
          <w:b/>
          <w:bCs/>
        </w:rPr>
        <w:t>s</w:t>
      </w:r>
      <w:r w:rsidRPr="00585D05">
        <w:rPr>
          <w:rFonts w:ascii="Times New Roman" w:hAnsi="Times New Roman"/>
          <w:b/>
          <w:bCs/>
        </w:rPr>
        <w:t xml:space="preserve"> a significant impact on the </w:t>
      </w:r>
      <w:r w:rsidR="00AF5CC4">
        <w:rPr>
          <w:rFonts w:ascii="Times New Roman" w:hAnsi="Times New Roman"/>
          <w:b/>
          <w:bCs/>
        </w:rPr>
        <w:t>performance</w:t>
      </w:r>
      <w:r>
        <w:rPr>
          <w:rFonts w:ascii="Times New Roman" w:hAnsi="Times New Roman"/>
          <w:b/>
          <w:bCs/>
        </w:rPr>
        <w:t xml:space="preserve"> CDF.</w:t>
      </w:r>
    </w:p>
    <w:p w:rsidR="006A74DE" w:rsidRPr="0032164D" w:rsidRDefault="006A74DE" w:rsidP="006A74DE">
      <w:pPr>
        <w:ind w:left="567"/>
        <w:rPr>
          <w:rFonts w:ascii="Times New Roman" w:eastAsia="Malgun Gothic" w:hAnsi="Times New Roman"/>
          <w:sz w:val="22"/>
          <w:szCs w:val="22"/>
          <w:lang w:eastAsia="sv-SE"/>
        </w:rPr>
      </w:pPr>
      <w:r>
        <w:rPr>
          <w:rFonts w:ascii="Times New Roman" w:hAnsi="Times New Roman"/>
          <w:b/>
          <w:bCs/>
        </w:rPr>
        <w:t xml:space="preserve">Observation 2: The proposed UE receiver model is simple and effective for the evaluations. </w:t>
      </w:r>
    </w:p>
    <w:p w:rsidR="006A74DE" w:rsidRDefault="006A74DE" w:rsidP="006A74DE">
      <w:pPr>
        <w:ind w:left="567"/>
        <w:rPr>
          <w:rFonts w:ascii="Times New Roman" w:hAnsi="Times New Roman"/>
          <w:b/>
          <w:bCs/>
        </w:rPr>
      </w:pPr>
      <w:r>
        <w:rPr>
          <w:rFonts w:ascii="Times New Roman" w:hAnsi="Times New Roman"/>
          <w:b/>
          <w:bCs/>
        </w:rPr>
        <w:t>Observation 3</w:t>
      </w:r>
      <w:r w:rsidRPr="0032164D">
        <w:rPr>
          <w:rFonts w:ascii="Times New Roman" w:hAnsi="Times New Roman"/>
          <w:b/>
          <w:bCs/>
        </w:rPr>
        <w:t>: An advanced receiver model can improve the positioning performance</w:t>
      </w:r>
      <w:r>
        <w:rPr>
          <w:rFonts w:ascii="Times New Roman" w:hAnsi="Times New Roman"/>
          <w:b/>
          <w:bCs/>
        </w:rPr>
        <w:t>.</w:t>
      </w:r>
    </w:p>
    <w:p w:rsidR="00970015" w:rsidRDefault="00970015" w:rsidP="006A74DE">
      <w:pPr>
        <w:rPr>
          <w:rFonts w:ascii="Times New Roman" w:hAnsi="Times New Roman"/>
          <w:b/>
          <w:bCs/>
        </w:rPr>
      </w:pPr>
    </w:p>
    <w:p w:rsidR="006511C4" w:rsidRDefault="00D0535D" w:rsidP="006511C4">
      <w:pPr>
        <w:pStyle w:val="Heading1"/>
        <w:rPr>
          <w:lang w:val="en-US"/>
        </w:rPr>
      </w:pPr>
      <w:r>
        <w:rPr>
          <w:lang w:val="en-US"/>
        </w:rPr>
        <w:t>Conclusion</w:t>
      </w:r>
    </w:p>
    <w:p w:rsidR="00EB0CC5" w:rsidRDefault="006511C4" w:rsidP="00476DD6">
      <w:pPr>
        <w:overflowPunct/>
        <w:spacing w:after="0"/>
        <w:textAlignment w:val="auto"/>
        <w:rPr>
          <w:rFonts w:ascii="Times New Roman" w:hAnsi="Times New Roman"/>
          <w:sz w:val="22"/>
          <w:szCs w:val="22"/>
        </w:rPr>
      </w:pPr>
      <w:r w:rsidRPr="00476DD6">
        <w:rPr>
          <w:rFonts w:ascii="Times New Roman" w:hAnsi="Times New Roman"/>
          <w:sz w:val="22"/>
          <w:szCs w:val="22"/>
        </w:rPr>
        <w:t xml:space="preserve">In this contribution we discussed </w:t>
      </w:r>
      <w:r w:rsidR="00717A92" w:rsidRPr="00476DD6">
        <w:rPr>
          <w:rFonts w:ascii="Times New Roman" w:hAnsi="Times New Roman"/>
          <w:sz w:val="22"/>
          <w:szCs w:val="22"/>
        </w:rPr>
        <w:t xml:space="preserve">the impact of UE receiver assumptions on the positioning results. </w:t>
      </w:r>
      <w:r w:rsidR="00423B1C" w:rsidRPr="00476DD6">
        <w:rPr>
          <w:rFonts w:ascii="Times New Roman" w:hAnsi="Times New Roman"/>
          <w:sz w:val="22"/>
          <w:szCs w:val="22"/>
        </w:rPr>
        <w:t xml:space="preserve">Different receiver models </w:t>
      </w:r>
      <w:r w:rsidR="00717A92" w:rsidRPr="00476DD6">
        <w:rPr>
          <w:rFonts w:ascii="Times New Roman" w:hAnsi="Times New Roman"/>
          <w:sz w:val="22"/>
          <w:szCs w:val="22"/>
        </w:rPr>
        <w:t>may lead to very different simulation results</w:t>
      </w:r>
      <w:r w:rsidR="00476DD6" w:rsidRPr="00476DD6">
        <w:rPr>
          <w:rFonts w:ascii="Times New Roman" w:hAnsi="Times New Roman"/>
          <w:sz w:val="22"/>
          <w:szCs w:val="22"/>
        </w:rPr>
        <w:t xml:space="preserve">. This </w:t>
      </w:r>
      <w:r w:rsidR="00717A92" w:rsidRPr="00476DD6">
        <w:rPr>
          <w:rFonts w:ascii="Times New Roman" w:hAnsi="Times New Roman"/>
          <w:sz w:val="22"/>
          <w:szCs w:val="22"/>
        </w:rPr>
        <w:t xml:space="preserve">makes it </w:t>
      </w:r>
      <w:r w:rsidR="00476DD6" w:rsidRPr="00476DD6">
        <w:rPr>
          <w:rFonts w:ascii="Times New Roman" w:hAnsi="Times New Roman"/>
          <w:sz w:val="22"/>
          <w:szCs w:val="22"/>
        </w:rPr>
        <w:t>difficult to compare results between companies and draw proper conclusion for the study item</w:t>
      </w:r>
      <w:r w:rsidR="00717A92" w:rsidRPr="00476DD6">
        <w:rPr>
          <w:rFonts w:ascii="Times New Roman" w:hAnsi="Times New Roman"/>
          <w:sz w:val="22"/>
          <w:szCs w:val="22"/>
        </w:rPr>
        <w:t>.</w:t>
      </w:r>
      <w:r w:rsidR="00577276">
        <w:rPr>
          <w:rFonts w:ascii="Times New Roman" w:hAnsi="Times New Roman"/>
          <w:sz w:val="22"/>
          <w:szCs w:val="22"/>
        </w:rPr>
        <w:t xml:space="preserve"> </w:t>
      </w:r>
      <w:r w:rsidR="00476DD6" w:rsidRPr="00476DD6">
        <w:rPr>
          <w:rFonts w:ascii="Times New Roman" w:hAnsi="Times New Roman"/>
          <w:sz w:val="22"/>
          <w:szCs w:val="22"/>
        </w:rPr>
        <w:t xml:space="preserve">Based on </w:t>
      </w:r>
      <w:r w:rsidR="00EB0CC5">
        <w:rPr>
          <w:rFonts w:ascii="Times New Roman" w:hAnsi="Times New Roman"/>
          <w:sz w:val="22"/>
          <w:szCs w:val="22"/>
        </w:rPr>
        <w:t>the discussion, we have the following observations and proposals.</w:t>
      </w:r>
    </w:p>
    <w:p w:rsidR="00EB0CC5" w:rsidRDefault="00EB0CC5" w:rsidP="00476DD6">
      <w:pPr>
        <w:overflowPunct/>
        <w:spacing w:after="0"/>
        <w:textAlignment w:val="auto"/>
        <w:rPr>
          <w:rFonts w:ascii="Times New Roman" w:hAnsi="Times New Roman"/>
          <w:sz w:val="22"/>
          <w:szCs w:val="22"/>
        </w:rPr>
      </w:pPr>
    </w:p>
    <w:p w:rsidR="00EB0CC5" w:rsidRPr="00AE517D" w:rsidRDefault="00EB0CC5" w:rsidP="00EB0CC5">
      <w:pPr>
        <w:rPr>
          <w:rFonts w:ascii="Times New Roman" w:hAnsi="Times New Roman"/>
          <w:b/>
          <w:bCs/>
        </w:rPr>
      </w:pPr>
      <w:bookmarkStart w:id="0" w:name="_GoBack"/>
      <w:bookmarkEnd w:id="0"/>
      <w:r w:rsidRPr="005B4A5E">
        <w:rPr>
          <w:rFonts w:ascii="Times New Roman" w:hAnsi="Times New Roman"/>
          <w:b/>
          <w:bCs/>
        </w:rPr>
        <w:t>Proposal</w:t>
      </w:r>
      <w:r>
        <w:rPr>
          <w:rFonts w:ascii="Times New Roman" w:hAnsi="Times New Roman"/>
          <w:b/>
          <w:bCs/>
        </w:rPr>
        <w:t xml:space="preserve"> 1</w:t>
      </w:r>
      <w:r w:rsidRPr="005B4A5E">
        <w:rPr>
          <w:rFonts w:ascii="Times New Roman" w:hAnsi="Times New Roman"/>
          <w:b/>
          <w:bCs/>
        </w:rPr>
        <w:t xml:space="preserve">: The baseline performance results should be accompanied by the </w:t>
      </w:r>
      <w:r>
        <w:rPr>
          <w:rFonts w:ascii="Times New Roman" w:hAnsi="Times New Roman"/>
          <w:b/>
          <w:bCs/>
        </w:rPr>
        <w:t>description of</w:t>
      </w:r>
      <w:r w:rsidRPr="005B4A5E">
        <w:rPr>
          <w:rFonts w:ascii="Times New Roman" w:hAnsi="Times New Roman"/>
          <w:b/>
          <w:bCs/>
        </w:rPr>
        <w:t xml:space="preserve"> the UE receiver</w:t>
      </w:r>
      <w:r>
        <w:rPr>
          <w:rFonts w:ascii="Times New Roman" w:hAnsi="Times New Roman"/>
          <w:b/>
          <w:bCs/>
        </w:rPr>
        <w:t xml:space="preserve"> model</w:t>
      </w:r>
      <w:r w:rsidRPr="005B4A5E">
        <w:rPr>
          <w:rFonts w:ascii="Times New Roman" w:hAnsi="Times New Roman"/>
          <w:b/>
          <w:bCs/>
        </w:rPr>
        <w:t xml:space="preserve">. </w:t>
      </w:r>
    </w:p>
    <w:p w:rsidR="00EB0CC5" w:rsidRPr="0032164D" w:rsidRDefault="00EB0CC5" w:rsidP="00EB0CC5">
      <w:pPr>
        <w:rPr>
          <w:rFonts w:ascii="Times New Roman" w:hAnsi="Times New Roman"/>
          <w:b/>
          <w:bCs/>
        </w:rPr>
      </w:pPr>
      <w:r w:rsidRPr="005B4A5E">
        <w:rPr>
          <w:rFonts w:ascii="Times New Roman" w:hAnsi="Times New Roman"/>
          <w:b/>
          <w:bCs/>
        </w:rPr>
        <w:t>Proposal</w:t>
      </w:r>
      <w:r>
        <w:rPr>
          <w:rFonts w:ascii="Times New Roman" w:hAnsi="Times New Roman"/>
          <w:b/>
          <w:bCs/>
        </w:rPr>
        <w:t xml:space="preserve"> 2: UE receiver model for performance evaluation should be discussed and aligned in order to generate comparable results across companies. The proposed UE receiver model is a good candidate. </w:t>
      </w:r>
    </w:p>
    <w:p w:rsidR="00EB0CC5" w:rsidRDefault="00EB0CC5" w:rsidP="00476DD6">
      <w:pPr>
        <w:overflowPunct/>
        <w:spacing w:after="0"/>
        <w:textAlignment w:val="auto"/>
        <w:rPr>
          <w:rFonts w:ascii="Times New Roman" w:hAnsi="Times New Roman"/>
          <w:sz w:val="22"/>
          <w:szCs w:val="22"/>
        </w:rPr>
      </w:pPr>
    </w:p>
    <w:p w:rsidR="00EB0CC5" w:rsidRPr="00FE019F" w:rsidRDefault="00EB0CC5" w:rsidP="00EB0CC5">
      <w:pPr>
        <w:rPr>
          <w:rFonts w:ascii="Times New Roman" w:eastAsia="Malgun Gothic" w:hAnsi="Times New Roman"/>
          <w:b/>
          <w:sz w:val="22"/>
          <w:szCs w:val="22"/>
          <w:lang w:val="en-US" w:eastAsia="sv-SE"/>
        </w:rPr>
      </w:pPr>
      <w:r w:rsidRPr="00FE019F">
        <w:rPr>
          <w:rFonts w:ascii="Times New Roman" w:eastAsia="Malgun Gothic" w:hAnsi="Times New Roman"/>
          <w:b/>
          <w:sz w:val="22"/>
          <w:szCs w:val="22"/>
          <w:lang w:val="en-US" w:eastAsia="sv-SE"/>
        </w:rPr>
        <w:t>Observations:</w:t>
      </w:r>
    </w:p>
    <w:p w:rsidR="00EB0CC5" w:rsidRDefault="00EB0CC5" w:rsidP="00EB0CC5">
      <w:pPr>
        <w:ind w:left="567"/>
        <w:rPr>
          <w:rFonts w:ascii="Times New Roman" w:eastAsia="Malgun Gothic" w:hAnsi="Times New Roman"/>
          <w:sz w:val="22"/>
          <w:szCs w:val="22"/>
          <w:lang w:val="en-US" w:eastAsia="sv-SE"/>
        </w:rPr>
      </w:pPr>
      <w:r w:rsidRPr="00585D05">
        <w:rPr>
          <w:rFonts w:ascii="Times New Roman" w:hAnsi="Times New Roman"/>
          <w:b/>
          <w:bCs/>
        </w:rPr>
        <w:t>Observation 1: The UE receiver model used in evaluations ha</w:t>
      </w:r>
      <w:r>
        <w:rPr>
          <w:rFonts w:ascii="Times New Roman" w:hAnsi="Times New Roman"/>
          <w:b/>
          <w:bCs/>
        </w:rPr>
        <w:t>s</w:t>
      </w:r>
      <w:r w:rsidRPr="00585D05">
        <w:rPr>
          <w:rFonts w:ascii="Times New Roman" w:hAnsi="Times New Roman"/>
          <w:b/>
          <w:bCs/>
        </w:rPr>
        <w:t xml:space="preserve"> a significant impact on the </w:t>
      </w:r>
      <w:r w:rsidR="00AF5CC4">
        <w:rPr>
          <w:rFonts w:ascii="Times New Roman" w:hAnsi="Times New Roman"/>
          <w:b/>
          <w:bCs/>
        </w:rPr>
        <w:t>performance</w:t>
      </w:r>
      <w:r>
        <w:rPr>
          <w:rFonts w:ascii="Times New Roman" w:hAnsi="Times New Roman"/>
          <w:b/>
          <w:bCs/>
        </w:rPr>
        <w:t xml:space="preserve"> CDF.</w:t>
      </w:r>
    </w:p>
    <w:p w:rsidR="00EB0CC5" w:rsidRPr="0032164D" w:rsidRDefault="00EB0CC5" w:rsidP="00EB0CC5">
      <w:pPr>
        <w:ind w:left="567"/>
        <w:rPr>
          <w:rFonts w:ascii="Times New Roman" w:eastAsia="Malgun Gothic" w:hAnsi="Times New Roman"/>
          <w:sz w:val="22"/>
          <w:szCs w:val="22"/>
          <w:lang w:eastAsia="sv-SE"/>
        </w:rPr>
      </w:pPr>
      <w:r>
        <w:rPr>
          <w:rFonts w:ascii="Times New Roman" w:hAnsi="Times New Roman"/>
          <w:b/>
          <w:bCs/>
        </w:rPr>
        <w:t xml:space="preserve">Observation 2: The proposed UE receiver model is simple and effective for the evaluations. </w:t>
      </w:r>
    </w:p>
    <w:p w:rsidR="00EB0CC5" w:rsidRDefault="00EB0CC5" w:rsidP="00EB0CC5">
      <w:pPr>
        <w:ind w:left="567"/>
        <w:rPr>
          <w:rFonts w:ascii="Times New Roman" w:hAnsi="Times New Roman"/>
          <w:b/>
          <w:bCs/>
        </w:rPr>
      </w:pPr>
      <w:r>
        <w:rPr>
          <w:rFonts w:ascii="Times New Roman" w:hAnsi="Times New Roman"/>
          <w:b/>
          <w:bCs/>
        </w:rPr>
        <w:t>Observation 3</w:t>
      </w:r>
      <w:r w:rsidRPr="0032164D">
        <w:rPr>
          <w:rFonts w:ascii="Times New Roman" w:hAnsi="Times New Roman"/>
          <w:b/>
          <w:bCs/>
        </w:rPr>
        <w:t>: An advanced receiver model can improve the positioning performance</w:t>
      </w:r>
      <w:r>
        <w:rPr>
          <w:rFonts w:ascii="Times New Roman" w:hAnsi="Times New Roman"/>
          <w:b/>
          <w:bCs/>
        </w:rPr>
        <w:t>.</w:t>
      </w:r>
    </w:p>
    <w:p w:rsidR="00D0535D" w:rsidRPr="00717A92" w:rsidRDefault="00D0535D" w:rsidP="00D0535D">
      <w:pPr>
        <w:rPr>
          <w:b/>
          <w:lang w:val="en-US"/>
        </w:rPr>
      </w:pPr>
    </w:p>
    <w:p w:rsidR="00B35250" w:rsidRPr="00183D4A" w:rsidRDefault="00B35250" w:rsidP="00B35250">
      <w:pPr>
        <w:pStyle w:val="Heading1"/>
        <w:rPr>
          <w:lang w:val="en-US"/>
        </w:rPr>
      </w:pPr>
      <w:r w:rsidRPr="00183D4A">
        <w:rPr>
          <w:lang w:val="en-US"/>
        </w:rPr>
        <w:t>References</w:t>
      </w:r>
    </w:p>
    <w:p w:rsidR="00585D05" w:rsidRPr="00210EFF" w:rsidRDefault="00B35250" w:rsidP="00585D05">
      <w:pPr>
        <w:ind w:left="567" w:hanging="567"/>
        <w:rPr>
          <w:rFonts w:ascii="Times New Roman" w:hAnsi="Times New Roman"/>
          <w:sz w:val="22"/>
          <w:lang w:eastAsia="ko-KR"/>
        </w:rPr>
      </w:pPr>
      <w:r w:rsidRPr="00210EFF">
        <w:rPr>
          <w:rFonts w:ascii="Times New Roman" w:hAnsi="Times New Roman"/>
          <w:sz w:val="22"/>
          <w:lang w:eastAsia="ko-KR"/>
        </w:rPr>
        <w:t>[1]</w:t>
      </w:r>
      <w:r w:rsidRPr="00210EFF">
        <w:rPr>
          <w:rFonts w:ascii="Times New Roman" w:hAnsi="Times New Roman"/>
          <w:sz w:val="22"/>
          <w:lang w:eastAsia="ko-KR"/>
        </w:rPr>
        <w:tab/>
      </w:r>
      <w:r w:rsidR="00585D05" w:rsidRPr="00210EFF">
        <w:rPr>
          <w:rFonts w:ascii="Times New Roman" w:hAnsi="Times New Roman"/>
          <w:sz w:val="22"/>
          <w:lang w:eastAsia="ko-KR"/>
        </w:rPr>
        <w:t>R1-151942, Baseline Evaluation Results of OTDOA, Ericsson.</w:t>
      </w:r>
    </w:p>
    <w:p w:rsidR="004741D9" w:rsidRPr="00210EFF" w:rsidRDefault="004741D9" w:rsidP="00585D05">
      <w:pPr>
        <w:ind w:left="567" w:hanging="567"/>
        <w:rPr>
          <w:rFonts w:ascii="Times New Roman" w:hAnsi="Times New Roman"/>
          <w:sz w:val="22"/>
          <w:lang w:eastAsia="ko-KR"/>
        </w:rPr>
      </w:pPr>
      <w:r w:rsidRPr="00210EFF">
        <w:rPr>
          <w:rFonts w:ascii="Times New Roman" w:hAnsi="Times New Roman"/>
          <w:sz w:val="22"/>
          <w:lang w:eastAsia="ko-KR"/>
        </w:rPr>
        <w:t xml:space="preserve">[2]   R1-151945, PRS Enhancements for Indoor Positioning </w:t>
      </w:r>
    </w:p>
    <w:p w:rsidR="00C77B88" w:rsidRPr="00210EFF" w:rsidRDefault="00C77B88" w:rsidP="00585D05">
      <w:pPr>
        <w:ind w:left="567" w:hanging="567"/>
        <w:rPr>
          <w:rFonts w:ascii="Times New Roman" w:hAnsi="Times New Roman"/>
          <w:sz w:val="22"/>
          <w:lang w:eastAsia="ko-KR"/>
        </w:rPr>
      </w:pPr>
      <w:r w:rsidRPr="00210EFF">
        <w:rPr>
          <w:rFonts w:ascii="Times New Roman" w:hAnsi="Times New Roman"/>
          <w:sz w:val="22"/>
          <w:lang w:eastAsia="ko-KR"/>
        </w:rPr>
        <w:t xml:space="preserve">[3]   </w:t>
      </w:r>
      <w:r w:rsidR="000B1BB2" w:rsidRPr="00210EFF">
        <w:rPr>
          <w:rFonts w:ascii="Times New Roman" w:hAnsi="Times New Roman"/>
          <w:sz w:val="22"/>
          <w:lang w:eastAsia="ko-KR"/>
        </w:rPr>
        <w:t xml:space="preserve">R1-151944, Refined </w:t>
      </w:r>
      <w:r w:rsidRPr="00210EFF">
        <w:rPr>
          <w:rFonts w:ascii="Times New Roman" w:hAnsi="Times New Roman"/>
          <w:sz w:val="22"/>
          <w:lang w:eastAsia="ko-KR"/>
        </w:rPr>
        <w:t>RSTD</w:t>
      </w:r>
      <w:r w:rsidR="000B1BB2" w:rsidRPr="00210EFF">
        <w:rPr>
          <w:rFonts w:ascii="Times New Roman" w:hAnsi="Times New Roman"/>
          <w:sz w:val="22"/>
          <w:lang w:eastAsia="ko-KR"/>
        </w:rPr>
        <w:t xml:space="preserve"> Reporting</w:t>
      </w:r>
    </w:p>
    <w:p w:rsidR="005642B0" w:rsidRPr="006511C4" w:rsidRDefault="005642B0" w:rsidP="00717A92">
      <w:pPr>
        <w:ind w:left="567" w:hanging="567"/>
        <w:rPr>
          <w:rFonts w:ascii="Times New Roman" w:hAnsi="Times New Roman"/>
          <w:sz w:val="22"/>
          <w:lang w:eastAsia="ko-KR"/>
        </w:rPr>
      </w:pPr>
    </w:p>
    <w:p w:rsidR="003F7DC9" w:rsidRPr="003F7DC9" w:rsidRDefault="003F7DC9" w:rsidP="00CD3E08">
      <w:pPr>
        <w:pStyle w:val="Heading1"/>
        <w:numPr>
          <w:ilvl w:val="0"/>
          <w:numId w:val="0"/>
        </w:numPr>
      </w:pPr>
    </w:p>
    <w:sectPr w:rsidR="003F7DC9" w:rsidRPr="003F7DC9" w:rsidSect="00701470">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116" w:rsidRDefault="00F70116">
      <w:r>
        <w:separator/>
      </w:r>
    </w:p>
  </w:endnote>
  <w:endnote w:type="continuationSeparator" w:id="0">
    <w:p w:rsidR="00F70116" w:rsidRDefault="00F70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ulimChe">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BA8" w:rsidRDefault="00924B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7727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7276">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116" w:rsidRDefault="00F70116">
      <w:r>
        <w:separator/>
      </w:r>
    </w:p>
  </w:footnote>
  <w:footnote w:type="continuationSeparator" w:id="0">
    <w:p w:rsidR="00F70116" w:rsidRDefault="00F70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BA8" w:rsidRDefault="00924BA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3BF77A3"/>
    <w:multiLevelType w:val="hybridMultilevel"/>
    <w:tmpl w:val="2F789916"/>
    <w:lvl w:ilvl="0" w:tplc="06426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25AD08AA"/>
    <w:multiLevelType w:val="hybridMultilevel"/>
    <w:tmpl w:val="225EB5E6"/>
    <w:lvl w:ilvl="0" w:tplc="D8585890">
      <w:start w:val="1"/>
      <w:numFmt w:val="bullet"/>
      <w:lvlText w:val=""/>
      <w:lvlJc w:val="left"/>
      <w:pPr>
        <w:tabs>
          <w:tab w:val="num" w:pos="360"/>
        </w:tabs>
        <w:ind w:left="360" w:hanging="360"/>
      </w:pPr>
      <w:rPr>
        <w:rFonts w:ascii="Symbol" w:hAnsi="Symbol" w:hint="default"/>
      </w:rPr>
    </w:lvl>
    <w:lvl w:ilvl="1" w:tplc="E0FA50C8">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BD95BA8"/>
    <w:multiLevelType w:val="hybridMultilevel"/>
    <w:tmpl w:val="0E505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7C6941"/>
    <w:multiLevelType w:val="hybridMultilevel"/>
    <w:tmpl w:val="48881376"/>
    <w:lvl w:ilvl="0" w:tplc="DD56C7E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34A97964"/>
    <w:multiLevelType w:val="hybridMultilevel"/>
    <w:tmpl w:val="B1301EC4"/>
    <w:lvl w:ilvl="0" w:tplc="EDD00C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CC5D6C"/>
    <w:multiLevelType w:val="hybridMultilevel"/>
    <w:tmpl w:val="86285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A242440"/>
    <w:multiLevelType w:val="hybridMultilevel"/>
    <w:tmpl w:val="C7C2F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29">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3"/>
  </w:num>
  <w:num w:numId="2">
    <w:abstractNumId w:val="21"/>
  </w:num>
  <w:num w:numId="3">
    <w:abstractNumId w:val="16"/>
  </w:num>
  <w:num w:numId="4">
    <w:abstractNumId w:val="17"/>
  </w:num>
  <w:num w:numId="5">
    <w:abstractNumId w:val="10"/>
  </w:num>
  <w:num w:numId="6">
    <w:abstractNumId w:val="19"/>
  </w:num>
  <w:num w:numId="7">
    <w:abstractNumId w:val="24"/>
  </w:num>
  <w:num w:numId="8">
    <w:abstractNumId w:val="11"/>
  </w:num>
  <w:num w:numId="9">
    <w:abstractNumId w:val="28"/>
  </w:num>
  <w:num w:numId="10">
    <w:abstractNumId w:val="18"/>
  </w:num>
  <w:num w:numId="11">
    <w:abstractNumId w:val="7"/>
  </w:num>
  <w:num w:numId="12">
    <w:abstractNumId w:val="2"/>
  </w:num>
  <w:num w:numId="13">
    <w:abstractNumId w:val="1"/>
  </w:num>
  <w:num w:numId="14">
    <w:abstractNumId w:val="0"/>
  </w:num>
  <w:num w:numId="15">
    <w:abstractNumId w:val="22"/>
  </w:num>
  <w:num w:numId="16">
    <w:abstractNumId w:val="29"/>
  </w:num>
  <w:num w:numId="17">
    <w:abstractNumId w:val="27"/>
  </w:num>
  <w:num w:numId="18">
    <w:abstractNumId w:val="20"/>
  </w:num>
  <w:num w:numId="19">
    <w:abstractNumId w:val="23"/>
  </w:num>
  <w:num w:numId="20">
    <w:abstractNumId w:val="14"/>
  </w:num>
  <w:num w:numId="21">
    <w:abstractNumId w:val="26"/>
  </w:num>
  <w:num w:numId="22">
    <w:abstractNumId w:val="9"/>
  </w:num>
  <w:num w:numId="23">
    <w:abstractNumId w:val="3"/>
  </w:num>
  <w:num w:numId="24">
    <w:abstractNumId w:val="3"/>
  </w:num>
  <w:num w:numId="25">
    <w:abstractNumId w:val="5"/>
  </w:num>
  <w:num w:numId="26">
    <w:abstractNumId w:val="8"/>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6"/>
  </w:num>
  <w:num w:numId="30">
    <w:abstractNumId w:val="25"/>
  </w:num>
  <w:num w:numId="31">
    <w:abstractNumId w:val="12"/>
  </w:num>
  <w:num w:numId="32">
    <w:abstractNumId w:val="15"/>
  </w:num>
  <w:num w:numId="3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732"/>
    <w:rsid w:val="000006E1"/>
    <w:rsid w:val="00000E31"/>
    <w:rsid w:val="00001889"/>
    <w:rsid w:val="00002517"/>
    <w:rsid w:val="000025D2"/>
    <w:rsid w:val="00002A37"/>
    <w:rsid w:val="00002D87"/>
    <w:rsid w:val="00004FDC"/>
    <w:rsid w:val="00005326"/>
    <w:rsid w:val="00005A3B"/>
    <w:rsid w:val="00006446"/>
    <w:rsid w:val="00006896"/>
    <w:rsid w:val="000068E9"/>
    <w:rsid w:val="00006E5D"/>
    <w:rsid w:val="00007CDC"/>
    <w:rsid w:val="00007D9C"/>
    <w:rsid w:val="00010F36"/>
    <w:rsid w:val="00011B28"/>
    <w:rsid w:val="00011D15"/>
    <w:rsid w:val="00015D15"/>
    <w:rsid w:val="000200AB"/>
    <w:rsid w:val="000207A1"/>
    <w:rsid w:val="00020A49"/>
    <w:rsid w:val="0002138F"/>
    <w:rsid w:val="000213E1"/>
    <w:rsid w:val="00021747"/>
    <w:rsid w:val="00024C8A"/>
    <w:rsid w:val="0002564D"/>
    <w:rsid w:val="00025A20"/>
    <w:rsid w:val="00025ECA"/>
    <w:rsid w:val="00027C1E"/>
    <w:rsid w:val="00027E06"/>
    <w:rsid w:val="000312AB"/>
    <w:rsid w:val="00031FA3"/>
    <w:rsid w:val="000324E7"/>
    <w:rsid w:val="000325B8"/>
    <w:rsid w:val="000328E8"/>
    <w:rsid w:val="00033A86"/>
    <w:rsid w:val="00033F19"/>
    <w:rsid w:val="000342EE"/>
    <w:rsid w:val="00034C15"/>
    <w:rsid w:val="00035411"/>
    <w:rsid w:val="00036BA1"/>
    <w:rsid w:val="00036CFA"/>
    <w:rsid w:val="000411F1"/>
    <w:rsid w:val="000422E2"/>
    <w:rsid w:val="000428EB"/>
    <w:rsid w:val="00042F22"/>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234F"/>
    <w:rsid w:val="00063B81"/>
    <w:rsid w:val="00064732"/>
    <w:rsid w:val="0006487E"/>
    <w:rsid w:val="00065326"/>
    <w:rsid w:val="00065E1A"/>
    <w:rsid w:val="000665E0"/>
    <w:rsid w:val="00067918"/>
    <w:rsid w:val="00070CD4"/>
    <w:rsid w:val="00070D0B"/>
    <w:rsid w:val="00074A53"/>
    <w:rsid w:val="00074AE1"/>
    <w:rsid w:val="00075A2C"/>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375D"/>
    <w:rsid w:val="00094C95"/>
    <w:rsid w:val="0009510F"/>
    <w:rsid w:val="00096477"/>
    <w:rsid w:val="00097C44"/>
    <w:rsid w:val="000A042A"/>
    <w:rsid w:val="000A1B7B"/>
    <w:rsid w:val="000A56F2"/>
    <w:rsid w:val="000A7FA1"/>
    <w:rsid w:val="000B1BB2"/>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D16"/>
    <w:rsid w:val="000C5DC3"/>
    <w:rsid w:val="000C7F61"/>
    <w:rsid w:val="000D0D07"/>
    <w:rsid w:val="000D1605"/>
    <w:rsid w:val="000D33BC"/>
    <w:rsid w:val="000D39D8"/>
    <w:rsid w:val="000D4797"/>
    <w:rsid w:val="000D7726"/>
    <w:rsid w:val="000E0527"/>
    <w:rsid w:val="000E0BB6"/>
    <w:rsid w:val="000E1594"/>
    <w:rsid w:val="000E1A5A"/>
    <w:rsid w:val="000E1E92"/>
    <w:rsid w:val="000E2422"/>
    <w:rsid w:val="000E2700"/>
    <w:rsid w:val="000E2C99"/>
    <w:rsid w:val="000E3303"/>
    <w:rsid w:val="000E3D49"/>
    <w:rsid w:val="000E4724"/>
    <w:rsid w:val="000E6B66"/>
    <w:rsid w:val="000E7791"/>
    <w:rsid w:val="000F06D6"/>
    <w:rsid w:val="000F0EB1"/>
    <w:rsid w:val="000F1106"/>
    <w:rsid w:val="000F3BE9"/>
    <w:rsid w:val="000F3F6C"/>
    <w:rsid w:val="000F501C"/>
    <w:rsid w:val="000F5820"/>
    <w:rsid w:val="000F6DF3"/>
    <w:rsid w:val="001003C6"/>
    <w:rsid w:val="001005FF"/>
    <w:rsid w:val="00102C59"/>
    <w:rsid w:val="00103A4D"/>
    <w:rsid w:val="0010624F"/>
    <w:rsid w:val="001062FB"/>
    <w:rsid w:val="001063E6"/>
    <w:rsid w:val="001066BF"/>
    <w:rsid w:val="00106DAA"/>
    <w:rsid w:val="00111344"/>
    <w:rsid w:val="00111D65"/>
    <w:rsid w:val="00113CF4"/>
    <w:rsid w:val="00114F0D"/>
    <w:rsid w:val="001153EA"/>
    <w:rsid w:val="00115643"/>
    <w:rsid w:val="00116765"/>
    <w:rsid w:val="00117686"/>
    <w:rsid w:val="00120146"/>
    <w:rsid w:val="001219F5"/>
    <w:rsid w:val="00121A20"/>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2FB8"/>
    <w:rsid w:val="001432F0"/>
    <w:rsid w:val="00147D1F"/>
    <w:rsid w:val="00150128"/>
    <w:rsid w:val="001506E9"/>
    <w:rsid w:val="001507CB"/>
    <w:rsid w:val="00151E23"/>
    <w:rsid w:val="001526E0"/>
    <w:rsid w:val="00153107"/>
    <w:rsid w:val="00153CEE"/>
    <w:rsid w:val="00153DAD"/>
    <w:rsid w:val="001544F1"/>
    <w:rsid w:val="0015474F"/>
    <w:rsid w:val="001551B5"/>
    <w:rsid w:val="00161966"/>
    <w:rsid w:val="00162493"/>
    <w:rsid w:val="00162CEE"/>
    <w:rsid w:val="00163F0F"/>
    <w:rsid w:val="00164312"/>
    <w:rsid w:val="001649E0"/>
    <w:rsid w:val="001659C1"/>
    <w:rsid w:val="00167C98"/>
    <w:rsid w:val="00170156"/>
    <w:rsid w:val="00170DD0"/>
    <w:rsid w:val="001710A4"/>
    <w:rsid w:val="001726A6"/>
    <w:rsid w:val="00172864"/>
    <w:rsid w:val="00172AAE"/>
    <w:rsid w:val="001731A9"/>
    <w:rsid w:val="00173A8E"/>
    <w:rsid w:val="0018141E"/>
    <w:rsid w:val="0018143F"/>
    <w:rsid w:val="00183D4A"/>
    <w:rsid w:val="00184EE5"/>
    <w:rsid w:val="00190A22"/>
    <w:rsid w:val="00190AC1"/>
    <w:rsid w:val="00192C31"/>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4DC0"/>
    <w:rsid w:val="001B4F46"/>
    <w:rsid w:val="001B5A5D"/>
    <w:rsid w:val="001B5AE2"/>
    <w:rsid w:val="001B7233"/>
    <w:rsid w:val="001B78E9"/>
    <w:rsid w:val="001C00B9"/>
    <w:rsid w:val="001C055B"/>
    <w:rsid w:val="001C0A5F"/>
    <w:rsid w:val="001C1B84"/>
    <w:rsid w:val="001C1BD8"/>
    <w:rsid w:val="001C1CE5"/>
    <w:rsid w:val="001C3019"/>
    <w:rsid w:val="001C3857"/>
    <w:rsid w:val="001C3D2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534F"/>
    <w:rsid w:val="001E58E2"/>
    <w:rsid w:val="001E631A"/>
    <w:rsid w:val="001E6FB0"/>
    <w:rsid w:val="001E7446"/>
    <w:rsid w:val="001E7AED"/>
    <w:rsid w:val="001F2DFF"/>
    <w:rsid w:val="001F3916"/>
    <w:rsid w:val="001F3F53"/>
    <w:rsid w:val="001F459C"/>
    <w:rsid w:val="001F54C5"/>
    <w:rsid w:val="001F61DB"/>
    <w:rsid w:val="001F662C"/>
    <w:rsid w:val="001F7074"/>
    <w:rsid w:val="001F7346"/>
    <w:rsid w:val="001F7A7A"/>
    <w:rsid w:val="0020020B"/>
    <w:rsid w:val="00200490"/>
    <w:rsid w:val="00201707"/>
    <w:rsid w:val="00201E53"/>
    <w:rsid w:val="00201F3A"/>
    <w:rsid w:val="00202DFC"/>
    <w:rsid w:val="00203676"/>
    <w:rsid w:val="00203727"/>
    <w:rsid w:val="00203F96"/>
    <w:rsid w:val="00205719"/>
    <w:rsid w:val="00205BBC"/>
    <w:rsid w:val="00206976"/>
    <w:rsid w:val="002069B2"/>
    <w:rsid w:val="0020724B"/>
    <w:rsid w:val="00207FA3"/>
    <w:rsid w:val="00210EFF"/>
    <w:rsid w:val="002110E1"/>
    <w:rsid w:val="002130BC"/>
    <w:rsid w:val="00214DA8"/>
    <w:rsid w:val="00215423"/>
    <w:rsid w:val="002155AF"/>
    <w:rsid w:val="002158FA"/>
    <w:rsid w:val="002165A9"/>
    <w:rsid w:val="0021668A"/>
    <w:rsid w:val="00216DFD"/>
    <w:rsid w:val="00217AD0"/>
    <w:rsid w:val="00220600"/>
    <w:rsid w:val="00220FA7"/>
    <w:rsid w:val="0022141E"/>
    <w:rsid w:val="00221C77"/>
    <w:rsid w:val="002224DB"/>
    <w:rsid w:val="00223B35"/>
    <w:rsid w:val="00223FCB"/>
    <w:rsid w:val="0022436F"/>
    <w:rsid w:val="0022449F"/>
    <w:rsid w:val="00224976"/>
    <w:rsid w:val="002252C3"/>
    <w:rsid w:val="00225C54"/>
    <w:rsid w:val="00227754"/>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01E"/>
    <w:rsid w:val="002435B3"/>
    <w:rsid w:val="002440AD"/>
    <w:rsid w:val="00244535"/>
    <w:rsid w:val="00244F9F"/>
    <w:rsid w:val="002458EB"/>
    <w:rsid w:val="0024614E"/>
    <w:rsid w:val="002500C8"/>
    <w:rsid w:val="002502D7"/>
    <w:rsid w:val="00250818"/>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426A"/>
    <w:rsid w:val="0028435A"/>
    <w:rsid w:val="00286527"/>
    <w:rsid w:val="00286ACD"/>
    <w:rsid w:val="002876DB"/>
    <w:rsid w:val="00287838"/>
    <w:rsid w:val="00287F1E"/>
    <w:rsid w:val="002907B5"/>
    <w:rsid w:val="00292EB7"/>
    <w:rsid w:val="0029342C"/>
    <w:rsid w:val="00295B61"/>
    <w:rsid w:val="00296113"/>
    <w:rsid w:val="00296227"/>
    <w:rsid w:val="00296BCD"/>
    <w:rsid w:val="00296F44"/>
    <w:rsid w:val="0029777D"/>
    <w:rsid w:val="002A055E"/>
    <w:rsid w:val="002A0DB4"/>
    <w:rsid w:val="002A199F"/>
    <w:rsid w:val="002A1D4E"/>
    <w:rsid w:val="002A2869"/>
    <w:rsid w:val="002A3DD8"/>
    <w:rsid w:val="002A678A"/>
    <w:rsid w:val="002A7228"/>
    <w:rsid w:val="002A7A0A"/>
    <w:rsid w:val="002A7D9F"/>
    <w:rsid w:val="002B0E67"/>
    <w:rsid w:val="002B1BCE"/>
    <w:rsid w:val="002B1C18"/>
    <w:rsid w:val="002B2273"/>
    <w:rsid w:val="002B24D6"/>
    <w:rsid w:val="002B34BD"/>
    <w:rsid w:val="002B3A5D"/>
    <w:rsid w:val="002B4C80"/>
    <w:rsid w:val="002C0AA3"/>
    <w:rsid w:val="002C3A25"/>
    <w:rsid w:val="002C41E6"/>
    <w:rsid w:val="002C58F3"/>
    <w:rsid w:val="002C63E3"/>
    <w:rsid w:val="002C74F9"/>
    <w:rsid w:val="002D071A"/>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6AA"/>
    <w:rsid w:val="002F2771"/>
    <w:rsid w:val="002F37A9"/>
    <w:rsid w:val="002F3C32"/>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164D"/>
    <w:rsid w:val="00322782"/>
    <w:rsid w:val="003228C2"/>
    <w:rsid w:val="00322C9F"/>
    <w:rsid w:val="0032341B"/>
    <w:rsid w:val="00323CAB"/>
    <w:rsid w:val="00324226"/>
    <w:rsid w:val="00324D23"/>
    <w:rsid w:val="003268E3"/>
    <w:rsid w:val="00327425"/>
    <w:rsid w:val="00327F04"/>
    <w:rsid w:val="0033012F"/>
    <w:rsid w:val="00331751"/>
    <w:rsid w:val="00331813"/>
    <w:rsid w:val="00331E63"/>
    <w:rsid w:val="003329F0"/>
    <w:rsid w:val="00332AFD"/>
    <w:rsid w:val="00332D02"/>
    <w:rsid w:val="00332DF6"/>
    <w:rsid w:val="00334004"/>
    <w:rsid w:val="00334579"/>
    <w:rsid w:val="00335196"/>
    <w:rsid w:val="00335858"/>
    <w:rsid w:val="00336BDA"/>
    <w:rsid w:val="00336CD7"/>
    <w:rsid w:val="00342BD7"/>
    <w:rsid w:val="003439EF"/>
    <w:rsid w:val="00343F22"/>
    <w:rsid w:val="00346DB5"/>
    <w:rsid w:val="003477B1"/>
    <w:rsid w:val="003478FC"/>
    <w:rsid w:val="00351049"/>
    <w:rsid w:val="00354451"/>
    <w:rsid w:val="003557C5"/>
    <w:rsid w:val="00356484"/>
    <w:rsid w:val="003566FA"/>
    <w:rsid w:val="00356B49"/>
    <w:rsid w:val="00357380"/>
    <w:rsid w:val="0035790A"/>
    <w:rsid w:val="003602D9"/>
    <w:rsid w:val="003604CE"/>
    <w:rsid w:val="003610D8"/>
    <w:rsid w:val="003619F0"/>
    <w:rsid w:val="003626AE"/>
    <w:rsid w:val="003662E6"/>
    <w:rsid w:val="00366729"/>
    <w:rsid w:val="00366D34"/>
    <w:rsid w:val="00366F81"/>
    <w:rsid w:val="00367FDF"/>
    <w:rsid w:val="00370E47"/>
    <w:rsid w:val="003742AC"/>
    <w:rsid w:val="003762E0"/>
    <w:rsid w:val="00376710"/>
    <w:rsid w:val="0037726D"/>
    <w:rsid w:val="00377CE1"/>
    <w:rsid w:val="00377E8F"/>
    <w:rsid w:val="003819CF"/>
    <w:rsid w:val="00382047"/>
    <w:rsid w:val="00383680"/>
    <w:rsid w:val="00383C49"/>
    <w:rsid w:val="00383DFC"/>
    <w:rsid w:val="003840F3"/>
    <w:rsid w:val="00384CFB"/>
    <w:rsid w:val="00385BF0"/>
    <w:rsid w:val="00386477"/>
    <w:rsid w:val="00386EB0"/>
    <w:rsid w:val="003873A4"/>
    <w:rsid w:val="00387593"/>
    <w:rsid w:val="00387684"/>
    <w:rsid w:val="003939FF"/>
    <w:rsid w:val="00395BE9"/>
    <w:rsid w:val="003A0191"/>
    <w:rsid w:val="003A074A"/>
    <w:rsid w:val="003A0D76"/>
    <w:rsid w:val="003A11C1"/>
    <w:rsid w:val="003A2223"/>
    <w:rsid w:val="003A27FA"/>
    <w:rsid w:val="003A2987"/>
    <w:rsid w:val="003A2A0F"/>
    <w:rsid w:val="003A45A1"/>
    <w:rsid w:val="003A4BE7"/>
    <w:rsid w:val="003A4C19"/>
    <w:rsid w:val="003A4EA8"/>
    <w:rsid w:val="003A5899"/>
    <w:rsid w:val="003A5B0A"/>
    <w:rsid w:val="003A6BAC"/>
    <w:rsid w:val="003A6E5B"/>
    <w:rsid w:val="003A7EF3"/>
    <w:rsid w:val="003B0CBE"/>
    <w:rsid w:val="003B0E79"/>
    <w:rsid w:val="003B159C"/>
    <w:rsid w:val="003B23BB"/>
    <w:rsid w:val="003B369F"/>
    <w:rsid w:val="003B36A3"/>
    <w:rsid w:val="003B3A7F"/>
    <w:rsid w:val="003B456F"/>
    <w:rsid w:val="003B470D"/>
    <w:rsid w:val="003B542E"/>
    <w:rsid w:val="003B6744"/>
    <w:rsid w:val="003B7FE5"/>
    <w:rsid w:val="003C11C8"/>
    <w:rsid w:val="003C2702"/>
    <w:rsid w:val="003C5273"/>
    <w:rsid w:val="003C577F"/>
    <w:rsid w:val="003C6D8B"/>
    <w:rsid w:val="003C7400"/>
    <w:rsid w:val="003C7806"/>
    <w:rsid w:val="003C7CAF"/>
    <w:rsid w:val="003D109F"/>
    <w:rsid w:val="003D2477"/>
    <w:rsid w:val="003D2478"/>
    <w:rsid w:val="003D395B"/>
    <w:rsid w:val="003D5B1F"/>
    <w:rsid w:val="003D5C6C"/>
    <w:rsid w:val="003E15FA"/>
    <w:rsid w:val="003E2329"/>
    <w:rsid w:val="003E35C4"/>
    <w:rsid w:val="003E47DA"/>
    <w:rsid w:val="003E4F32"/>
    <w:rsid w:val="003E55E4"/>
    <w:rsid w:val="003E5799"/>
    <w:rsid w:val="003E602C"/>
    <w:rsid w:val="003E6B73"/>
    <w:rsid w:val="003E6E68"/>
    <w:rsid w:val="003E712A"/>
    <w:rsid w:val="003E74E3"/>
    <w:rsid w:val="003F05C7"/>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AAC"/>
    <w:rsid w:val="004149C1"/>
    <w:rsid w:val="004150EF"/>
    <w:rsid w:val="00415C31"/>
    <w:rsid w:val="00421105"/>
    <w:rsid w:val="00421427"/>
    <w:rsid w:val="004215C6"/>
    <w:rsid w:val="004235EA"/>
    <w:rsid w:val="00423B1C"/>
    <w:rsid w:val="004242F4"/>
    <w:rsid w:val="00424797"/>
    <w:rsid w:val="00424CE4"/>
    <w:rsid w:val="004255FF"/>
    <w:rsid w:val="00425C0F"/>
    <w:rsid w:val="00427248"/>
    <w:rsid w:val="00430CB0"/>
    <w:rsid w:val="00432A00"/>
    <w:rsid w:val="00432D3F"/>
    <w:rsid w:val="00435884"/>
    <w:rsid w:val="00437447"/>
    <w:rsid w:val="0044025C"/>
    <w:rsid w:val="00441A92"/>
    <w:rsid w:val="00441AC4"/>
    <w:rsid w:val="00444F56"/>
    <w:rsid w:val="0044511E"/>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354"/>
    <w:rsid w:val="00467856"/>
    <w:rsid w:val="0047031B"/>
    <w:rsid w:val="004705BB"/>
    <w:rsid w:val="00470C31"/>
    <w:rsid w:val="004734D0"/>
    <w:rsid w:val="00473A5B"/>
    <w:rsid w:val="004741D9"/>
    <w:rsid w:val="0047505B"/>
    <w:rsid w:val="0047556B"/>
    <w:rsid w:val="00476388"/>
    <w:rsid w:val="00476954"/>
    <w:rsid w:val="00476DD6"/>
    <w:rsid w:val="00477768"/>
    <w:rsid w:val="00480CEF"/>
    <w:rsid w:val="00481528"/>
    <w:rsid w:val="00481785"/>
    <w:rsid w:val="00481851"/>
    <w:rsid w:val="00483326"/>
    <w:rsid w:val="0048334A"/>
    <w:rsid w:val="00483BB4"/>
    <w:rsid w:val="00491000"/>
    <w:rsid w:val="004919DB"/>
    <w:rsid w:val="00491E26"/>
    <w:rsid w:val="004927B8"/>
    <w:rsid w:val="00492BC5"/>
    <w:rsid w:val="00493B53"/>
    <w:rsid w:val="00493B6B"/>
    <w:rsid w:val="00493BDC"/>
    <w:rsid w:val="0049498A"/>
    <w:rsid w:val="00495B24"/>
    <w:rsid w:val="004964F1"/>
    <w:rsid w:val="004A065D"/>
    <w:rsid w:val="004A16BC"/>
    <w:rsid w:val="004A1E9C"/>
    <w:rsid w:val="004A2B94"/>
    <w:rsid w:val="004A361D"/>
    <w:rsid w:val="004A3849"/>
    <w:rsid w:val="004A4C35"/>
    <w:rsid w:val="004A4E2C"/>
    <w:rsid w:val="004A5332"/>
    <w:rsid w:val="004A788B"/>
    <w:rsid w:val="004B0C53"/>
    <w:rsid w:val="004B10CE"/>
    <w:rsid w:val="004B1AFE"/>
    <w:rsid w:val="004B1FB2"/>
    <w:rsid w:val="004B30BC"/>
    <w:rsid w:val="004B33AA"/>
    <w:rsid w:val="004B3EEA"/>
    <w:rsid w:val="004B4A95"/>
    <w:rsid w:val="004B5A83"/>
    <w:rsid w:val="004B61C8"/>
    <w:rsid w:val="004B6960"/>
    <w:rsid w:val="004B73CB"/>
    <w:rsid w:val="004B797C"/>
    <w:rsid w:val="004B7C0C"/>
    <w:rsid w:val="004C1CA8"/>
    <w:rsid w:val="004C1FF4"/>
    <w:rsid w:val="004C3898"/>
    <w:rsid w:val="004C5AA3"/>
    <w:rsid w:val="004D0369"/>
    <w:rsid w:val="004D1959"/>
    <w:rsid w:val="004D1BA9"/>
    <w:rsid w:val="004D36B1"/>
    <w:rsid w:val="004D41C6"/>
    <w:rsid w:val="004D42FB"/>
    <w:rsid w:val="004D444C"/>
    <w:rsid w:val="004D48A3"/>
    <w:rsid w:val="004D6926"/>
    <w:rsid w:val="004D7EBD"/>
    <w:rsid w:val="004E0964"/>
    <w:rsid w:val="004E1F0E"/>
    <w:rsid w:val="004E2680"/>
    <w:rsid w:val="004E28F9"/>
    <w:rsid w:val="004E462E"/>
    <w:rsid w:val="004E56DC"/>
    <w:rsid w:val="004E5D96"/>
    <w:rsid w:val="004E64BF"/>
    <w:rsid w:val="004E76F4"/>
    <w:rsid w:val="004F0B4E"/>
    <w:rsid w:val="004F0B6C"/>
    <w:rsid w:val="004F0F1E"/>
    <w:rsid w:val="004F2078"/>
    <w:rsid w:val="004F252F"/>
    <w:rsid w:val="004F3B83"/>
    <w:rsid w:val="004F4A2E"/>
    <w:rsid w:val="004F4DA3"/>
    <w:rsid w:val="004F4EA4"/>
    <w:rsid w:val="004F4F21"/>
    <w:rsid w:val="004F6EC3"/>
    <w:rsid w:val="004F7AA1"/>
    <w:rsid w:val="00500898"/>
    <w:rsid w:val="005027F6"/>
    <w:rsid w:val="00502EA0"/>
    <w:rsid w:val="005032DF"/>
    <w:rsid w:val="00503343"/>
    <w:rsid w:val="00506557"/>
    <w:rsid w:val="0050677A"/>
    <w:rsid w:val="00506B7E"/>
    <w:rsid w:val="005108D8"/>
    <w:rsid w:val="00510C8E"/>
    <w:rsid w:val="005116F9"/>
    <w:rsid w:val="005153A7"/>
    <w:rsid w:val="00515DB5"/>
    <w:rsid w:val="005219CF"/>
    <w:rsid w:val="00522256"/>
    <w:rsid w:val="00524438"/>
    <w:rsid w:val="00524B2A"/>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17EF"/>
    <w:rsid w:val="005530EA"/>
    <w:rsid w:val="00553D92"/>
    <w:rsid w:val="0055424B"/>
    <w:rsid w:val="00554D57"/>
    <w:rsid w:val="00554E19"/>
    <w:rsid w:val="0056121F"/>
    <w:rsid w:val="00561B01"/>
    <w:rsid w:val="005621AD"/>
    <w:rsid w:val="005642B0"/>
    <w:rsid w:val="005649A3"/>
    <w:rsid w:val="00571170"/>
    <w:rsid w:val="0057197E"/>
    <w:rsid w:val="00572505"/>
    <w:rsid w:val="0057725D"/>
    <w:rsid w:val="00577276"/>
    <w:rsid w:val="00581405"/>
    <w:rsid w:val="00582809"/>
    <w:rsid w:val="005849DA"/>
    <w:rsid w:val="00585C95"/>
    <w:rsid w:val="00585D05"/>
    <w:rsid w:val="005870FC"/>
    <w:rsid w:val="005874E2"/>
    <w:rsid w:val="0058798C"/>
    <w:rsid w:val="00587A67"/>
    <w:rsid w:val="005900FA"/>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775B"/>
    <w:rsid w:val="005B0544"/>
    <w:rsid w:val="005B0A2B"/>
    <w:rsid w:val="005B19FF"/>
    <w:rsid w:val="005B2551"/>
    <w:rsid w:val="005B26BD"/>
    <w:rsid w:val="005B2FB5"/>
    <w:rsid w:val="005B2FE4"/>
    <w:rsid w:val="005B35D7"/>
    <w:rsid w:val="005B392A"/>
    <w:rsid w:val="005B3AA3"/>
    <w:rsid w:val="005B4A5C"/>
    <w:rsid w:val="005B4A5E"/>
    <w:rsid w:val="005B5691"/>
    <w:rsid w:val="005B64E6"/>
    <w:rsid w:val="005B6C73"/>
    <w:rsid w:val="005B6F83"/>
    <w:rsid w:val="005C0D0E"/>
    <w:rsid w:val="005C0F43"/>
    <w:rsid w:val="005C2D1D"/>
    <w:rsid w:val="005C3AC2"/>
    <w:rsid w:val="005C4C60"/>
    <w:rsid w:val="005C4DA2"/>
    <w:rsid w:val="005C5984"/>
    <w:rsid w:val="005C5A42"/>
    <w:rsid w:val="005C71DC"/>
    <w:rsid w:val="005C74FB"/>
    <w:rsid w:val="005D1602"/>
    <w:rsid w:val="005D52E6"/>
    <w:rsid w:val="005D67E8"/>
    <w:rsid w:val="005E06BF"/>
    <w:rsid w:val="005E210D"/>
    <w:rsid w:val="005E385F"/>
    <w:rsid w:val="005E5084"/>
    <w:rsid w:val="005E59D9"/>
    <w:rsid w:val="005E5B81"/>
    <w:rsid w:val="005E6993"/>
    <w:rsid w:val="005F049C"/>
    <w:rsid w:val="005F07D8"/>
    <w:rsid w:val="005F0F43"/>
    <w:rsid w:val="005F2CB1"/>
    <w:rsid w:val="005F32B8"/>
    <w:rsid w:val="005F3C1A"/>
    <w:rsid w:val="005F408A"/>
    <w:rsid w:val="005F5685"/>
    <w:rsid w:val="005F618C"/>
    <w:rsid w:val="005F70BD"/>
    <w:rsid w:val="005F7572"/>
    <w:rsid w:val="005F75B3"/>
    <w:rsid w:val="00600498"/>
    <w:rsid w:val="00600CF4"/>
    <w:rsid w:val="00600F2C"/>
    <w:rsid w:val="0060259E"/>
    <w:rsid w:val="0060283C"/>
    <w:rsid w:val="00602AE0"/>
    <w:rsid w:val="00602BF1"/>
    <w:rsid w:val="006037F5"/>
    <w:rsid w:val="00604F14"/>
    <w:rsid w:val="006053D3"/>
    <w:rsid w:val="00611AE0"/>
    <w:rsid w:val="00611B83"/>
    <w:rsid w:val="006125C4"/>
    <w:rsid w:val="00613257"/>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7EF9"/>
    <w:rsid w:val="00627FF8"/>
    <w:rsid w:val="00630001"/>
    <w:rsid w:val="00630931"/>
    <w:rsid w:val="006311B3"/>
    <w:rsid w:val="006316E7"/>
    <w:rsid w:val="0063284C"/>
    <w:rsid w:val="00632E46"/>
    <w:rsid w:val="00633174"/>
    <w:rsid w:val="00634C63"/>
    <w:rsid w:val="00636248"/>
    <w:rsid w:val="00636398"/>
    <w:rsid w:val="006368D3"/>
    <w:rsid w:val="006377EC"/>
    <w:rsid w:val="00637AA3"/>
    <w:rsid w:val="0064151F"/>
    <w:rsid w:val="00641533"/>
    <w:rsid w:val="0064208D"/>
    <w:rsid w:val="00643165"/>
    <w:rsid w:val="00643475"/>
    <w:rsid w:val="0064396A"/>
    <w:rsid w:val="0064624E"/>
    <w:rsid w:val="00650AB9"/>
    <w:rsid w:val="00650DF2"/>
    <w:rsid w:val="006511C4"/>
    <w:rsid w:val="00652F1E"/>
    <w:rsid w:val="00654884"/>
    <w:rsid w:val="00655733"/>
    <w:rsid w:val="00655ACD"/>
    <w:rsid w:val="00656A92"/>
    <w:rsid w:val="00656DDE"/>
    <w:rsid w:val="006572C5"/>
    <w:rsid w:val="00657E8E"/>
    <w:rsid w:val="0066004B"/>
    <w:rsid w:val="0066011D"/>
    <w:rsid w:val="0066060C"/>
    <w:rsid w:val="006607C0"/>
    <w:rsid w:val="006613A6"/>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40"/>
    <w:rsid w:val="00683ECE"/>
    <w:rsid w:val="006859AD"/>
    <w:rsid w:val="00685F56"/>
    <w:rsid w:val="00686B7A"/>
    <w:rsid w:val="00691B14"/>
    <w:rsid w:val="00692E73"/>
    <w:rsid w:val="00695CCD"/>
    <w:rsid w:val="00695FC2"/>
    <w:rsid w:val="00696949"/>
    <w:rsid w:val="00697052"/>
    <w:rsid w:val="006A0AE8"/>
    <w:rsid w:val="006A12AF"/>
    <w:rsid w:val="006A14FA"/>
    <w:rsid w:val="006A150B"/>
    <w:rsid w:val="006A2D8C"/>
    <w:rsid w:val="006A46FB"/>
    <w:rsid w:val="006A5E28"/>
    <w:rsid w:val="006A697B"/>
    <w:rsid w:val="006A74DE"/>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729B"/>
    <w:rsid w:val="006C7522"/>
    <w:rsid w:val="006D0813"/>
    <w:rsid w:val="006D1BA4"/>
    <w:rsid w:val="006D21C5"/>
    <w:rsid w:val="006D39CE"/>
    <w:rsid w:val="006D400B"/>
    <w:rsid w:val="006D6F08"/>
    <w:rsid w:val="006E062C"/>
    <w:rsid w:val="006E0703"/>
    <w:rsid w:val="006E0961"/>
    <w:rsid w:val="006E12E9"/>
    <w:rsid w:val="006E175D"/>
    <w:rsid w:val="006E28B7"/>
    <w:rsid w:val="006E3310"/>
    <w:rsid w:val="006E41B4"/>
    <w:rsid w:val="006E4444"/>
    <w:rsid w:val="006E45E4"/>
    <w:rsid w:val="006E460A"/>
    <w:rsid w:val="006E4E39"/>
    <w:rsid w:val="006E565E"/>
    <w:rsid w:val="006E673D"/>
    <w:rsid w:val="006E7174"/>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777"/>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A92"/>
    <w:rsid w:val="00717C48"/>
    <w:rsid w:val="0072292C"/>
    <w:rsid w:val="00722E66"/>
    <w:rsid w:val="00722F17"/>
    <w:rsid w:val="007238FB"/>
    <w:rsid w:val="00723B13"/>
    <w:rsid w:val="007258E5"/>
    <w:rsid w:val="00725C1E"/>
    <w:rsid w:val="00726469"/>
    <w:rsid w:val="00726EA6"/>
    <w:rsid w:val="007270A6"/>
    <w:rsid w:val="00727208"/>
    <w:rsid w:val="00727680"/>
    <w:rsid w:val="00731AE0"/>
    <w:rsid w:val="00732236"/>
    <w:rsid w:val="00734439"/>
    <w:rsid w:val="00734707"/>
    <w:rsid w:val="007348B1"/>
    <w:rsid w:val="007362A6"/>
    <w:rsid w:val="007362D5"/>
    <w:rsid w:val="0073635D"/>
    <w:rsid w:val="00736D7D"/>
    <w:rsid w:val="0073715B"/>
    <w:rsid w:val="00740E58"/>
    <w:rsid w:val="00742F56"/>
    <w:rsid w:val="007434F1"/>
    <w:rsid w:val="007445A0"/>
    <w:rsid w:val="0074524B"/>
    <w:rsid w:val="007455F1"/>
    <w:rsid w:val="00746431"/>
    <w:rsid w:val="00747D8B"/>
    <w:rsid w:val="00750324"/>
    <w:rsid w:val="00750596"/>
    <w:rsid w:val="00751228"/>
    <w:rsid w:val="007513C9"/>
    <w:rsid w:val="00752A74"/>
    <w:rsid w:val="007544DF"/>
    <w:rsid w:val="00756989"/>
    <w:rsid w:val="007571E1"/>
    <w:rsid w:val="007604B2"/>
    <w:rsid w:val="00762E75"/>
    <w:rsid w:val="007647CB"/>
    <w:rsid w:val="00765281"/>
    <w:rsid w:val="00766458"/>
    <w:rsid w:val="00766BAD"/>
    <w:rsid w:val="007703F3"/>
    <w:rsid w:val="0077067A"/>
    <w:rsid w:val="00771D6D"/>
    <w:rsid w:val="007746AB"/>
    <w:rsid w:val="00774849"/>
    <w:rsid w:val="007749A5"/>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F0B42"/>
    <w:rsid w:val="007F1912"/>
    <w:rsid w:val="007F3119"/>
    <w:rsid w:val="007F3AF9"/>
    <w:rsid w:val="007F54B8"/>
    <w:rsid w:val="008011EC"/>
    <w:rsid w:val="00803FAE"/>
    <w:rsid w:val="008049C1"/>
    <w:rsid w:val="0080605F"/>
    <w:rsid w:val="00807786"/>
    <w:rsid w:val="00807796"/>
    <w:rsid w:val="00807B8E"/>
    <w:rsid w:val="00811F01"/>
    <w:rsid w:val="00811FCB"/>
    <w:rsid w:val="00814B06"/>
    <w:rsid w:val="008158D6"/>
    <w:rsid w:val="00816E6B"/>
    <w:rsid w:val="00817196"/>
    <w:rsid w:val="00820F1E"/>
    <w:rsid w:val="008235DB"/>
    <w:rsid w:val="00823A30"/>
    <w:rsid w:val="00823B1E"/>
    <w:rsid w:val="00824AB4"/>
    <w:rsid w:val="00825C42"/>
    <w:rsid w:val="00825D25"/>
    <w:rsid w:val="00827D6F"/>
    <w:rsid w:val="0083173A"/>
    <w:rsid w:val="00833AF6"/>
    <w:rsid w:val="008345F2"/>
    <w:rsid w:val="00834D5F"/>
    <w:rsid w:val="008376AC"/>
    <w:rsid w:val="00837E62"/>
    <w:rsid w:val="008400E1"/>
    <w:rsid w:val="0084043F"/>
    <w:rsid w:val="008407D4"/>
    <w:rsid w:val="008444E8"/>
    <w:rsid w:val="00844E80"/>
    <w:rsid w:val="00846FE7"/>
    <w:rsid w:val="00847237"/>
    <w:rsid w:val="00847673"/>
    <w:rsid w:val="00850468"/>
    <w:rsid w:val="00851C94"/>
    <w:rsid w:val="0085245D"/>
    <w:rsid w:val="0085353A"/>
    <w:rsid w:val="00853835"/>
    <w:rsid w:val="008539AE"/>
    <w:rsid w:val="00853C2A"/>
    <w:rsid w:val="0085472C"/>
    <w:rsid w:val="008553FE"/>
    <w:rsid w:val="008559E0"/>
    <w:rsid w:val="00856507"/>
    <w:rsid w:val="00856911"/>
    <w:rsid w:val="00861525"/>
    <w:rsid w:val="00861CD8"/>
    <w:rsid w:val="00861DC7"/>
    <w:rsid w:val="008625CB"/>
    <w:rsid w:val="0086361B"/>
    <w:rsid w:val="0086368E"/>
    <w:rsid w:val="00864866"/>
    <w:rsid w:val="00865D00"/>
    <w:rsid w:val="008677FD"/>
    <w:rsid w:val="008706D4"/>
    <w:rsid w:val="00870C22"/>
    <w:rsid w:val="00870F8A"/>
    <w:rsid w:val="008719A4"/>
    <w:rsid w:val="00871D23"/>
    <w:rsid w:val="008723FC"/>
    <w:rsid w:val="00872513"/>
    <w:rsid w:val="00873FAC"/>
    <w:rsid w:val="00874312"/>
    <w:rsid w:val="0087437C"/>
    <w:rsid w:val="008746C1"/>
    <w:rsid w:val="00874CB9"/>
    <w:rsid w:val="00875A5A"/>
    <w:rsid w:val="00875CD7"/>
    <w:rsid w:val="008768AB"/>
    <w:rsid w:val="00876B4D"/>
    <w:rsid w:val="00876F92"/>
    <w:rsid w:val="00877BA4"/>
    <w:rsid w:val="00877F18"/>
    <w:rsid w:val="0088018F"/>
    <w:rsid w:val="00880B85"/>
    <w:rsid w:val="008818D7"/>
    <w:rsid w:val="0088199B"/>
    <w:rsid w:val="00882BAC"/>
    <w:rsid w:val="00882BD9"/>
    <w:rsid w:val="00883647"/>
    <w:rsid w:val="008840A7"/>
    <w:rsid w:val="00884124"/>
    <w:rsid w:val="008847BA"/>
    <w:rsid w:val="0088689E"/>
    <w:rsid w:val="0088691A"/>
    <w:rsid w:val="008908E0"/>
    <w:rsid w:val="00893896"/>
    <w:rsid w:val="00894A88"/>
    <w:rsid w:val="00895386"/>
    <w:rsid w:val="008959A8"/>
    <w:rsid w:val="00895BC0"/>
    <w:rsid w:val="00896084"/>
    <w:rsid w:val="00897015"/>
    <w:rsid w:val="008A09B4"/>
    <w:rsid w:val="008A21FF"/>
    <w:rsid w:val="008A2CE2"/>
    <w:rsid w:val="008A30AC"/>
    <w:rsid w:val="008A3BA4"/>
    <w:rsid w:val="008A3BCC"/>
    <w:rsid w:val="008A44B8"/>
    <w:rsid w:val="008A4798"/>
    <w:rsid w:val="008A489D"/>
    <w:rsid w:val="008A51A8"/>
    <w:rsid w:val="008A54C7"/>
    <w:rsid w:val="008A77D8"/>
    <w:rsid w:val="008A7D86"/>
    <w:rsid w:val="008B0483"/>
    <w:rsid w:val="008B0948"/>
    <w:rsid w:val="008B120C"/>
    <w:rsid w:val="008B2E89"/>
    <w:rsid w:val="008B306C"/>
    <w:rsid w:val="008B40AB"/>
    <w:rsid w:val="008B478E"/>
    <w:rsid w:val="008B49A3"/>
    <w:rsid w:val="008B51A0"/>
    <w:rsid w:val="008B592A"/>
    <w:rsid w:val="008B77A3"/>
    <w:rsid w:val="008B7B5C"/>
    <w:rsid w:val="008C0C99"/>
    <w:rsid w:val="008C1804"/>
    <w:rsid w:val="008C1E07"/>
    <w:rsid w:val="008C2017"/>
    <w:rsid w:val="008C26AE"/>
    <w:rsid w:val="008C4958"/>
    <w:rsid w:val="008C4BAA"/>
    <w:rsid w:val="008C5761"/>
    <w:rsid w:val="008C6AE8"/>
    <w:rsid w:val="008C6BB3"/>
    <w:rsid w:val="008C6EAC"/>
    <w:rsid w:val="008C706A"/>
    <w:rsid w:val="008C7573"/>
    <w:rsid w:val="008D34F1"/>
    <w:rsid w:val="008D34FB"/>
    <w:rsid w:val="008D39D8"/>
    <w:rsid w:val="008D3E08"/>
    <w:rsid w:val="008D407A"/>
    <w:rsid w:val="008D64AF"/>
    <w:rsid w:val="008D6D1A"/>
    <w:rsid w:val="008D7F34"/>
    <w:rsid w:val="008E083C"/>
    <w:rsid w:val="008E0927"/>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350"/>
    <w:rsid w:val="009023DB"/>
    <w:rsid w:val="0090243A"/>
    <w:rsid w:val="0090336B"/>
    <w:rsid w:val="00904C22"/>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2FB7"/>
    <w:rsid w:val="00935150"/>
    <w:rsid w:val="009368F3"/>
    <w:rsid w:val="00936E6E"/>
    <w:rsid w:val="009376E5"/>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0804"/>
    <w:rsid w:val="00961921"/>
    <w:rsid w:val="00962B47"/>
    <w:rsid w:val="00962D0E"/>
    <w:rsid w:val="00962EAD"/>
    <w:rsid w:val="009641E4"/>
    <w:rsid w:val="0096430A"/>
    <w:rsid w:val="00965348"/>
    <w:rsid w:val="00965477"/>
    <w:rsid w:val="0096554B"/>
    <w:rsid w:val="0096584A"/>
    <w:rsid w:val="00966238"/>
    <w:rsid w:val="009667BE"/>
    <w:rsid w:val="0096738D"/>
    <w:rsid w:val="00970015"/>
    <w:rsid w:val="0097123A"/>
    <w:rsid w:val="00971F08"/>
    <w:rsid w:val="009750D0"/>
    <w:rsid w:val="00975FD3"/>
    <w:rsid w:val="0097603D"/>
    <w:rsid w:val="009763B7"/>
    <w:rsid w:val="00976949"/>
    <w:rsid w:val="00976CB6"/>
    <w:rsid w:val="0098025A"/>
    <w:rsid w:val="00980295"/>
    <w:rsid w:val="00980477"/>
    <w:rsid w:val="00982387"/>
    <w:rsid w:val="00982DE5"/>
    <w:rsid w:val="00983809"/>
    <w:rsid w:val="00984B39"/>
    <w:rsid w:val="00984F77"/>
    <w:rsid w:val="00985253"/>
    <w:rsid w:val="009853B3"/>
    <w:rsid w:val="0098758C"/>
    <w:rsid w:val="009904AE"/>
    <w:rsid w:val="00990528"/>
    <w:rsid w:val="00990630"/>
    <w:rsid w:val="00991761"/>
    <w:rsid w:val="00991C4F"/>
    <w:rsid w:val="00993BD3"/>
    <w:rsid w:val="00994438"/>
    <w:rsid w:val="009944D4"/>
    <w:rsid w:val="00994DCA"/>
    <w:rsid w:val="00995E6D"/>
    <w:rsid w:val="0099606B"/>
    <w:rsid w:val="009960EC"/>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7E87"/>
    <w:rsid w:val="009C1203"/>
    <w:rsid w:val="009C2552"/>
    <w:rsid w:val="009C403E"/>
    <w:rsid w:val="009C4F81"/>
    <w:rsid w:val="009C52EB"/>
    <w:rsid w:val="009C552C"/>
    <w:rsid w:val="009C5974"/>
    <w:rsid w:val="009C6CC5"/>
    <w:rsid w:val="009D3572"/>
    <w:rsid w:val="009D372F"/>
    <w:rsid w:val="009D4352"/>
    <w:rsid w:val="009D4FF0"/>
    <w:rsid w:val="009D703C"/>
    <w:rsid w:val="009D718F"/>
    <w:rsid w:val="009E068F"/>
    <w:rsid w:val="009E14E0"/>
    <w:rsid w:val="009E1B1A"/>
    <w:rsid w:val="009E1E75"/>
    <w:rsid w:val="009E2A60"/>
    <w:rsid w:val="009E35DB"/>
    <w:rsid w:val="009E47A3"/>
    <w:rsid w:val="009E666E"/>
    <w:rsid w:val="009F08F3"/>
    <w:rsid w:val="009F2282"/>
    <w:rsid w:val="009F3260"/>
    <w:rsid w:val="009F344F"/>
    <w:rsid w:val="009F4B2B"/>
    <w:rsid w:val="009F531A"/>
    <w:rsid w:val="009F5AA8"/>
    <w:rsid w:val="009F6594"/>
    <w:rsid w:val="00A02947"/>
    <w:rsid w:val="00A03BAC"/>
    <w:rsid w:val="00A048A8"/>
    <w:rsid w:val="00A0646F"/>
    <w:rsid w:val="00A075C3"/>
    <w:rsid w:val="00A10C2D"/>
    <w:rsid w:val="00A13E54"/>
    <w:rsid w:val="00A149E7"/>
    <w:rsid w:val="00A17F63"/>
    <w:rsid w:val="00A205F7"/>
    <w:rsid w:val="00A20C83"/>
    <w:rsid w:val="00A2193B"/>
    <w:rsid w:val="00A22C9B"/>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2E1D"/>
    <w:rsid w:val="00A533D1"/>
    <w:rsid w:val="00A564EC"/>
    <w:rsid w:val="00A5653A"/>
    <w:rsid w:val="00A57150"/>
    <w:rsid w:val="00A5743B"/>
    <w:rsid w:val="00A612AB"/>
    <w:rsid w:val="00A61499"/>
    <w:rsid w:val="00A62626"/>
    <w:rsid w:val="00A62A77"/>
    <w:rsid w:val="00A63108"/>
    <w:rsid w:val="00A633D0"/>
    <w:rsid w:val="00A63483"/>
    <w:rsid w:val="00A657D7"/>
    <w:rsid w:val="00A660AC"/>
    <w:rsid w:val="00A67E6C"/>
    <w:rsid w:val="00A70450"/>
    <w:rsid w:val="00A71B99"/>
    <w:rsid w:val="00A72F00"/>
    <w:rsid w:val="00A72F29"/>
    <w:rsid w:val="00A739D0"/>
    <w:rsid w:val="00A73AC1"/>
    <w:rsid w:val="00A73D00"/>
    <w:rsid w:val="00A74795"/>
    <w:rsid w:val="00A761D4"/>
    <w:rsid w:val="00A768AE"/>
    <w:rsid w:val="00A77EC4"/>
    <w:rsid w:val="00A80929"/>
    <w:rsid w:val="00A837AD"/>
    <w:rsid w:val="00A8380C"/>
    <w:rsid w:val="00A83E03"/>
    <w:rsid w:val="00A84A6C"/>
    <w:rsid w:val="00A84AC1"/>
    <w:rsid w:val="00A8506A"/>
    <w:rsid w:val="00A86DC0"/>
    <w:rsid w:val="00A876EB"/>
    <w:rsid w:val="00A91B72"/>
    <w:rsid w:val="00A92879"/>
    <w:rsid w:val="00A92DF5"/>
    <w:rsid w:val="00A930D1"/>
    <w:rsid w:val="00A93EB3"/>
    <w:rsid w:val="00A941E2"/>
    <w:rsid w:val="00A9442A"/>
    <w:rsid w:val="00A94497"/>
    <w:rsid w:val="00A9671D"/>
    <w:rsid w:val="00A975C0"/>
    <w:rsid w:val="00A97738"/>
    <w:rsid w:val="00A978C7"/>
    <w:rsid w:val="00AA016F"/>
    <w:rsid w:val="00AA1013"/>
    <w:rsid w:val="00AA1200"/>
    <w:rsid w:val="00AA1A7E"/>
    <w:rsid w:val="00AA1ED6"/>
    <w:rsid w:val="00AA2917"/>
    <w:rsid w:val="00AA4053"/>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1B7A"/>
    <w:rsid w:val="00AC2ECD"/>
    <w:rsid w:val="00AC3119"/>
    <w:rsid w:val="00AC49FB"/>
    <w:rsid w:val="00AC5A10"/>
    <w:rsid w:val="00AC70AC"/>
    <w:rsid w:val="00AC759D"/>
    <w:rsid w:val="00AD0AA3"/>
    <w:rsid w:val="00AD1ECD"/>
    <w:rsid w:val="00AD238D"/>
    <w:rsid w:val="00AD2C19"/>
    <w:rsid w:val="00AD3362"/>
    <w:rsid w:val="00AD3F94"/>
    <w:rsid w:val="00AD4A5A"/>
    <w:rsid w:val="00AD684D"/>
    <w:rsid w:val="00AD725B"/>
    <w:rsid w:val="00AE1272"/>
    <w:rsid w:val="00AE27AC"/>
    <w:rsid w:val="00AE40E0"/>
    <w:rsid w:val="00AE4DBA"/>
    <w:rsid w:val="00AE4F07"/>
    <w:rsid w:val="00AE517D"/>
    <w:rsid w:val="00AE575D"/>
    <w:rsid w:val="00AF19B7"/>
    <w:rsid w:val="00AF1C19"/>
    <w:rsid w:val="00AF1C5D"/>
    <w:rsid w:val="00AF42D7"/>
    <w:rsid w:val="00AF47E0"/>
    <w:rsid w:val="00AF4D58"/>
    <w:rsid w:val="00AF59DF"/>
    <w:rsid w:val="00AF5CC4"/>
    <w:rsid w:val="00AF7A52"/>
    <w:rsid w:val="00B006FE"/>
    <w:rsid w:val="00B007CB"/>
    <w:rsid w:val="00B01E69"/>
    <w:rsid w:val="00B02AA9"/>
    <w:rsid w:val="00B02FA3"/>
    <w:rsid w:val="00B0436A"/>
    <w:rsid w:val="00B05084"/>
    <w:rsid w:val="00B052D1"/>
    <w:rsid w:val="00B113B1"/>
    <w:rsid w:val="00B12152"/>
    <w:rsid w:val="00B12BC8"/>
    <w:rsid w:val="00B1348E"/>
    <w:rsid w:val="00B143CC"/>
    <w:rsid w:val="00B14596"/>
    <w:rsid w:val="00B1504F"/>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5250"/>
    <w:rsid w:val="00B372AA"/>
    <w:rsid w:val="00B40445"/>
    <w:rsid w:val="00B41888"/>
    <w:rsid w:val="00B41CA9"/>
    <w:rsid w:val="00B42E9D"/>
    <w:rsid w:val="00B43C84"/>
    <w:rsid w:val="00B45A52"/>
    <w:rsid w:val="00B45FF7"/>
    <w:rsid w:val="00B460AB"/>
    <w:rsid w:val="00B46175"/>
    <w:rsid w:val="00B46719"/>
    <w:rsid w:val="00B475E6"/>
    <w:rsid w:val="00B50EDB"/>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2E3B"/>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2280"/>
    <w:rsid w:val="00BA2A08"/>
    <w:rsid w:val="00BA56D2"/>
    <w:rsid w:val="00BA6096"/>
    <w:rsid w:val="00BA639A"/>
    <w:rsid w:val="00BA76E0"/>
    <w:rsid w:val="00BA78D9"/>
    <w:rsid w:val="00BB176F"/>
    <w:rsid w:val="00BB2A25"/>
    <w:rsid w:val="00BB2A93"/>
    <w:rsid w:val="00BB4C93"/>
    <w:rsid w:val="00BB51E9"/>
    <w:rsid w:val="00BB532F"/>
    <w:rsid w:val="00BB5352"/>
    <w:rsid w:val="00BB5B7C"/>
    <w:rsid w:val="00BB7962"/>
    <w:rsid w:val="00BC0FDC"/>
    <w:rsid w:val="00BC12A0"/>
    <w:rsid w:val="00BC3053"/>
    <w:rsid w:val="00BC31CC"/>
    <w:rsid w:val="00BC3896"/>
    <w:rsid w:val="00BC4D2E"/>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6F14"/>
    <w:rsid w:val="00BE7406"/>
    <w:rsid w:val="00BE7603"/>
    <w:rsid w:val="00BE7BD3"/>
    <w:rsid w:val="00BF155C"/>
    <w:rsid w:val="00BF3279"/>
    <w:rsid w:val="00BF36D4"/>
    <w:rsid w:val="00BF36FE"/>
    <w:rsid w:val="00BF41F1"/>
    <w:rsid w:val="00BF4F01"/>
    <w:rsid w:val="00BF74C7"/>
    <w:rsid w:val="00C00572"/>
    <w:rsid w:val="00C015F1"/>
    <w:rsid w:val="00C01C52"/>
    <w:rsid w:val="00C01EBC"/>
    <w:rsid w:val="00C01F33"/>
    <w:rsid w:val="00C022F4"/>
    <w:rsid w:val="00C02CC6"/>
    <w:rsid w:val="00C02D48"/>
    <w:rsid w:val="00C040F7"/>
    <w:rsid w:val="00C044AB"/>
    <w:rsid w:val="00C044AC"/>
    <w:rsid w:val="00C04E2D"/>
    <w:rsid w:val="00C05706"/>
    <w:rsid w:val="00C07377"/>
    <w:rsid w:val="00C0766C"/>
    <w:rsid w:val="00C10478"/>
    <w:rsid w:val="00C12107"/>
    <w:rsid w:val="00C12CD1"/>
    <w:rsid w:val="00C13A2C"/>
    <w:rsid w:val="00C14827"/>
    <w:rsid w:val="00C14D4B"/>
    <w:rsid w:val="00C154BB"/>
    <w:rsid w:val="00C20F41"/>
    <w:rsid w:val="00C22B2E"/>
    <w:rsid w:val="00C22BD5"/>
    <w:rsid w:val="00C22BDA"/>
    <w:rsid w:val="00C22CC9"/>
    <w:rsid w:val="00C24601"/>
    <w:rsid w:val="00C24A0C"/>
    <w:rsid w:val="00C2558F"/>
    <w:rsid w:val="00C27164"/>
    <w:rsid w:val="00C279B5"/>
    <w:rsid w:val="00C27AC2"/>
    <w:rsid w:val="00C27C45"/>
    <w:rsid w:val="00C30F6D"/>
    <w:rsid w:val="00C31D1D"/>
    <w:rsid w:val="00C3247B"/>
    <w:rsid w:val="00C337EA"/>
    <w:rsid w:val="00C33934"/>
    <w:rsid w:val="00C34313"/>
    <w:rsid w:val="00C34400"/>
    <w:rsid w:val="00C345BD"/>
    <w:rsid w:val="00C34E81"/>
    <w:rsid w:val="00C3719D"/>
    <w:rsid w:val="00C3777F"/>
    <w:rsid w:val="00C404D2"/>
    <w:rsid w:val="00C42EBB"/>
    <w:rsid w:val="00C440F1"/>
    <w:rsid w:val="00C45B59"/>
    <w:rsid w:val="00C466F6"/>
    <w:rsid w:val="00C5052F"/>
    <w:rsid w:val="00C50D88"/>
    <w:rsid w:val="00C5181E"/>
    <w:rsid w:val="00C51B8B"/>
    <w:rsid w:val="00C51DB5"/>
    <w:rsid w:val="00C5206A"/>
    <w:rsid w:val="00C53D65"/>
    <w:rsid w:val="00C53D73"/>
    <w:rsid w:val="00C54995"/>
    <w:rsid w:val="00C54D41"/>
    <w:rsid w:val="00C54D6B"/>
    <w:rsid w:val="00C551B8"/>
    <w:rsid w:val="00C5686F"/>
    <w:rsid w:val="00C60783"/>
    <w:rsid w:val="00C630CE"/>
    <w:rsid w:val="00C64672"/>
    <w:rsid w:val="00C65510"/>
    <w:rsid w:val="00C702CD"/>
    <w:rsid w:val="00C70697"/>
    <w:rsid w:val="00C72EF4"/>
    <w:rsid w:val="00C732A5"/>
    <w:rsid w:val="00C739ED"/>
    <w:rsid w:val="00C75CA7"/>
    <w:rsid w:val="00C75D2F"/>
    <w:rsid w:val="00C75DEA"/>
    <w:rsid w:val="00C766E2"/>
    <w:rsid w:val="00C767BE"/>
    <w:rsid w:val="00C76ABD"/>
    <w:rsid w:val="00C76E3C"/>
    <w:rsid w:val="00C77B88"/>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7170"/>
    <w:rsid w:val="00CC040E"/>
    <w:rsid w:val="00CC0627"/>
    <w:rsid w:val="00CC111F"/>
    <w:rsid w:val="00CC2011"/>
    <w:rsid w:val="00CC3EA0"/>
    <w:rsid w:val="00CC4580"/>
    <w:rsid w:val="00CC7B45"/>
    <w:rsid w:val="00CC7FA8"/>
    <w:rsid w:val="00CD1188"/>
    <w:rsid w:val="00CD1616"/>
    <w:rsid w:val="00CD2ED1"/>
    <w:rsid w:val="00CD2F9C"/>
    <w:rsid w:val="00CD337B"/>
    <w:rsid w:val="00CD3E08"/>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3CC5"/>
    <w:rsid w:val="00D046BC"/>
    <w:rsid w:val="00D04BFA"/>
    <w:rsid w:val="00D0535D"/>
    <w:rsid w:val="00D06945"/>
    <w:rsid w:val="00D06EA0"/>
    <w:rsid w:val="00D10249"/>
    <w:rsid w:val="00D10876"/>
    <w:rsid w:val="00D10DDA"/>
    <w:rsid w:val="00D115C3"/>
    <w:rsid w:val="00D11897"/>
    <w:rsid w:val="00D12D57"/>
    <w:rsid w:val="00D13135"/>
    <w:rsid w:val="00D138FA"/>
    <w:rsid w:val="00D13E4E"/>
    <w:rsid w:val="00D17598"/>
    <w:rsid w:val="00D17C35"/>
    <w:rsid w:val="00D203D0"/>
    <w:rsid w:val="00D20755"/>
    <w:rsid w:val="00D225C6"/>
    <w:rsid w:val="00D22614"/>
    <w:rsid w:val="00D239A7"/>
    <w:rsid w:val="00D23F47"/>
    <w:rsid w:val="00D267C5"/>
    <w:rsid w:val="00D2758E"/>
    <w:rsid w:val="00D27FEE"/>
    <w:rsid w:val="00D3079B"/>
    <w:rsid w:val="00D32C58"/>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D5"/>
    <w:rsid w:val="00D560FF"/>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8B0"/>
    <w:rsid w:val="00D77199"/>
    <w:rsid w:val="00D774D4"/>
    <w:rsid w:val="00D77B1D"/>
    <w:rsid w:val="00D8021F"/>
    <w:rsid w:val="00D80383"/>
    <w:rsid w:val="00D8085A"/>
    <w:rsid w:val="00D81016"/>
    <w:rsid w:val="00D823C6"/>
    <w:rsid w:val="00D83C1E"/>
    <w:rsid w:val="00D85056"/>
    <w:rsid w:val="00D851D7"/>
    <w:rsid w:val="00D863DF"/>
    <w:rsid w:val="00D86A19"/>
    <w:rsid w:val="00D86CA3"/>
    <w:rsid w:val="00D871CE"/>
    <w:rsid w:val="00D877BF"/>
    <w:rsid w:val="00D901FE"/>
    <w:rsid w:val="00D90FA6"/>
    <w:rsid w:val="00D9196D"/>
    <w:rsid w:val="00D92982"/>
    <w:rsid w:val="00D9504D"/>
    <w:rsid w:val="00D9532D"/>
    <w:rsid w:val="00D963C1"/>
    <w:rsid w:val="00D96A91"/>
    <w:rsid w:val="00D96DF4"/>
    <w:rsid w:val="00D97946"/>
    <w:rsid w:val="00DA305E"/>
    <w:rsid w:val="00DA3C1F"/>
    <w:rsid w:val="00DA43BC"/>
    <w:rsid w:val="00DA5417"/>
    <w:rsid w:val="00DA56E8"/>
    <w:rsid w:val="00DA5E1B"/>
    <w:rsid w:val="00DA7FAC"/>
    <w:rsid w:val="00DB0D6A"/>
    <w:rsid w:val="00DB377D"/>
    <w:rsid w:val="00DB5533"/>
    <w:rsid w:val="00DB5F55"/>
    <w:rsid w:val="00DB69B5"/>
    <w:rsid w:val="00DB78DA"/>
    <w:rsid w:val="00DC2D36"/>
    <w:rsid w:val="00DC376F"/>
    <w:rsid w:val="00DC53EF"/>
    <w:rsid w:val="00DC562E"/>
    <w:rsid w:val="00DC7A42"/>
    <w:rsid w:val="00DC7DCC"/>
    <w:rsid w:val="00DD0A53"/>
    <w:rsid w:val="00DD2E15"/>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463"/>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67DE"/>
    <w:rsid w:val="00E06D01"/>
    <w:rsid w:val="00E077B5"/>
    <w:rsid w:val="00E07D70"/>
    <w:rsid w:val="00E10139"/>
    <w:rsid w:val="00E110E7"/>
    <w:rsid w:val="00E11B20"/>
    <w:rsid w:val="00E133E4"/>
    <w:rsid w:val="00E1370F"/>
    <w:rsid w:val="00E13F7B"/>
    <w:rsid w:val="00E16A97"/>
    <w:rsid w:val="00E17AF5"/>
    <w:rsid w:val="00E17FA2"/>
    <w:rsid w:val="00E2036A"/>
    <w:rsid w:val="00E22330"/>
    <w:rsid w:val="00E23EB0"/>
    <w:rsid w:val="00E23FB2"/>
    <w:rsid w:val="00E24BEB"/>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343C"/>
    <w:rsid w:val="00E446F1"/>
    <w:rsid w:val="00E44C1D"/>
    <w:rsid w:val="00E45707"/>
    <w:rsid w:val="00E465D9"/>
    <w:rsid w:val="00E467F5"/>
    <w:rsid w:val="00E46886"/>
    <w:rsid w:val="00E46EF0"/>
    <w:rsid w:val="00E476B7"/>
    <w:rsid w:val="00E47AEF"/>
    <w:rsid w:val="00E47CEE"/>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678F"/>
    <w:rsid w:val="00E669C8"/>
    <w:rsid w:val="00E66E1D"/>
    <w:rsid w:val="00E67C51"/>
    <w:rsid w:val="00E716B3"/>
    <w:rsid w:val="00E72EFC"/>
    <w:rsid w:val="00E73BA1"/>
    <w:rsid w:val="00E73CBB"/>
    <w:rsid w:val="00E750EC"/>
    <w:rsid w:val="00E758EC"/>
    <w:rsid w:val="00E76A82"/>
    <w:rsid w:val="00E805CC"/>
    <w:rsid w:val="00E81902"/>
    <w:rsid w:val="00E8234C"/>
    <w:rsid w:val="00E8324A"/>
    <w:rsid w:val="00E83AA9"/>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A116D"/>
    <w:rsid w:val="00EA1343"/>
    <w:rsid w:val="00EA3972"/>
    <w:rsid w:val="00EA40D1"/>
    <w:rsid w:val="00EA4660"/>
    <w:rsid w:val="00EA4D8C"/>
    <w:rsid w:val="00EA6DC4"/>
    <w:rsid w:val="00EA7302"/>
    <w:rsid w:val="00EA7A41"/>
    <w:rsid w:val="00EB014C"/>
    <w:rsid w:val="00EB077B"/>
    <w:rsid w:val="00EB0CC5"/>
    <w:rsid w:val="00EB1EA8"/>
    <w:rsid w:val="00EB2209"/>
    <w:rsid w:val="00EB4C64"/>
    <w:rsid w:val="00EB4EA2"/>
    <w:rsid w:val="00EB57C3"/>
    <w:rsid w:val="00EB5C6E"/>
    <w:rsid w:val="00EB6ADC"/>
    <w:rsid w:val="00EC195E"/>
    <w:rsid w:val="00EC1B4B"/>
    <w:rsid w:val="00EC27C6"/>
    <w:rsid w:val="00EC27CD"/>
    <w:rsid w:val="00EC3625"/>
    <w:rsid w:val="00EC3674"/>
    <w:rsid w:val="00EC4207"/>
    <w:rsid w:val="00EC55F4"/>
    <w:rsid w:val="00EC5653"/>
    <w:rsid w:val="00EC71CE"/>
    <w:rsid w:val="00ED0ECF"/>
    <w:rsid w:val="00ED1006"/>
    <w:rsid w:val="00ED22D2"/>
    <w:rsid w:val="00ED2409"/>
    <w:rsid w:val="00ED2959"/>
    <w:rsid w:val="00ED2BEF"/>
    <w:rsid w:val="00ED2E24"/>
    <w:rsid w:val="00ED5626"/>
    <w:rsid w:val="00ED6690"/>
    <w:rsid w:val="00ED6713"/>
    <w:rsid w:val="00ED7A2C"/>
    <w:rsid w:val="00EE020E"/>
    <w:rsid w:val="00EE1780"/>
    <w:rsid w:val="00EE1AB8"/>
    <w:rsid w:val="00EE3373"/>
    <w:rsid w:val="00EE3DA8"/>
    <w:rsid w:val="00EE44BC"/>
    <w:rsid w:val="00EE6D43"/>
    <w:rsid w:val="00EE7ACD"/>
    <w:rsid w:val="00EF18FE"/>
    <w:rsid w:val="00EF470F"/>
    <w:rsid w:val="00EF520E"/>
    <w:rsid w:val="00EF5787"/>
    <w:rsid w:val="00EF60D0"/>
    <w:rsid w:val="00EF6B97"/>
    <w:rsid w:val="00EF7453"/>
    <w:rsid w:val="00F04DB5"/>
    <w:rsid w:val="00F0528D"/>
    <w:rsid w:val="00F06C67"/>
    <w:rsid w:val="00F06DFD"/>
    <w:rsid w:val="00F071D1"/>
    <w:rsid w:val="00F07533"/>
    <w:rsid w:val="00F10209"/>
    <w:rsid w:val="00F10629"/>
    <w:rsid w:val="00F10F13"/>
    <w:rsid w:val="00F12C5F"/>
    <w:rsid w:val="00F1364C"/>
    <w:rsid w:val="00F14277"/>
    <w:rsid w:val="00F143EA"/>
    <w:rsid w:val="00F146DC"/>
    <w:rsid w:val="00F14E86"/>
    <w:rsid w:val="00F15FA5"/>
    <w:rsid w:val="00F16AAE"/>
    <w:rsid w:val="00F16C0E"/>
    <w:rsid w:val="00F16D8C"/>
    <w:rsid w:val="00F209B7"/>
    <w:rsid w:val="00F21A30"/>
    <w:rsid w:val="00F21A71"/>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DA3"/>
    <w:rsid w:val="00F45AEB"/>
    <w:rsid w:val="00F4766C"/>
    <w:rsid w:val="00F5033C"/>
    <w:rsid w:val="00F503D0"/>
    <w:rsid w:val="00F507D1"/>
    <w:rsid w:val="00F508FE"/>
    <w:rsid w:val="00F51808"/>
    <w:rsid w:val="00F519CE"/>
    <w:rsid w:val="00F51ADA"/>
    <w:rsid w:val="00F52105"/>
    <w:rsid w:val="00F521A7"/>
    <w:rsid w:val="00F525E1"/>
    <w:rsid w:val="00F55085"/>
    <w:rsid w:val="00F56909"/>
    <w:rsid w:val="00F60595"/>
    <w:rsid w:val="00F607C5"/>
    <w:rsid w:val="00F60DEA"/>
    <w:rsid w:val="00F6302A"/>
    <w:rsid w:val="00F649FD"/>
    <w:rsid w:val="00F64C2B"/>
    <w:rsid w:val="00F651BE"/>
    <w:rsid w:val="00F66670"/>
    <w:rsid w:val="00F66695"/>
    <w:rsid w:val="00F67155"/>
    <w:rsid w:val="00F67F53"/>
    <w:rsid w:val="00F70116"/>
    <w:rsid w:val="00F703BE"/>
    <w:rsid w:val="00F7135D"/>
    <w:rsid w:val="00F7184A"/>
    <w:rsid w:val="00F71F69"/>
    <w:rsid w:val="00F72150"/>
    <w:rsid w:val="00F72B72"/>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88A"/>
    <w:rsid w:val="00F93AA9"/>
    <w:rsid w:val="00F9538C"/>
    <w:rsid w:val="00F966AA"/>
    <w:rsid w:val="00F96985"/>
    <w:rsid w:val="00F96B91"/>
    <w:rsid w:val="00F97838"/>
    <w:rsid w:val="00FA1379"/>
    <w:rsid w:val="00FA1965"/>
    <w:rsid w:val="00FA2BB3"/>
    <w:rsid w:val="00FA41F9"/>
    <w:rsid w:val="00FA57BF"/>
    <w:rsid w:val="00FA7169"/>
    <w:rsid w:val="00FA7362"/>
    <w:rsid w:val="00FB1CCB"/>
    <w:rsid w:val="00FB2389"/>
    <w:rsid w:val="00FB4C80"/>
    <w:rsid w:val="00FB57F9"/>
    <w:rsid w:val="00FB58E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19F"/>
    <w:rsid w:val="00FE0655"/>
    <w:rsid w:val="00FE1F8B"/>
    <w:rsid w:val="00FE2365"/>
    <w:rsid w:val="00FE4B4A"/>
    <w:rsid w:val="00FE4C7B"/>
    <w:rsid w:val="00FE4D0C"/>
    <w:rsid w:val="00FE6ACE"/>
    <w:rsid w:val="00FE7336"/>
    <w:rsid w:val="00FE787C"/>
    <w:rsid w:val="00FE78BB"/>
    <w:rsid w:val="00FF24E8"/>
    <w:rsid w:val="00FF32F0"/>
    <w:rsid w:val="00FF3EC3"/>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A533D1"/>
    <w:rPr>
      <w:b/>
      <w:bCs/>
      <w:position w:val="6"/>
      <w:sz w:val="16"/>
      <w:szCs w:val="16"/>
    </w:rPr>
  </w:style>
  <w:style w:type="paragraph" w:styleId="FootnoteText">
    <w:name w:val="footnote text"/>
    <w:basedOn w:val="Normal"/>
    <w:link w:val="FootnoteTextChar"/>
    <w:semiHidden/>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semiHidden/>
    <w:rsid w:val="00A533D1"/>
    <w:pPr>
      <w:jc w:val="center"/>
    </w:pPr>
    <w:rPr>
      <w:i/>
      <w:iCs/>
    </w:rPr>
  </w:style>
  <w:style w:type="paragraph" w:customStyle="1" w:styleId="Reference">
    <w:name w:val="Reference"/>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cs="Arial"/>
      <w:sz w:val="36"/>
      <w:szCs w:val="36"/>
      <w:lang w:val="en-GB" w:eastAsia="zh-CN"/>
    </w:rPr>
  </w:style>
  <w:style w:type="paragraph" w:customStyle="1" w:styleId="B1">
    <w:name w:val="B1"/>
    <w:basedOn w:val="List"/>
    <w:link w:val="B1Char1"/>
    <w:rsid w:val="00A533D1"/>
    <w:pPr>
      <w:spacing w:after="180"/>
      <w:jc w:val="left"/>
    </w:pPr>
    <w:rPr>
      <w:lang w:eastAsia="en-US"/>
    </w:rPr>
  </w:style>
  <w:style w:type="paragraph" w:customStyle="1" w:styleId="B2">
    <w:name w:val="B2"/>
    <w:basedOn w:val="List2"/>
    <w:link w:val="B2Char"/>
    <w:rsid w:val="00A533D1"/>
    <w:pPr>
      <w:spacing w:after="180"/>
      <w:jc w:val="left"/>
    </w:pPr>
    <w:rPr>
      <w:lang w:eastAsia="en-US"/>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en-US"/>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en-US"/>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rFonts w:cs="Times New Roman"/>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eastAsia="zh-CN"/>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rPr>
  </w:style>
  <w:style w:type="character" w:customStyle="1" w:styleId="FootnoteTextChar">
    <w:name w:val="Footnote Text Char"/>
    <w:link w:val="FootnoteText"/>
    <w:semiHidden/>
    <w:rsid w:val="00D03CC5"/>
    <w:rPr>
      <w:rFonts w:ascii="Arial" w:eastAsia="Times New Roman" w:hAnsi="Arial"/>
      <w:sz w:val="16"/>
      <w:szCs w:val="16"/>
      <w:lang w:val="en-GB" w:eastAsia="zh-CN"/>
    </w:rPr>
  </w:style>
  <w:style w:type="paragraph" w:customStyle="1" w:styleId="IvDbodytext">
    <w:name w:val="IvD bodytext"/>
    <w:basedOn w:val="BodyText"/>
    <w:link w:val="IvDbodytextChar"/>
    <w:qFormat/>
    <w:rsid w:val="00D12D5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12D57"/>
    <w:rPr>
      <w:rFonts w:ascii="Arial" w:eastAsia="Times New Roman" w:hAnsi="Arial"/>
      <w:spacing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533D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33D1"/>
    <w:pPr>
      <w:numPr>
        <w:ilvl w:val="2"/>
      </w:numPr>
      <w:spacing w:before="120"/>
      <w:outlineLvl w:val="2"/>
    </w:pPr>
    <w:rPr>
      <w:sz w:val="28"/>
      <w:szCs w:val="28"/>
    </w:rPr>
  </w:style>
  <w:style w:type="paragraph" w:styleId="Heading4">
    <w:name w:val="heading 4"/>
    <w:basedOn w:val="Heading3"/>
    <w:next w:val="Normal"/>
    <w:qFormat/>
    <w:rsid w:val="00A533D1"/>
    <w:pPr>
      <w:numPr>
        <w:ilvl w:val="3"/>
      </w:numPr>
      <w:outlineLvl w:val="3"/>
    </w:pPr>
    <w:rPr>
      <w:sz w:val="24"/>
      <w:szCs w:val="24"/>
    </w:rPr>
  </w:style>
  <w:style w:type="paragraph" w:styleId="Heading5">
    <w:name w:val="heading 5"/>
    <w:basedOn w:val="Heading4"/>
    <w:next w:val="Normal"/>
    <w:qFormat/>
    <w:rsid w:val="00A533D1"/>
    <w:pPr>
      <w:numPr>
        <w:ilvl w:val="4"/>
      </w:numPr>
      <w:outlineLvl w:val="4"/>
    </w:pPr>
    <w:rPr>
      <w:sz w:val="22"/>
      <w:szCs w:val="22"/>
    </w:rPr>
  </w:style>
  <w:style w:type="paragraph" w:styleId="Heading6">
    <w:name w:val="heading 6"/>
    <w:basedOn w:val="Normal"/>
    <w:next w:val="Normal"/>
    <w:qFormat/>
    <w:rsid w:val="00A533D1"/>
    <w:pPr>
      <w:keepNext/>
      <w:keepLines/>
      <w:numPr>
        <w:ilvl w:val="5"/>
        <w:numId w:val="1"/>
      </w:numPr>
      <w:spacing w:before="120"/>
      <w:outlineLvl w:val="5"/>
    </w:pPr>
    <w:rPr>
      <w:rFonts w:cs="Arial"/>
    </w:rPr>
  </w:style>
  <w:style w:type="paragraph" w:styleId="Heading7">
    <w:name w:val="heading 7"/>
    <w:basedOn w:val="Normal"/>
    <w:next w:val="Normal"/>
    <w:qFormat/>
    <w:rsid w:val="00A533D1"/>
    <w:pPr>
      <w:keepNext/>
      <w:keepLines/>
      <w:numPr>
        <w:ilvl w:val="6"/>
        <w:numId w:val="1"/>
      </w:numPr>
      <w:spacing w:before="120"/>
      <w:outlineLvl w:val="6"/>
    </w:pPr>
    <w:rPr>
      <w:rFonts w:cs="Arial"/>
    </w:rPr>
  </w:style>
  <w:style w:type="paragraph" w:styleId="Heading8">
    <w:name w:val="heading 8"/>
    <w:basedOn w:val="Heading7"/>
    <w:next w:val="Normal"/>
    <w:qFormat/>
    <w:rsid w:val="00A533D1"/>
    <w:pPr>
      <w:numPr>
        <w:ilvl w:val="7"/>
      </w:numPr>
      <w:outlineLvl w:val="7"/>
    </w:pPr>
  </w:style>
  <w:style w:type="paragraph" w:styleId="Heading9">
    <w:name w:val="heading 9"/>
    <w:basedOn w:val="Heading8"/>
    <w:next w:val="Normal"/>
    <w:qFormat/>
    <w:rsid w:val="00A533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33D1"/>
    <w:pPr>
      <w:spacing w:before="180"/>
      <w:ind w:left="2693" w:hanging="2693"/>
    </w:pPr>
    <w:rPr>
      <w:b w:val="0"/>
      <w:bCs/>
    </w:rPr>
  </w:style>
  <w:style w:type="paragraph" w:styleId="TOC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A533D1"/>
    <w:pPr>
      <w:keepNext/>
      <w:keepLines/>
      <w:spacing w:before="180"/>
      <w:jc w:val="center"/>
    </w:pPr>
  </w:style>
  <w:style w:type="paragraph" w:styleId="Caption">
    <w:name w:val="caption"/>
    <w:basedOn w:val="Normal"/>
    <w:next w:val="Normal"/>
    <w:qFormat/>
    <w:rsid w:val="00A533D1"/>
    <w:pPr>
      <w:spacing w:after="240"/>
      <w:jc w:val="center"/>
    </w:pPr>
    <w:rPr>
      <w:b/>
      <w:bCs/>
    </w:rPr>
  </w:style>
  <w:style w:type="paragraph" w:styleId="TOC5">
    <w:name w:val="toc 5"/>
    <w:aliases w:val="Observation TOC"/>
    <w:basedOn w:val="TOC4"/>
    <w:semiHidden/>
    <w:rsid w:val="00A533D1"/>
    <w:pPr>
      <w:tabs>
        <w:tab w:val="right" w:pos="1701"/>
      </w:tabs>
      <w:ind w:left="1701" w:hanging="1701"/>
    </w:pPr>
  </w:style>
  <w:style w:type="paragraph" w:styleId="TOC4">
    <w:name w:val="toc 4"/>
    <w:basedOn w:val="TOC3"/>
    <w:semiHidden/>
    <w:rsid w:val="00A533D1"/>
    <w:pPr>
      <w:ind w:left="1418" w:hanging="1418"/>
    </w:pPr>
  </w:style>
  <w:style w:type="paragraph" w:styleId="TOC3">
    <w:name w:val="toc 3"/>
    <w:basedOn w:val="TOC2"/>
    <w:semiHidden/>
    <w:rsid w:val="00A533D1"/>
    <w:pPr>
      <w:ind w:left="1134" w:hanging="1134"/>
    </w:pPr>
  </w:style>
  <w:style w:type="paragraph" w:styleId="TOC2">
    <w:name w:val="toc 2"/>
    <w:basedOn w:val="TOC1"/>
    <w:semiHidden/>
    <w:rsid w:val="00A533D1"/>
    <w:pPr>
      <w:keepNext w:val="0"/>
      <w:spacing w:before="0"/>
      <w:ind w:left="851" w:hanging="851"/>
    </w:pPr>
    <w:rPr>
      <w:szCs w:val="20"/>
    </w:rPr>
  </w:style>
  <w:style w:type="paragraph" w:styleId="Index2">
    <w:name w:val="index 2"/>
    <w:basedOn w:val="Index1"/>
    <w:semiHidden/>
    <w:rsid w:val="00A533D1"/>
    <w:pPr>
      <w:ind w:left="284"/>
    </w:pPr>
  </w:style>
  <w:style w:type="paragraph" w:styleId="Index1">
    <w:name w:val="index 1"/>
    <w:basedOn w:val="Normal"/>
    <w:semiHidden/>
    <w:rsid w:val="00A533D1"/>
    <w:pPr>
      <w:keepLines/>
      <w:spacing w:after="0"/>
    </w:pPr>
  </w:style>
  <w:style w:type="paragraph" w:styleId="DocumentMap">
    <w:name w:val="Document Map"/>
    <w:basedOn w:val="Normal"/>
    <w:semiHidden/>
    <w:rsid w:val="00A533D1"/>
    <w:pPr>
      <w:shd w:val="clear" w:color="auto" w:fill="000080"/>
    </w:pPr>
    <w:rPr>
      <w:rFonts w:ascii="Tahoma" w:hAnsi="Tahoma" w:cs="Tahoma"/>
    </w:rPr>
  </w:style>
  <w:style w:type="paragraph" w:styleId="ListNumber2">
    <w:name w:val="List Number 2"/>
    <w:basedOn w:val="ListNumber"/>
    <w:rsid w:val="00A533D1"/>
    <w:pPr>
      <w:ind w:left="851"/>
    </w:pPr>
  </w:style>
  <w:style w:type="paragraph" w:styleId="ListNumber">
    <w:name w:val="List Number"/>
    <w:basedOn w:val="List"/>
    <w:rsid w:val="00A533D1"/>
  </w:style>
  <w:style w:type="paragraph" w:styleId="List">
    <w:name w:val="List"/>
    <w:basedOn w:val="Normal"/>
    <w:rsid w:val="00A533D1"/>
    <w:pPr>
      <w:ind w:left="568" w:hanging="284"/>
    </w:pPr>
  </w:style>
  <w:style w:type="paragraph" w:styleId="Header">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A533D1"/>
    <w:rPr>
      <w:b/>
      <w:bCs/>
      <w:position w:val="6"/>
      <w:sz w:val="16"/>
      <w:szCs w:val="16"/>
    </w:rPr>
  </w:style>
  <w:style w:type="paragraph" w:styleId="FootnoteText">
    <w:name w:val="footnote text"/>
    <w:basedOn w:val="Normal"/>
    <w:link w:val="FootnoteTextChar"/>
    <w:semiHidden/>
    <w:rsid w:val="00A533D1"/>
    <w:pPr>
      <w:keepLines/>
      <w:spacing w:after="0"/>
      <w:ind w:left="454" w:hanging="454"/>
    </w:pPr>
    <w:rPr>
      <w:sz w:val="16"/>
      <w:szCs w:val="16"/>
    </w:rPr>
  </w:style>
  <w:style w:type="paragraph" w:customStyle="1" w:styleId="3GPPHeader">
    <w:name w:val="3GPP_Header"/>
    <w:basedOn w:val="Normal"/>
    <w:rsid w:val="00A533D1"/>
    <w:pPr>
      <w:tabs>
        <w:tab w:val="left" w:pos="1701"/>
        <w:tab w:val="right" w:pos="9639"/>
      </w:tabs>
      <w:spacing w:after="240"/>
    </w:pPr>
    <w:rPr>
      <w:b/>
      <w:sz w:val="24"/>
    </w:rPr>
  </w:style>
  <w:style w:type="paragraph" w:styleId="TOC9">
    <w:name w:val="toc 9"/>
    <w:basedOn w:val="TOC8"/>
    <w:semiHidden/>
    <w:rsid w:val="00A533D1"/>
    <w:pPr>
      <w:ind w:left="1418" w:hanging="1418"/>
    </w:pPr>
  </w:style>
  <w:style w:type="paragraph" w:styleId="TOC6">
    <w:name w:val="toc 6"/>
    <w:basedOn w:val="TOC5"/>
    <w:next w:val="Normal"/>
    <w:semiHidden/>
    <w:rsid w:val="00A533D1"/>
    <w:pPr>
      <w:ind w:left="1985" w:hanging="1985"/>
    </w:pPr>
  </w:style>
  <w:style w:type="paragraph" w:styleId="TOC7">
    <w:name w:val="toc 7"/>
    <w:basedOn w:val="TOC6"/>
    <w:next w:val="Normal"/>
    <w:semiHidden/>
    <w:rsid w:val="00A533D1"/>
    <w:pPr>
      <w:ind w:left="2268" w:hanging="2268"/>
    </w:pPr>
  </w:style>
  <w:style w:type="paragraph" w:styleId="ListBullet2">
    <w:name w:val="List Bullet 2"/>
    <w:basedOn w:val="ListBullet"/>
    <w:rsid w:val="00A533D1"/>
    <w:pPr>
      <w:numPr>
        <w:numId w:val="6"/>
      </w:numPr>
    </w:pPr>
  </w:style>
  <w:style w:type="paragraph" w:styleId="ListBullet">
    <w:name w:val="List Bullet"/>
    <w:basedOn w:val="BodyText"/>
    <w:rsid w:val="00A533D1"/>
    <w:pPr>
      <w:numPr>
        <w:numId w:val="5"/>
      </w:numPr>
    </w:pPr>
  </w:style>
  <w:style w:type="paragraph" w:styleId="ListBullet3">
    <w:name w:val="List Bullet 3"/>
    <w:basedOn w:val="ListBullet2"/>
    <w:rsid w:val="00A533D1"/>
    <w:pPr>
      <w:numPr>
        <w:numId w:val="7"/>
      </w:numPr>
    </w:pPr>
  </w:style>
  <w:style w:type="paragraph" w:customStyle="1" w:styleId="EQ">
    <w:name w:val="EQ"/>
    <w:basedOn w:val="Normal"/>
    <w:next w:val="Normal"/>
    <w:rsid w:val="00A533D1"/>
    <w:pPr>
      <w:keepLines/>
      <w:tabs>
        <w:tab w:val="center" w:pos="4536"/>
        <w:tab w:val="right" w:pos="9072"/>
      </w:tabs>
      <w:spacing w:after="180"/>
      <w:jc w:val="left"/>
    </w:pPr>
    <w:rPr>
      <w:noProof/>
      <w:lang w:eastAsia="en-US"/>
    </w:rPr>
  </w:style>
  <w:style w:type="paragraph" w:styleId="List2">
    <w:name w:val="List 2"/>
    <w:basedOn w:val="List"/>
    <w:rsid w:val="00A533D1"/>
    <w:pPr>
      <w:ind w:left="851"/>
    </w:pPr>
  </w:style>
  <w:style w:type="paragraph" w:styleId="List3">
    <w:name w:val="List 3"/>
    <w:basedOn w:val="List2"/>
    <w:rsid w:val="00A533D1"/>
    <w:pPr>
      <w:ind w:left="1135"/>
    </w:pPr>
  </w:style>
  <w:style w:type="paragraph" w:styleId="List4">
    <w:name w:val="List 4"/>
    <w:basedOn w:val="List3"/>
    <w:rsid w:val="00A533D1"/>
    <w:pPr>
      <w:ind w:left="1418"/>
    </w:pPr>
  </w:style>
  <w:style w:type="paragraph" w:styleId="List5">
    <w:name w:val="List 5"/>
    <w:basedOn w:val="List4"/>
    <w:rsid w:val="00A533D1"/>
    <w:pPr>
      <w:ind w:left="1702"/>
    </w:pPr>
  </w:style>
  <w:style w:type="paragraph" w:customStyle="1" w:styleId="EditorsNote">
    <w:name w:val="Editor's Note"/>
    <w:basedOn w:val="Normal"/>
    <w:rsid w:val="00A533D1"/>
    <w:pPr>
      <w:keepLines/>
      <w:spacing w:after="180"/>
      <w:ind w:left="1135" w:hanging="851"/>
      <w:jc w:val="left"/>
    </w:pPr>
    <w:rPr>
      <w:color w:val="FF0000"/>
      <w:lang w:eastAsia="en-US"/>
    </w:rPr>
  </w:style>
  <w:style w:type="paragraph" w:styleId="ListBullet4">
    <w:name w:val="List Bullet 4"/>
    <w:basedOn w:val="ListBullet3"/>
    <w:rsid w:val="00A533D1"/>
    <w:pPr>
      <w:numPr>
        <w:numId w:val="8"/>
      </w:numPr>
    </w:pPr>
  </w:style>
  <w:style w:type="paragraph" w:styleId="ListBullet5">
    <w:name w:val="List Bullet 5"/>
    <w:basedOn w:val="ListBullet4"/>
    <w:rsid w:val="00A533D1"/>
    <w:pPr>
      <w:numPr>
        <w:numId w:val="4"/>
      </w:numPr>
    </w:pPr>
  </w:style>
  <w:style w:type="paragraph" w:styleId="Footer">
    <w:name w:val="footer"/>
    <w:basedOn w:val="Header"/>
    <w:semiHidden/>
    <w:rsid w:val="00A533D1"/>
    <w:pPr>
      <w:jc w:val="center"/>
    </w:pPr>
    <w:rPr>
      <w:i/>
      <w:iCs/>
    </w:rPr>
  </w:style>
  <w:style w:type="paragraph" w:customStyle="1" w:styleId="Reference">
    <w:name w:val="Reference"/>
    <w:basedOn w:val="Normal"/>
    <w:rsid w:val="00A533D1"/>
    <w:pPr>
      <w:numPr>
        <w:numId w:val="2"/>
      </w:numPr>
    </w:pPr>
  </w:style>
  <w:style w:type="paragraph" w:styleId="BalloonText">
    <w:name w:val="Balloon Text"/>
    <w:basedOn w:val="Normal"/>
    <w:semiHidden/>
    <w:rsid w:val="00A533D1"/>
    <w:rPr>
      <w:rFonts w:ascii="Tahoma" w:hAnsi="Tahoma" w:cs="Tahoma"/>
      <w:sz w:val="16"/>
      <w:szCs w:val="16"/>
    </w:rPr>
  </w:style>
  <w:style w:type="character" w:styleId="PageNumber">
    <w:name w:val="page number"/>
    <w:semiHidden/>
    <w:rsid w:val="00A533D1"/>
  </w:style>
  <w:style w:type="paragraph" w:styleId="BodyText">
    <w:name w:val="Body Text"/>
    <w:basedOn w:val="Normal"/>
    <w:link w:val="BodyTextChar"/>
    <w:rsid w:val="00A533D1"/>
  </w:style>
  <w:style w:type="character" w:styleId="Hyperlink">
    <w:name w:val="Hyperlink"/>
    <w:uiPriority w:val="99"/>
    <w:rsid w:val="00A533D1"/>
    <w:rPr>
      <w:color w:val="0000FF"/>
      <w:u w:val="single"/>
      <w:lang w:val="en-GB"/>
    </w:rPr>
  </w:style>
  <w:style w:type="character" w:styleId="FollowedHyperlink">
    <w:name w:val="FollowedHyperlink"/>
    <w:semiHidden/>
    <w:rsid w:val="00A533D1"/>
    <w:rPr>
      <w:color w:val="FF0000"/>
      <w:u w:val="single"/>
    </w:rPr>
  </w:style>
  <w:style w:type="character" w:styleId="CommentReference">
    <w:name w:val="annotation reference"/>
    <w:semiHidden/>
    <w:rsid w:val="00A533D1"/>
    <w:rPr>
      <w:sz w:val="16"/>
      <w:szCs w:val="16"/>
    </w:rPr>
  </w:style>
  <w:style w:type="paragraph" w:styleId="CommentText">
    <w:name w:val="annotation text"/>
    <w:basedOn w:val="Normal"/>
    <w:semiHidden/>
    <w:rsid w:val="00A533D1"/>
  </w:style>
  <w:style w:type="paragraph" w:styleId="CommentSubject">
    <w:name w:val="annotation subject"/>
    <w:basedOn w:val="CommentText"/>
    <w:next w:val="CommentText"/>
    <w:semiHidden/>
    <w:rsid w:val="00A533D1"/>
    <w:rPr>
      <w:b/>
      <w:bCs/>
    </w:rPr>
  </w:style>
  <w:style w:type="character" w:customStyle="1" w:styleId="Heading1Char">
    <w:name w:val="Heading 1 Char"/>
    <w:link w:val="Heading1"/>
    <w:rsid w:val="00A533D1"/>
    <w:rPr>
      <w:rFonts w:ascii="Arial" w:eastAsia="Times New Roman" w:hAnsi="Arial" w:cs="Arial"/>
      <w:sz w:val="36"/>
      <w:szCs w:val="36"/>
      <w:lang w:val="en-GB" w:eastAsia="zh-CN"/>
    </w:rPr>
  </w:style>
  <w:style w:type="paragraph" w:customStyle="1" w:styleId="B1">
    <w:name w:val="B1"/>
    <w:basedOn w:val="List"/>
    <w:link w:val="B1Char1"/>
    <w:rsid w:val="00A533D1"/>
    <w:pPr>
      <w:spacing w:after="180"/>
      <w:jc w:val="left"/>
    </w:pPr>
    <w:rPr>
      <w:lang w:eastAsia="en-US"/>
    </w:rPr>
  </w:style>
  <w:style w:type="paragraph" w:customStyle="1" w:styleId="B2">
    <w:name w:val="B2"/>
    <w:basedOn w:val="List2"/>
    <w:link w:val="B2Char"/>
    <w:rsid w:val="00A533D1"/>
    <w:pPr>
      <w:spacing w:after="180"/>
      <w:jc w:val="left"/>
    </w:pPr>
    <w:rPr>
      <w:lang w:eastAsia="en-US"/>
    </w:rPr>
  </w:style>
  <w:style w:type="paragraph" w:customStyle="1" w:styleId="B3">
    <w:name w:val="B3"/>
    <w:basedOn w:val="List3"/>
    <w:rsid w:val="00A533D1"/>
    <w:pPr>
      <w:spacing w:after="180"/>
      <w:jc w:val="left"/>
    </w:pPr>
    <w:rPr>
      <w:lang w:eastAsia="en-US"/>
    </w:rPr>
  </w:style>
  <w:style w:type="paragraph" w:customStyle="1" w:styleId="B4">
    <w:name w:val="B4"/>
    <w:basedOn w:val="List4"/>
    <w:rsid w:val="00A533D1"/>
    <w:pPr>
      <w:spacing w:after="180"/>
      <w:jc w:val="left"/>
    </w:pPr>
    <w:rPr>
      <w:lang w:eastAsia="en-US"/>
    </w:rPr>
  </w:style>
  <w:style w:type="paragraph" w:customStyle="1" w:styleId="Proposal">
    <w:name w:val="Proposal"/>
    <w:basedOn w:val="Normal"/>
    <w:rsid w:val="00A533D1"/>
    <w:pPr>
      <w:numPr>
        <w:numId w:val="3"/>
      </w:numPr>
      <w:tabs>
        <w:tab w:val="clear" w:pos="1304"/>
        <w:tab w:val="left" w:pos="1701"/>
      </w:tabs>
      <w:ind w:left="1701" w:hanging="1701"/>
    </w:pPr>
    <w:rPr>
      <w:b/>
      <w:bCs/>
    </w:rPr>
  </w:style>
  <w:style w:type="character" w:customStyle="1" w:styleId="BodyTextChar">
    <w:name w:val="Body Text Char"/>
    <w:link w:val="BodyText"/>
    <w:rsid w:val="00A533D1"/>
    <w:rPr>
      <w:rFonts w:ascii="Arial" w:eastAsia="Times New Roman" w:hAnsi="Arial"/>
      <w:lang w:val="en-GB" w:eastAsia="zh-CN"/>
    </w:rPr>
  </w:style>
  <w:style w:type="paragraph" w:customStyle="1" w:styleId="B5">
    <w:name w:val="B5"/>
    <w:basedOn w:val="List5"/>
    <w:rsid w:val="00A533D1"/>
    <w:pPr>
      <w:spacing w:after="180"/>
      <w:jc w:val="left"/>
    </w:pPr>
    <w:rPr>
      <w:lang w:eastAsia="en-US"/>
    </w:rPr>
  </w:style>
  <w:style w:type="paragraph" w:customStyle="1" w:styleId="EX">
    <w:name w:val="EX"/>
    <w:basedOn w:val="Normal"/>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Normal"/>
    <w:link w:val="TALCar"/>
    <w:rsid w:val="00A533D1"/>
    <w:pPr>
      <w:keepNext/>
      <w:keepLines/>
      <w:spacing w:after="0"/>
      <w:jc w:val="left"/>
    </w:pPr>
    <w:rPr>
      <w:sz w:val="18"/>
      <w:lang w:eastAsia="en-US"/>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Normal"/>
    <w:link w:val="THChar"/>
    <w:rsid w:val="00A533D1"/>
    <w:pPr>
      <w:keepNext/>
      <w:keepLines/>
      <w:spacing w:before="60" w:after="180"/>
      <w:jc w:val="center"/>
    </w:pPr>
    <w:rPr>
      <w:b/>
      <w:lang w:eastAsia="en-US"/>
    </w:rPr>
  </w:style>
  <w:style w:type="paragraph" w:customStyle="1" w:styleId="TF">
    <w:name w:val="TF"/>
    <w:basedOn w:val="TH"/>
    <w:rsid w:val="00A533D1"/>
    <w:pPr>
      <w:keepNext w:val="0"/>
      <w:spacing w:before="0" w:after="240"/>
    </w:pPr>
  </w:style>
  <w:style w:type="paragraph" w:customStyle="1" w:styleId="TT">
    <w:name w:val="TT"/>
    <w:basedOn w:val="Heading1"/>
    <w:next w:val="Normal"/>
    <w:rsid w:val="00A533D1"/>
    <w:pPr>
      <w:numPr>
        <w:numId w:val="0"/>
      </w:numPr>
      <w:ind w:left="1134" w:hanging="1134"/>
      <w:outlineLvl w:val="9"/>
    </w:pPr>
    <w:rPr>
      <w:rFonts w:cs="Times New Roman"/>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533D1"/>
    <w:pPr>
      <w:framePr w:wrap="notBeside" w:y="16161"/>
    </w:pPr>
  </w:style>
  <w:style w:type="paragraph" w:customStyle="1" w:styleId="FP">
    <w:name w:val="FP"/>
    <w:basedOn w:val="Normal"/>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TableofFigures">
    <w:name w:val="table of figures"/>
    <w:basedOn w:val="Normal"/>
    <w:next w:val="Normal"/>
    <w:uiPriority w:val="99"/>
    <w:rsid w:val="00A533D1"/>
    <w:pPr>
      <w:ind w:left="1418" w:hanging="1418"/>
      <w:jc w:val="left"/>
    </w:pPr>
    <w:rPr>
      <w:b/>
    </w:rPr>
  </w:style>
  <w:style w:type="paragraph" w:customStyle="1" w:styleId="TableText">
    <w:name w:val="TableText"/>
    <w:basedOn w:val="BodyTextIndent"/>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BodyTextIndent">
    <w:name w:val="Body Text Indent"/>
    <w:basedOn w:val="Normal"/>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Normal"/>
    <w:link w:val="TALCharCharChar"/>
    <w:rsid w:val="00882BD9"/>
    <w:pPr>
      <w:keepNext/>
      <w:keepLines/>
      <w:spacing w:after="0"/>
      <w:jc w:val="left"/>
    </w:pPr>
    <w:rPr>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TableGrid">
    <w:name w:val="Table Grid"/>
    <w:basedOn w:val="TableNormal"/>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NormalWeb">
    <w:name w:val="Normal (Web)"/>
    <w:basedOn w:val="Normal"/>
    <w:rsid w:val="00E10139"/>
    <w:rPr>
      <w:rFonts w:ascii="Times New Roman" w:hAnsi="Times New Roman"/>
      <w:sz w:val="24"/>
      <w:szCs w:val="24"/>
    </w:rPr>
  </w:style>
  <w:style w:type="paragraph" w:styleId="NormalIndent">
    <w:name w:val="Normal Indent"/>
    <w:basedOn w:val="Normal"/>
    <w:rsid w:val="003268E3"/>
    <w:pPr>
      <w:ind w:left="720"/>
    </w:pPr>
  </w:style>
  <w:style w:type="character" w:customStyle="1" w:styleId="Heading2Char">
    <w:name w:val="Heading 2 Char"/>
    <w:link w:val="Heading2"/>
    <w:rsid w:val="00024C8A"/>
    <w:rPr>
      <w:rFonts w:ascii="Arial" w:eastAsia="Times New Roman" w:hAnsi="Arial" w:cs="Arial"/>
      <w:sz w:val="32"/>
      <w:szCs w:val="32"/>
      <w:lang w:val="en-GB" w:eastAsia="zh-CN"/>
    </w:rPr>
  </w:style>
  <w:style w:type="paragraph" w:customStyle="1" w:styleId="Doc-title">
    <w:name w:val="Doc-title"/>
    <w:basedOn w:val="Normal"/>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Normal"/>
    <w:link w:val="NOChar"/>
    <w:rsid w:val="00A27A06"/>
    <w:pPr>
      <w:keepLines/>
      <w:overflowPunct/>
      <w:autoSpaceDE/>
      <w:autoSpaceDN/>
      <w:adjustRightInd/>
      <w:spacing w:after="180"/>
      <w:ind w:left="1135" w:hanging="851"/>
      <w:jc w:val="left"/>
      <w:textAlignment w:val="auto"/>
    </w:pPr>
    <w:rPr>
      <w:rFonts w:ascii="Times New Roman"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styleId="Emphasis">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ListParagraph">
    <w:name w:val="List Paragraph"/>
    <w:basedOn w:val="Normal"/>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Normal"/>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Revision">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rPr>
  </w:style>
  <w:style w:type="character" w:customStyle="1" w:styleId="FootnoteTextChar">
    <w:name w:val="Footnote Text Char"/>
    <w:link w:val="FootnoteText"/>
    <w:semiHidden/>
    <w:rsid w:val="00D03CC5"/>
    <w:rPr>
      <w:rFonts w:ascii="Arial" w:eastAsia="Times New Roman" w:hAnsi="Arial"/>
      <w:sz w:val="16"/>
      <w:szCs w:val="16"/>
      <w:lang w:val="en-GB" w:eastAsia="zh-CN"/>
    </w:rPr>
  </w:style>
  <w:style w:type="paragraph" w:customStyle="1" w:styleId="IvDbodytext">
    <w:name w:val="IvD bodytext"/>
    <w:basedOn w:val="BodyText"/>
    <w:link w:val="IvDbodytextChar"/>
    <w:qFormat/>
    <w:rsid w:val="00D12D5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12D57"/>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141583168">
      <w:bodyDiv w:val="1"/>
      <w:marLeft w:val="0"/>
      <w:marRight w:val="0"/>
      <w:marTop w:val="0"/>
      <w:marBottom w:val="0"/>
      <w:divBdr>
        <w:top w:val="none" w:sz="0" w:space="0" w:color="auto"/>
        <w:left w:val="none" w:sz="0" w:space="0" w:color="auto"/>
        <w:bottom w:val="none" w:sz="0" w:space="0" w:color="auto"/>
        <w:right w:val="none" w:sz="0" w:space="0" w:color="auto"/>
      </w:divBdr>
    </w:div>
    <w:div w:id="225771790">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54966087">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88837118">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797574315">
      <w:bodyDiv w:val="1"/>
      <w:marLeft w:val="0"/>
      <w:marRight w:val="0"/>
      <w:marTop w:val="0"/>
      <w:marBottom w:val="0"/>
      <w:divBdr>
        <w:top w:val="none" w:sz="0" w:space="0" w:color="auto"/>
        <w:left w:val="none" w:sz="0" w:space="0" w:color="auto"/>
        <w:bottom w:val="none" w:sz="0" w:space="0" w:color="auto"/>
        <w:right w:val="none" w:sz="0" w:space="0" w:color="auto"/>
      </w:divBdr>
    </w:div>
    <w:div w:id="990138100">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839688809">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 w:id="210530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D089E-FE68-4EEB-A2FC-874BEF7D1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5</TotalTime>
  <Pages>6</Pages>
  <Words>1800</Words>
  <Characters>10266</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Samsung Electronics</Company>
  <LinksUpToDate>false</LinksUpToDate>
  <CharactersWithSpaces>12042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 1</dc:creator>
  <cp:keywords>3GPP; Ericsson; TDoc</cp:keywords>
  <cp:lastModifiedBy>Yufei Blankenship</cp:lastModifiedBy>
  <cp:revision>5</cp:revision>
  <cp:lastPrinted>2015-03-19T12:43:00Z</cp:lastPrinted>
  <dcterms:created xsi:type="dcterms:W3CDTF">2015-04-10T17:27:00Z</dcterms:created>
  <dcterms:modified xsi:type="dcterms:W3CDTF">2015-04-10T17:31:00Z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