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481BEF" w:rsidRDefault="00AA4A5D" w:rsidP="00065CAE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481BEF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8773C7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#80bis</w:t>
      </w:r>
      <w:r w:rsidRPr="00481BEF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481BEF">
        <w:rPr>
          <w:rFonts w:ascii="Arial" w:hAnsi="Arial" w:cs="Arial"/>
          <w:b/>
          <w:bCs/>
          <w:sz w:val="22"/>
          <w:lang w:val="en-AU"/>
        </w:rPr>
        <w:t>R</w:t>
      </w:r>
      <w:r w:rsidR="008773C7">
        <w:rPr>
          <w:rFonts w:ascii="Arial" w:hAnsi="Arial" w:cs="Arial"/>
          <w:b/>
          <w:bCs/>
          <w:sz w:val="22"/>
          <w:lang w:val="en-AU"/>
        </w:rPr>
        <w:t>1</w:t>
      </w:r>
      <w:r w:rsidRPr="00481BEF">
        <w:rPr>
          <w:rFonts w:ascii="Arial" w:hAnsi="Arial" w:cs="Arial"/>
          <w:b/>
          <w:bCs/>
          <w:sz w:val="22"/>
          <w:lang w:val="en-AU"/>
        </w:rPr>
        <w:t>-1</w:t>
      </w:r>
      <w:r w:rsidR="008773C7">
        <w:rPr>
          <w:rFonts w:ascii="Arial" w:hAnsi="Arial" w:cs="Arial"/>
          <w:b/>
          <w:bCs/>
          <w:sz w:val="22"/>
          <w:lang w:val="en-AU"/>
        </w:rPr>
        <w:t>5</w:t>
      </w:r>
      <w:r w:rsidR="00EF3A68">
        <w:rPr>
          <w:rFonts w:ascii="Arial" w:hAnsi="Arial" w:cs="Arial"/>
          <w:b/>
          <w:bCs/>
          <w:sz w:val="22"/>
          <w:lang w:val="en-AU"/>
        </w:rPr>
        <w:t>1563</w:t>
      </w:r>
    </w:p>
    <w:p w:rsidR="00AA4A5D" w:rsidRPr="00481BEF" w:rsidRDefault="008773C7" w:rsidP="00AA4A5D">
      <w:pPr>
        <w:pStyle w:val="Header"/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 xml:space="preserve">Belgrade, SERBIA, 20 – 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>2</w:t>
      </w:r>
      <w:r>
        <w:rPr>
          <w:rFonts w:ascii="Arial" w:hAnsi="Arial" w:cs="Arial"/>
          <w:b/>
          <w:bCs/>
          <w:sz w:val="22"/>
          <w:szCs w:val="22"/>
          <w:lang w:val="en-AU"/>
        </w:rPr>
        <w:t>4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AU"/>
        </w:rPr>
        <w:t>April</w:t>
      </w:r>
      <w:r w:rsidR="00AA4A5D" w:rsidRPr="00481BEF">
        <w:rPr>
          <w:rFonts w:ascii="Arial" w:hAnsi="Arial" w:cs="Arial"/>
          <w:b/>
          <w:bCs/>
          <w:sz w:val="22"/>
          <w:szCs w:val="22"/>
          <w:lang w:val="en-AU"/>
        </w:rPr>
        <w:t xml:space="preserve"> 2015</w:t>
      </w:r>
    </w:p>
    <w:p w:rsidR="00AA4A5D" w:rsidRPr="00481BEF" w:rsidRDefault="00AA4A5D" w:rsidP="00AA4A5D">
      <w:pPr>
        <w:pStyle w:val="Header"/>
        <w:rPr>
          <w:b/>
          <w:bCs/>
          <w:lang w:val="en-AU"/>
        </w:rPr>
      </w:pP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Agenda Item:</w:t>
      </w:r>
      <w:r w:rsidR="008773C7">
        <w:rPr>
          <w:rFonts w:ascii="Arial" w:hAnsi="Arial" w:cs="Arial"/>
          <w:b/>
          <w:bCs/>
          <w:lang w:val="en-AU"/>
        </w:rPr>
        <w:tab/>
      </w:r>
      <w:r w:rsidR="00E05E7C" w:rsidRPr="00B31292">
        <w:rPr>
          <w:rFonts w:ascii="Arial" w:hAnsi="Arial" w:cs="Arial"/>
          <w:b/>
          <w:bCs/>
          <w:lang w:val="en-AU"/>
        </w:rPr>
        <w:t>7.2.2.2.1</w:t>
      </w:r>
    </w:p>
    <w:p w:rsidR="00AA4A5D" w:rsidRPr="00481BEF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481BEF">
        <w:rPr>
          <w:rFonts w:ascii="Arial" w:hAnsi="Arial" w:cs="Arial"/>
          <w:b/>
          <w:lang w:val="en-AU"/>
        </w:rPr>
        <w:t>Source:</w:t>
      </w:r>
      <w:r w:rsidRPr="00481BEF">
        <w:rPr>
          <w:rFonts w:ascii="Arial" w:hAnsi="Arial" w:cs="Arial"/>
          <w:b/>
          <w:bCs/>
          <w:lang w:val="en-AU"/>
        </w:rPr>
        <w:t xml:space="preserve"> </w:t>
      </w:r>
      <w:r w:rsidRPr="00481BEF">
        <w:rPr>
          <w:rFonts w:ascii="Arial" w:hAnsi="Arial" w:cs="Arial"/>
          <w:b/>
          <w:bCs/>
          <w:lang w:val="en-AU"/>
        </w:rPr>
        <w:tab/>
        <w:t>NEC</w:t>
      </w:r>
    </w:p>
    <w:p w:rsidR="00AA4A5D" w:rsidRPr="00481BEF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481BEF">
        <w:rPr>
          <w:rFonts w:ascii="Arial" w:hAnsi="Arial" w:cs="Arial"/>
          <w:b/>
          <w:lang w:val="en-AU"/>
        </w:rPr>
        <w:t>Title:</w:t>
      </w:r>
      <w:r w:rsidRPr="00481BEF">
        <w:rPr>
          <w:rFonts w:ascii="Arial" w:hAnsi="Arial" w:cs="Arial"/>
          <w:b/>
          <w:bCs/>
          <w:lang w:val="en-AU"/>
        </w:rPr>
        <w:tab/>
      </w:r>
      <w:r w:rsidR="00E05E7C">
        <w:rPr>
          <w:rFonts w:ascii="Arial" w:hAnsi="Arial" w:cs="Arial"/>
          <w:b/>
          <w:bCs/>
          <w:lang w:val="en-AU"/>
        </w:rPr>
        <w:t>Resolving PHICH blocking/collision</w:t>
      </w:r>
    </w:p>
    <w:p w:rsidR="00AA4A5D" w:rsidRPr="00481BEF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481BEF">
        <w:rPr>
          <w:rFonts w:ascii="Arial" w:hAnsi="Arial" w:cs="Arial"/>
          <w:b/>
          <w:lang w:val="en-AU"/>
        </w:rPr>
        <w:t>Document for:</w:t>
      </w:r>
      <w:r w:rsidRPr="00481BEF">
        <w:rPr>
          <w:rFonts w:ascii="Arial" w:hAnsi="Arial" w:cs="Arial"/>
          <w:b/>
          <w:bCs/>
          <w:lang w:val="en-AU"/>
        </w:rPr>
        <w:tab/>
      </w:r>
      <w:r w:rsidR="00907F18">
        <w:rPr>
          <w:rFonts w:ascii="Arial" w:hAnsi="Arial" w:cs="Arial"/>
          <w:b/>
          <w:bCs/>
          <w:lang w:val="en-AU"/>
        </w:rPr>
        <w:t>Discussion</w:t>
      </w:r>
      <w:r w:rsidR="008773C7">
        <w:rPr>
          <w:rFonts w:ascii="Arial" w:hAnsi="Arial" w:cs="Arial"/>
          <w:b/>
          <w:bCs/>
          <w:lang w:val="en-AU"/>
        </w:rPr>
        <w:t>/Decision</w:t>
      </w:r>
    </w:p>
    <w:p w:rsidR="00AA4A5D" w:rsidRPr="00481BEF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481BEF">
        <w:rPr>
          <w:bCs w:val="0"/>
          <w:sz w:val="22"/>
          <w:szCs w:val="22"/>
          <w:lang w:val="en-AU"/>
        </w:rPr>
        <w:t>Introduction</w:t>
      </w:r>
    </w:p>
    <w:p w:rsidR="00E05E7C" w:rsidRPr="00B31292" w:rsidRDefault="00E05E7C" w:rsidP="00E05E7C">
      <w:pPr>
        <w:spacing w:after="120"/>
        <w:jc w:val="both"/>
        <w:rPr>
          <w:bCs/>
          <w:sz w:val="22"/>
          <w:szCs w:val="22"/>
          <w:lang w:val="en-AU" w:eastAsia="en-AU"/>
        </w:rPr>
      </w:pPr>
      <w:r w:rsidRPr="00B31292">
        <w:rPr>
          <w:bCs/>
          <w:sz w:val="22"/>
          <w:szCs w:val="22"/>
          <w:lang w:val="en-AU" w:eastAsia="en-AU"/>
        </w:rPr>
        <w:t>In RAN1#80 meeting, consensus was reached for the following observations on necessary enhancements to DL control signalling as captured in [1]:</w:t>
      </w:r>
    </w:p>
    <w:p w:rsidR="00E05E7C" w:rsidRPr="00417A8D" w:rsidRDefault="00E05E7C" w:rsidP="00E05E7C">
      <w:pPr>
        <w:rPr>
          <w:rFonts w:asciiTheme="minorHAnsi" w:eastAsia="MS Mincho" w:hAnsiTheme="minorHAnsi"/>
          <w:b/>
          <w:iCs/>
          <w:sz w:val="20"/>
          <w:szCs w:val="20"/>
          <w:u w:val="single"/>
          <w:lang w:val="en-AU" w:eastAsia="ja-JP"/>
        </w:rPr>
      </w:pPr>
      <w:r w:rsidRPr="00417A8D">
        <w:rPr>
          <w:rFonts w:asciiTheme="minorHAnsi" w:eastAsia="MS Mincho" w:hAnsiTheme="minorHAnsi"/>
          <w:b/>
          <w:iCs/>
          <w:sz w:val="20"/>
          <w:szCs w:val="20"/>
          <w:u w:val="single"/>
          <w:lang w:val="en-AU" w:eastAsia="ja-JP"/>
        </w:rPr>
        <w:t>Observations:</w:t>
      </w:r>
    </w:p>
    <w:p w:rsidR="00E05E7C" w:rsidRPr="005226F2" w:rsidRDefault="00E05E7C" w:rsidP="00E05E7C">
      <w:pPr>
        <w:numPr>
          <w:ilvl w:val="0"/>
          <w:numId w:val="4"/>
        </w:numPr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For possible enhancements to DL control signalling,</w:t>
      </w:r>
    </w:p>
    <w:p w:rsidR="00E05E7C" w:rsidRPr="005226F2" w:rsidRDefault="00E05E7C" w:rsidP="00E05E7C">
      <w:pPr>
        <w:numPr>
          <w:ilvl w:val="0"/>
          <w:numId w:val="4"/>
        </w:numPr>
        <w:ind w:leftChars="280" w:left="1032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For the purpose of self-scheduling itself, no absolutely needed enhancements have been identified</w:t>
      </w:r>
    </w:p>
    <w:p w:rsidR="00E05E7C" w:rsidRPr="005226F2" w:rsidRDefault="00E05E7C" w:rsidP="00E05E7C">
      <w:pPr>
        <w:numPr>
          <w:ilvl w:val="1"/>
          <w:numId w:val="3"/>
        </w:numPr>
        <w:tabs>
          <w:tab w:val="clear" w:pos="1440"/>
          <w:tab w:val="num" w:pos="1640"/>
        </w:tabs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 xml:space="preserve">Please note that other potential enhancements not specifically related to self-scheduling only are of course applicable as well. </w:t>
      </w:r>
    </w:p>
    <w:p w:rsidR="00E05E7C" w:rsidRPr="005226F2" w:rsidRDefault="00E05E7C" w:rsidP="00E05E7C">
      <w:pPr>
        <w:numPr>
          <w:ilvl w:val="0"/>
          <w:numId w:val="3"/>
        </w:numPr>
        <w:ind w:leftChars="280" w:left="1032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The following potential issues applicable to DL control could be studied for the 36.300 CA deployment scenarios:</w:t>
      </w:r>
    </w:p>
    <w:p w:rsidR="00E05E7C" w:rsidRPr="005226F2" w:rsidRDefault="00E05E7C" w:rsidP="00E05E7C">
      <w:pPr>
        <w:numPr>
          <w:ilvl w:val="1"/>
          <w:numId w:val="5"/>
        </w:numPr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Possible extension of the cross-carrier scheduling framework to more than 5 CCs</w:t>
      </w:r>
    </w:p>
    <w:p w:rsidR="00E05E7C" w:rsidRPr="005226F2" w:rsidRDefault="00E05E7C" w:rsidP="00E05E7C">
      <w:pPr>
        <w:numPr>
          <w:ilvl w:val="2"/>
          <w:numId w:val="5"/>
        </w:numPr>
        <w:ind w:leftChars="1000" w:left="2760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FFS including:</w:t>
      </w:r>
    </w:p>
    <w:p w:rsidR="00E05E7C" w:rsidRPr="005226F2" w:rsidRDefault="00E05E7C" w:rsidP="00E05E7C">
      <w:pPr>
        <w:numPr>
          <w:ilvl w:val="3"/>
          <w:numId w:val="6"/>
        </w:numPr>
        <w:ind w:leftChars="1360" w:left="3624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CIF (3bit vs. 5bit) as part of the UL/DL grants</w:t>
      </w:r>
    </w:p>
    <w:p w:rsidR="00E05E7C" w:rsidRPr="005226F2" w:rsidRDefault="00E05E7C" w:rsidP="00E05E7C">
      <w:pPr>
        <w:numPr>
          <w:ilvl w:val="3"/>
          <w:numId w:val="6"/>
        </w:numPr>
        <w:ind w:leftChars="1360" w:left="3624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USS definition (in case of 3bit vs. 5bit CIF)</w:t>
      </w:r>
    </w:p>
    <w:p w:rsidR="00E05E7C" w:rsidRPr="005226F2" w:rsidRDefault="00E05E7C" w:rsidP="00E05E7C">
      <w:pPr>
        <w:numPr>
          <w:ilvl w:val="2"/>
          <w:numId w:val="6"/>
        </w:numPr>
        <w:ind w:leftChars="1000" w:left="2760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Aspects to be considered (not limited to):</w:t>
      </w:r>
    </w:p>
    <w:p w:rsidR="00E05E7C" w:rsidRPr="005226F2" w:rsidRDefault="00E05E7C" w:rsidP="00E05E7C">
      <w:pPr>
        <w:numPr>
          <w:ilvl w:val="3"/>
          <w:numId w:val="7"/>
        </w:numPr>
        <w:ind w:leftChars="1360" w:left="3624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DL control channel capacity limitation</w:t>
      </w:r>
    </w:p>
    <w:p w:rsidR="00E05E7C" w:rsidRPr="005226F2" w:rsidRDefault="00E05E7C" w:rsidP="00E05E7C">
      <w:pPr>
        <w:numPr>
          <w:ilvl w:val="3"/>
          <w:numId w:val="7"/>
        </w:numPr>
        <w:ind w:leftChars="1360" w:left="3624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(E)PDCCH blocking/collision</w:t>
      </w:r>
    </w:p>
    <w:p w:rsidR="00E05E7C" w:rsidRPr="005226F2" w:rsidRDefault="00E05E7C" w:rsidP="00E05E7C">
      <w:pPr>
        <w:numPr>
          <w:ilvl w:val="3"/>
          <w:numId w:val="7"/>
        </w:numPr>
        <w:ind w:leftChars="1360" w:left="3624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PHICH blocking/collision</w:t>
      </w:r>
    </w:p>
    <w:p w:rsidR="00E05E7C" w:rsidRPr="005226F2" w:rsidRDefault="00E05E7C" w:rsidP="00E05E7C">
      <w:pPr>
        <w:numPr>
          <w:ilvl w:val="1"/>
          <w:numId w:val="7"/>
        </w:numPr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Increased false-detection rate with an increasing number DL carriers</w:t>
      </w:r>
    </w:p>
    <w:p w:rsidR="00E05E7C" w:rsidRPr="005226F2" w:rsidRDefault="00E05E7C" w:rsidP="00E05E7C">
      <w:pPr>
        <w:numPr>
          <w:ilvl w:val="1"/>
          <w:numId w:val="7"/>
        </w:numPr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UE DL control decoding limitations incl. increasing number of blind decodes</w:t>
      </w:r>
    </w:p>
    <w:p w:rsidR="00E05E7C" w:rsidRPr="005226F2" w:rsidRDefault="00E05E7C" w:rsidP="00E05E7C">
      <w:pPr>
        <w:numPr>
          <w:ilvl w:val="1"/>
          <w:numId w:val="7"/>
        </w:numPr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Improved UE power saving</w:t>
      </w:r>
    </w:p>
    <w:p w:rsidR="00E05E7C" w:rsidRPr="005226F2" w:rsidRDefault="00E05E7C" w:rsidP="00E05E7C">
      <w:pPr>
        <w:numPr>
          <w:ilvl w:val="1"/>
          <w:numId w:val="7"/>
        </w:numPr>
        <w:ind w:leftChars="640" w:left="1896"/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</w:pPr>
      <w:r w:rsidRPr="005226F2">
        <w:rPr>
          <w:rFonts w:asciiTheme="minorHAnsi" w:eastAsia="MS Mincho" w:hAnsiTheme="minorHAnsi"/>
          <w:i/>
          <w:iCs/>
          <w:sz w:val="20"/>
          <w:szCs w:val="20"/>
          <w:lang w:val="en-AU" w:eastAsia="ja-JP"/>
        </w:rPr>
        <w:t>Potential limitations of the eIMTA signalling</w:t>
      </w:r>
    </w:p>
    <w:p w:rsidR="00E61293" w:rsidRPr="002F1D0A" w:rsidRDefault="00E61293" w:rsidP="00E05E7C">
      <w:pPr>
        <w:spacing w:before="120" w:after="120"/>
        <w:jc w:val="both"/>
        <w:rPr>
          <w:rFonts w:eastAsia="MS Mincho"/>
          <w:iCs/>
          <w:sz w:val="22"/>
          <w:szCs w:val="22"/>
          <w:lang w:eastAsia="ja-JP"/>
        </w:rPr>
      </w:pPr>
      <w:r w:rsidRPr="00E61293">
        <w:rPr>
          <w:bCs/>
          <w:sz w:val="22"/>
          <w:szCs w:val="22"/>
          <w:lang w:val="en-AU" w:eastAsia="en-AU"/>
        </w:rPr>
        <w:t xml:space="preserve">On the PHICH blocking/collision aspect </w:t>
      </w:r>
      <w:r>
        <w:rPr>
          <w:bCs/>
          <w:sz w:val="22"/>
          <w:szCs w:val="22"/>
          <w:lang w:val="en-AU" w:eastAsia="en-AU"/>
        </w:rPr>
        <w:t>in</w:t>
      </w:r>
      <w:r w:rsidRPr="00E61293">
        <w:rPr>
          <w:bCs/>
          <w:sz w:val="22"/>
          <w:szCs w:val="22"/>
          <w:lang w:val="en-AU" w:eastAsia="en-AU"/>
        </w:rPr>
        <w:t xml:space="preserve"> cross-carrier scheduling (CCS), it is discussed in our companion contribution [2] that this issue occurs when a large number of </w:t>
      </w:r>
      <w:r w:rsidRPr="00E61293">
        <w:rPr>
          <w:rFonts w:eastAsia="MS Mincho"/>
          <w:iCs/>
          <w:sz w:val="22"/>
          <w:szCs w:val="22"/>
          <w:lang w:eastAsia="ja-JP"/>
        </w:rPr>
        <w:t>UEs and</w:t>
      </w:r>
      <w:r w:rsidR="00A72C7E">
        <w:rPr>
          <w:rFonts w:eastAsia="MS Mincho"/>
          <w:iCs/>
          <w:sz w:val="22"/>
          <w:szCs w:val="22"/>
          <w:lang w:eastAsia="ja-JP"/>
        </w:rPr>
        <w:t>/or</w:t>
      </w:r>
      <w:r w:rsidRPr="00E61293">
        <w:rPr>
          <w:rFonts w:eastAsia="MS Mincho"/>
          <w:iCs/>
          <w:sz w:val="22"/>
          <w:szCs w:val="22"/>
          <w:lang w:eastAsia="ja-JP"/>
        </w:rPr>
        <w:t xml:space="preserve"> </w:t>
      </w:r>
      <w:r>
        <w:rPr>
          <w:rFonts w:eastAsia="MS Mincho"/>
          <w:iCs/>
          <w:sz w:val="22"/>
          <w:szCs w:val="22"/>
          <w:lang w:eastAsia="ja-JP"/>
        </w:rPr>
        <w:t xml:space="preserve">UL </w:t>
      </w:r>
      <w:r w:rsidRPr="00E61293">
        <w:rPr>
          <w:rFonts w:eastAsia="MS Mincho"/>
          <w:iCs/>
          <w:sz w:val="22"/>
          <w:szCs w:val="22"/>
          <w:lang w:eastAsia="ja-JP"/>
        </w:rPr>
        <w:t xml:space="preserve">CCs </w:t>
      </w:r>
      <w:r>
        <w:rPr>
          <w:rFonts w:eastAsia="MS Mincho"/>
          <w:iCs/>
          <w:sz w:val="22"/>
          <w:szCs w:val="22"/>
          <w:lang w:eastAsia="ja-JP"/>
        </w:rPr>
        <w:t>are</w:t>
      </w:r>
      <w:r w:rsidRPr="00E61293">
        <w:rPr>
          <w:rFonts w:eastAsia="MS Mincho"/>
          <w:iCs/>
          <w:sz w:val="22"/>
          <w:szCs w:val="22"/>
          <w:lang w:eastAsia="ja-JP"/>
        </w:rPr>
        <w:t xml:space="preserve"> </w:t>
      </w:r>
      <w:proofErr w:type="spellStart"/>
      <w:r w:rsidRPr="00E61293">
        <w:rPr>
          <w:rFonts w:eastAsia="MS Mincho"/>
          <w:iCs/>
          <w:sz w:val="22"/>
          <w:szCs w:val="22"/>
          <w:lang w:eastAsia="ja-JP"/>
        </w:rPr>
        <w:t>CCS’ed</w:t>
      </w:r>
      <w:proofErr w:type="spellEnd"/>
      <w:r>
        <w:rPr>
          <w:rFonts w:eastAsia="MS Mincho"/>
          <w:iCs/>
          <w:sz w:val="22"/>
          <w:szCs w:val="22"/>
          <w:lang w:eastAsia="ja-JP"/>
        </w:rPr>
        <w:t xml:space="preserve"> from the same</w:t>
      </w:r>
      <w:r w:rsidR="002F1D0A">
        <w:rPr>
          <w:rFonts w:eastAsia="MS Mincho"/>
          <w:iCs/>
          <w:sz w:val="22"/>
          <w:szCs w:val="22"/>
          <w:lang w:eastAsia="ja-JP"/>
        </w:rPr>
        <w:t>/one</w:t>
      </w:r>
      <w:r>
        <w:rPr>
          <w:rFonts w:eastAsia="MS Mincho"/>
          <w:iCs/>
          <w:sz w:val="22"/>
          <w:szCs w:val="22"/>
          <w:lang w:eastAsia="ja-JP"/>
        </w:rPr>
        <w:t xml:space="preserve"> CC</w:t>
      </w:r>
      <w:r w:rsidR="002F1D0A">
        <w:rPr>
          <w:rFonts w:eastAsia="MS Mincho"/>
          <w:iCs/>
          <w:sz w:val="22"/>
          <w:szCs w:val="22"/>
          <w:lang w:eastAsia="ja-JP"/>
        </w:rPr>
        <w:t xml:space="preserve"> (e.g. PCell),</w:t>
      </w:r>
      <w:r>
        <w:rPr>
          <w:rFonts w:eastAsia="MS Mincho"/>
          <w:iCs/>
          <w:sz w:val="22"/>
          <w:szCs w:val="22"/>
          <w:lang w:eastAsia="ja-JP"/>
        </w:rPr>
        <w:t xml:space="preserve"> </w:t>
      </w:r>
      <w:r w:rsidR="002F1D0A">
        <w:rPr>
          <w:rFonts w:eastAsia="MS Mincho"/>
          <w:iCs/>
          <w:sz w:val="22"/>
          <w:szCs w:val="22"/>
          <w:lang w:eastAsia="ja-JP"/>
        </w:rPr>
        <w:t>causing</w:t>
      </w:r>
      <w:r w:rsidR="00A72C7E">
        <w:rPr>
          <w:rFonts w:eastAsia="MS Mincho"/>
          <w:iCs/>
          <w:sz w:val="22"/>
          <w:szCs w:val="22"/>
          <w:lang w:eastAsia="ja-JP"/>
        </w:rPr>
        <w:t xml:space="preserve"> PHICH resource capacity issue in the legacy control region </w:t>
      </w:r>
      <w:r>
        <w:rPr>
          <w:rFonts w:eastAsia="MS Mincho"/>
          <w:iCs/>
          <w:sz w:val="22"/>
          <w:szCs w:val="22"/>
          <w:lang w:eastAsia="ja-JP"/>
        </w:rPr>
        <w:t>when transmitting UL-HARQ</w:t>
      </w:r>
      <w:r w:rsidR="0083767D">
        <w:rPr>
          <w:rFonts w:eastAsia="MS Mincho"/>
          <w:iCs/>
          <w:sz w:val="22"/>
          <w:szCs w:val="22"/>
          <w:lang w:eastAsia="ja-JP"/>
        </w:rPr>
        <w:t xml:space="preserve"> in the downlink</w:t>
      </w:r>
      <w:r>
        <w:rPr>
          <w:rFonts w:eastAsia="MS Mincho"/>
          <w:iCs/>
          <w:sz w:val="22"/>
          <w:szCs w:val="22"/>
          <w:lang w:eastAsia="ja-JP"/>
        </w:rPr>
        <w:t>.</w:t>
      </w:r>
      <w:r w:rsidR="000D64B5">
        <w:rPr>
          <w:rFonts w:eastAsia="MS Mincho"/>
          <w:iCs/>
          <w:sz w:val="22"/>
          <w:szCs w:val="22"/>
          <w:lang w:eastAsia="ja-JP"/>
        </w:rPr>
        <w:t xml:space="preserve"> </w:t>
      </w:r>
      <w:r w:rsidR="000D64B5" w:rsidRPr="000D64B5">
        <w:rPr>
          <w:rFonts w:eastAsia="MS Mincho"/>
          <w:iCs/>
          <w:sz w:val="22"/>
          <w:szCs w:val="22"/>
          <w:lang w:eastAsia="ja-JP"/>
        </w:rPr>
        <w:t xml:space="preserve">While </w:t>
      </w:r>
      <w:r w:rsidR="002F1D0A">
        <w:rPr>
          <w:rFonts w:eastAsia="MS Mincho"/>
          <w:iCs/>
          <w:sz w:val="22"/>
          <w:szCs w:val="22"/>
          <w:lang w:eastAsia="ja-JP"/>
        </w:rPr>
        <w:t>it is well understood that creating new PHICH resources i</w:t>
      </w:r>
      <w:r w:rsidR="000D64B5" w:rsidRPr="000D64B5">
        <w:rPr>
          <w:rFonts w:eastAsia="MS Mincho"/>
          <w:iCs/>
          <w:sz w:val="22"/>
          <w:szCs w:val="22"/>
          <w:lang w:eastAsia="ja-JP"/>
        </w:rPr>
        <w:t xml:space="preserve">n the legacy </w:t>
      </w:r>
      <w:r w:rsidR="002F1D0A">
        <w:rPr>
          <w:rFonts w:eastAsia="MS Mincho"/>
          <w:iCs/>
          <w:sz w:val="22"/>
          <w:szCs w:val="22"/>
          <w:lang w:eastAsia="ja-JP"/>
        </w:rPr>
        <w:t>control region</w:t>
      </w:r>
      <w:r w:rsidR="000D64B5" w:rsidRPr="000D64B5">
        <w:rPr>
          <w:rFonts w:eastAsia="MS Mincho"/>
          <w:iCs/>
          <w:sz w:val="22"/>
          <w:szCs w:val="22"/>
          <w:lang w:eastAsia="ja-JP"/>
        </w:rPr>
        <w:t xml:space="preserve"> would not be possible due to backward compatibility, </w:t>
      </w:r>
      <w:r w:rsidR="002F1D0A">
        <w:rPr>
          <w:rFonts w:eastAsia="MS Mincho"/>
          <w:iCs/>
          <w:sz w:val="22"/>
          <w:szCs w:val="22"/>
          <w:lang w:eastAsia="ja-JP"/>
        </w:rPr>
        <w:t xml:space="preserve">one possible </w:t>
      </w:r>
      <w:r w:rsidR="00C7174C">
        <w:rPr>
          <w:rFonts w:eastAsia="MS Mincho"/>
          <w:iCs/>
          <w:sz w:val="22"/>
          <w:szCs w:val="22"/>
          <w:lang w:eastAsia="ja-JP"/>
        </w:rPr>
        <w:t>approach</w:t>
      </w:r>
      <w:r w:rsidR="002F1D0A">
        <w:rPr>
          <w:rFonts w:eastAsia="MS Mincho"/>
          <w:iCs/>
          <w:sz w:val="22"/>
          <w:szCs w:val="22"/>
          <w:lang w:eastAsia="ja-JP"/>
        </w:rPr>
        <w:t xml:space="preserve"> </w:t>
      </w:r>
      <w:r w:rsidR="006C2020">
        <w:rPr>
          <w:rFonts w:eastAsia="MS Mincho"/>
          <w:iCs/>
          <w:sz w:val="22"/>
          <w:szCs w:val="22"/>
          <w:lang w:eastAsia="ja-JP"/>
        </w:rPr>
        <w:t xml:space="preserve">identified in [2] </w:t>
      </w:r>
      <w:r w:rsidR="002F1D0A">
        <w:rPr>
          <w:rFonts w:eastAsia="MS Mincho"/>
          <w:iCs/>
          <w:sz w:val="22"/>
          <w:szCs w:val="22"/>
          <w:lang w:eastAsia="ja-JP"/>
        </w:rPr>
        <w:t>that could be considered is to create and multiplex</w:t>
      </w:r>
      <w:r w:rsidR="000D64B5" w:rsidRPr="000D64B5">
        <w:rPr>
          <w:rFonts w:eastAsia="MS Mincho"/>
          <w:iCs/>
          <w:sz w:val="22"/>
          <w:szCs w:val="22"/>
          <w:lang w:eastAsia="ja-JP"/>
        </w:rPr>
        <w:t xml:space="preserve"> new PHICH resources (EPHICH) on new EPDCCH sets </w:t>
      </w:r>
      <w:r w:rsidR="006C2020">
        <w:rPr>
          <w:rFonts w:eastAsia="MS Mincho"/>
          <w:iCs/>
          <w:sz w:val="22"/>
          <w:szCs w:val="22"/>
          <w:lang w:eastAsia="ja-JP"/>
        </w:rPr>
        <w:t>that are only accessible by eCA UEs</w:t>
      </w:r>
      <w:r w:rsidR="002F1D0A">
        <w:rPr>
          <w:rFonts w:eastAsia="MS Mincho"/>
          <w:iCs/>
          <w:sz w:val="22"/>
          <w:szCs w:val="22"/>
          <w:lang w:eastAsia="ja-JP"/>
        </w:rPr>
        <w:t>.</w:t>
      </w:r>
    </w:p>
    <w:p w:rsidR="00AA4A5D" w:rsidRPr="001E0797" w:rsidRDefault="00E05E7C" w:rsidP="00E05E7C">
      <w:pPr>
        <w:spacing w:before="120" w:after="120"/>
        <w:jc w:val="both"/>
        <w:rPr>
          <w:bCs/>
          <w:sz w:val="22"/>
          <w:szCs w:val="22"/>
          <w:lang w:val="en-AU" w:eastAsia="en-AU"/>
        </w:rPr>
      </w:pPr>
      <w:r w:rsidRPr="00B31292">
        <w:rPr>
          <w:bCs/>
          <w:sz w:val="22"/>
          <w:szCs w:val="22"/>
          <w:lang w:val="en-AU" w:eastAsia="en-AU"/>
        </w:rPr>
        <w:t xml:space="preserve">In this contribution, we provide </w:t>
      </w:r>
      <w:r w:rsidR="006C2020">
        <w:rPr>
          <w:bCs/>
          <w:sz w:val="22"/>
          <w:szCs w:val="22"/>
          <w:lang w:val="en-AU" w:eastAsia="en-AU"/>
        </w:rPr>
        <w:t>some initial thoughts on this new PHICH (EPHICH) for eCA UEs.</w:t>
      </w:r>
    </w:p>
    <w:p w:rsidR="00AA4A5D" w:rsidRPr="00481BEF" w:rsidRDefault="008773C7" w:rsidP="00AA4A5D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:rsidR="008457C1" w:rsidRDefault="00A317F3" w:rsidP="008773C7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The suggested </w:t>
      </w:r>
      <w:r w:rsidR="00467A3D">
        <w:rPr>
          <w:bCs/>
          <w:sz w:val="22"/>
          <w:szCs w:val="22"/>
          <w:lang w:val="en-AU" w:eastAsia="en-AU"/>
        </w:rPr>
        <w:t>additional</w:t>
      </w:r>
      <w:r>
        <w:rPr>
          <w:bCs/>
          <w:sz w:val="22"/>
          <w:szCs w:val="22"/>
          <w:lang w:val="en-AU" w:eastAsia="en-AU"/>
        </w:rPr>
        <w:t xml:space="preserve"> </w:t>
      </w:r>
      <w:r w:rsidR="006A1D05">
        <w:rPr>
          <w:bCs/>
          <w:sz w:val="22"/>
          <w:szCs w:val="22"/>
          <w:lang w:val="en-AU" w:eastAsia="en-AU"/>
        </w:rPr>
        <w:t xml:space="preserve">one or more </w:t>
      </w:r>
      <w:r>
        <w:rPr>
          <w:bCs/>
          <w:sz w:val="22"/>
          <w:szCs w:val="22"/>
          <w:lang w:val="en-AU" w:eastAsia="en-AU"/>
        </w:rPr>
        <w:t>EPDCCH set</w:t>
      </w:r>
      <w:r w:rsidR="006A1D05">
        <w:rPr>
          <w:bCs/>
          <w:sz w:val="22"/>
          <w:szCs w:val="22"/>
          <w:lang w:val="en-AU" w:eastAsia="en-AU"/>
        </w:rPr>
        <w:t>(</w:t>
      </w:r>
      <w:r>
        <w:rPr>
          <w:bCs/>
          <w:sz w:val="22"/>
          <w:szCs w:val="22"/>
          <w:lang w:val="en-AU" w:eastAsia="en-AU"/>
        </w:rPr>
        <w:t>s</w:t>
      </w:r>
      <w:r w:rsidR="006A1D05">
        <w:rPr>
          <w:bCs/>
          <w:sz w:val="22"/>
          <w:szCs w:val="22"/>
          <w:lang w:val="en-AU" w:eastAsia="en-AU"/>
        </w:rPr>
        <w:t>)</w:t>
      </w:r>
      <w:r>
        <w:rPr>
          <w:bCs/>
          <w:sz w:val="22"/>
          <w:szCs w:val="22"/>
          <w:lang w:val="en-AU" w:eastAsia="en-AU"/>
        </w:rPr>
        <w:t xml:space="preserve"> for eCA </w:t>
      </w:r>
      <w:r w:rsidR="00467A3D">
        <w:rPr>
          <w:bCs/>
          <w:sz w:val="22"/>
          <w:szCs w:val="22"/>
          <w:lang w:val="en-AU" w:eastAsia="en-AU"/>
        </w:rPr>
        <w:t xml:space="preserve">UEs </w:t>
      </w:r>
      <w:r>
        <w:rPr>
          <w:bCs/>
          <w:sz w:val="22"/>
          <w:szCs w:val="22"/>
          <w:lang w:val="en-AU" w:eastAsia="en-AU"/>
        </w:rPr>
        <w:t xml:space="preserve">[3, 4] </w:t>
      </w:r>
      <w:r w:rsidR="00C233F2">
        <w:rPr>
          <w:bCs/>
          <w:sz w:val="22"/>
          <w:szCs w:val="22"/>
          <w:lang w:val="en-AU" w:eastAsia="en-AU"/>
        </w:rPr>
        <w:t>are</w:t>
      </w:r>
      <w:r>
        <w:rPr>
          <w:bCs/>
          <w:sz w:val="22"/>
          <w:szCs w:val="22"/>
          <w:lang w:val="en-AU" w:eastAsia="en-AU"/>
        </w:rPr>
        <w:t xml:space="preserve"> mainly to alleviate the limited downlink control capacity that cannot be accommodated by the legacy PDCCH and the</w:t>
      </w:r>
      <w:r w:rsidR="00467A3D">
        <w:rPr>
          <w:bCs/>
          <w:sz w:val="22"/>
          <w:szCs w:val="22"/>
          <w:lang w:val="en-AU" w:eastAsia="en-AU"/>
        </w:rPr>
        <w:t xml:space="preserve"> existing </w:t>
      </w:r>
      <w:r>
        <w:rPr>
          <w:bCs/>
          <w:sz w:val="22"/>
          <w:szCs w:val="22"/>
          <w:lang w:val="en-AU" w:eastAsia="en-AU"/>
        </w:rPr>
        <w:t>two sets of EPDCCH</w:t>
      </w:r>
      <w:r w:rsidR="00217DEB">
        <w:rPr>
          <w:bCs/>
          <w:sz w:val="22"/>
          <w:szCs w:val="22"/>
          <w:lang w:val="en-AU" w:eastAsia="en-AU"/>
        </w:rPr>
        <w:t>,</w:t>
      </w:r>
      <w:r>
        <w:rPr>
          <w:bCs/>
          <w:sz w:val="22"/>
          <w:szCs w:val="22"/>
          <w:lang w:val="en-AU" w:eastAsia="en-AU"/>
        </w:rPr>
        <w:t xml:space="preserve"> </w:t>
      </w:r>
      <w:r w:rsidR="00FF4EB2">
        <w:rPr>
          <w:bCs/>
          <w:sz w:val="22"/>
          <w:szCs w:val="22"/>
          <w:lang w:val="en-AU" w:eastAsia="en-AU"/>
        </w:rPr>
        <w:t>for</w:t>
      </w:r>
      <w:r>
        <w:rPr>
          <w:bCs/>
          <w:sz w:val="22"/>
          <w:szCs w:val="22"/>
          <w:lang w:val="en-AU" w:eastAsia="en-AU"/>
        </w:rPr>
        <w:t xml:space="preserve"> cross</w:t>
      </w:r>
      <w:r w:rsidR="00467A3D">
        <w:rPr>
          <w:bCs/>
          <w:sz w:val="22"/>
          <w:szCs w:val="22"/>
          <w:lang w:val="en-AU" w:eastAsia="en-AU"/>
        </w:rPr>
        <w:t>-carrier scheduling a</w:t>
      </w:r>
      <w:r>
        <w:rPr>
          <w:bCs/>
          <w:sz w:val="22"/>
          <w:szCs w:val="22"/>
          <w:lang w:val="en-AU" w:eastAsia="en-AU"/>
        </w:rPr>
        <w:t xml:space="preserve"> large number of CCs</w:t>
      </w:r>
      <w:r w:rsidR="00467A3D">
        <w:rPr>
          <w:bCs/>
          <w:sz w:val="22"/>
          <w:szCs w:val="22"/>
          <w:lang w:val="en-AU" w:eastAsia="en-AU"/>
        </w:rPr>
        <w:t xml:space="preserve"> and UEs in the same cell</w:t>
      </w:r>
      <w:r>
        <w:rPr>
          <w:bCs/>
          <w:sz w:val="22"/>
          <w:szCs w:val="22"/>
          <w:lang w:val="en-AU" w:eastAsia="en-AU"/>
        </w:rPr>
        <w:t>.</w:t>
      </w:r>
      <w:r w:rsidR="00BE0D3D">
        <w:rPr>
          <w:bCs/>
          <w:sz w:val="22"/>
          <w:szCs w:val="22"/>
          <w:lang w:val="en-AU" w:eastAsia="en-AU"/>
        </w:rPr>
        <w:t xml:space="preserve"> Since </w:t>
      </w:r>
      <w:r w:rsidR="00304680">
        <w:rPr>
          <w:bCs/>
          <w:sz w:val="22"/>
          <w:szCs w:val="22"/>
          <w:lang w:val="en-AU" w:eastAsia="en-AU"/>
        </w:rPr>
        <w:t xml:space="preserve">the new sets of EPDCCH </w:t>
      </w:r>
      <w:r w:rsidR="00C233F2">
        <w:rPr>
          <w:bCs/>
          <w:sz w:val="22"/>
          <w:szCs w:val="22"/>
          <w:lang w:val="en-AU" w:eastAsia="en-AU"/>
        </w:rPr>
        <w:t>are</w:t>
      </w:r>
      <w:r w:rsidR="00304680">
        <w:rPr>
          <w:bCs/>
          <w:sz w:val="22"/>
          <w:szCs w:val="22"/>
          <w:lang w:val="en-AU" w:eastAsia="en-AU"/>
        </w:rPr>
        <w:t xml:space="preserve"> only accessible by </w:t>
      </w:r>
      <w:r w:rsidR="00FF4EB2">
        <w:rPr>
          <w:bCs/>
          <w:sz w:val="22"/>
          <w:szCs w:val="22"/>
          <w:lang w:val="en-AU" w:eastAsia="en-AU"/>
        </w:rPr>
        <w:t xml:space="preserve">Rel-13 </w:t>
      </w:r>
      <w:r w:rsidR="00304680">
        <w:rPr>
          <w:bCs/>
          <w:sz w:val="22"/>
          <w:szCs w:val="22"/>
          <w:lang w:val="en-AU" w:eastAsia="en-AU"/>
        </w:rPr>
        <w:t xml:space="preserve">eCA UEs, resource allocation and mapping of eREGs can be flexibly designed. Due to this, </w:t>
      </w:r>
      <w:r w:rsidR="008457C1">
        <w:rPr>
          <w:bCs/>
          <w:sz w:val="22"/>
          <w:szCs w:val="22"/>
          <w:lang w:val="en-AU" w:eastAsia="en-AU"/>
        </w:rPr>
        <w:t xml:space="preserve">it is possible </w:t>
      </w:r>
      <w:r w:rsidR="00FF4EB2">
        <w:rPr>
          <w:bCs/>
          <w:sz w:val="22"/>
          <w:szCs w:val="22"/>
          <w:lang w:val="en-AU" w:eastAsia="en-AU"/>
        </w:rPr>
        <w:t xml:space="preserve">and desirable </w:t>
      </w:r>
      <w:r w:rsidR="008457C1">
        <w:rPr>
          <w:bCs/>
          <w:sz w:val="22"/>
          <w:szCs w:val="22"/>
          <w:lang w:val="en-AU" w:eastAsia="en-AU"/>
        </w:rPr>
        <w:t xml:space="preserve">to multiplex </w:t>
      </w:r>
      <w:r w:rsidR="00FF4EB2">
        <w:rPr>
          <w:bCs/>
          <w:sz w:val="22"/>
          <w:szCs w:val="22"/>
          <w:lang w:val="en-AU" w:eastAsia="en-AU"/>
        </w:rPr>
        <w:t xml:space="preserve">the new </w:t>
      </w:r>
      <w:r w:rsidR="008457C1">
        <w:rPr>
          <w:bCs/>
          <w:sz w:val="22"/>
          <w:szCs w:val="22"/>
          <w:lang w:val="en-AU" w:eastAsia="en-AU"/>
        </w:rPr>
        <w:t>PHICH</w:t>
      </w:r>
      <w:r w:rsidR="00FF4EB2">
        <w:rPr>
          <w:bCs/>
          <w:sz w:val="22"/>
          <w:szCs w:val="22"/>
          <w:lang w:val="en-AU" w:eastAsia="en-AU"/>
        </w:rPr>
        <w:t xml:space="preserve"> (EPHICH)</w:t>
      </w:r>
      <w:r w:rsidR="008457C1">
        <w:rPr>
          <w:bCs/>
          <w:sz w:val="22"/>
          <w:szCs w:val="22"/>
          <w:lang w:val="en-AU" w:eastAsia="en-AU"/>
        </w:rPr>
        <w:t xml:space="preserve"> and the new EPDCCH within the same PRB</w:t>
      </w:r>
      <w:r w:rsidR="009D3EFE">
        <w:rPr>
          <w:bCs/>
          <w:sz w:val="22"/>
          <w:szCs w:val="22"/>
          <w:lang w:val="en-AU" w:eastAsia="en-AU"/>
        </w:rPr>
        <w:t xml:space="preserve"> </w:t>
      </w:r>
      <w:r w:rsidR="006578BC">
        <w:rPr>
          <w:bCs/>
          <w:sz w:val="22"/>
          <w:szCs w:val="22"/>
          <w:lang w:val="en-AU" w:eastAsia="en-AU"/>
        </w:rPr>
        <w:t xml:space="preserve">among the legacy PDCCH and EPDCCH (USS) control regions within a subframe </w:t>
      </w:r>
      <w:r w:rsidR="009D3EFE">
        <w:rPr>
          <w:bCs/>
          <w:sz w:val="22"/>
          <w:szCs w:val="22"/>
          <w:lang w:val="en-AU" w:eastAsia="en-AU"/>
        </w:rPr>
        <w:t>as shown in Figure 1.</w:t>
      </w:r>
      <w:r w:rsidR="005D12D6">
        <w:rPr>
          <w:bCs/>
          <w:sz w:val="22"/>
          <w:szCs w:val="22"/>
          <w:lang w:val="en-AU" w:eastAsia="en-AU"/>
        </w:rPr>
        <w:t xml:space="preserve"> Additionally, we may </w:t>
      </w:r>
      <w:r w:rsidR="009F403B">
        <w:rPr>
          <w:bCs/>
          <w:sz w:val="22"/>
          <w:szCs w:val="22"/>
          <w:lang w:val="en-AU" w:eastAsia="en-AU"/>
        </w:rPr>
        <w:t>even</w:t>
      </w:r>
      <w:r w:rsidR="005D12D6">
        <w:rPr>
          <w:bCs/>
          <w:sz w:val="22"/>
          <w:szCs w:val="22"/>
          <w:lang w:val="en-AU" w:eastAsia="en-AU"/>
        </w:rPr>
        <w:t xml:space="preserve"> consider whether the new PRB set(s) size for EPHICH/EPDCCH (USS) could be dynamically changing </w:t>
      </w:r>
      <w:r w:rsidR="007D363E">
        <w:rPr>
          <w:bCs/>
          <w:sz w:val="22"/>
          <w:szCs w:val="22"/>
          <w:lang w:val="en-AU" w:eastAsia="en-AU"/>
        </w:rPr>
        <w:t xml:space="preserve">such that it is just sufficient </w:t>
      </w:r>
      <w:r w:rsidR="005D12D6">
        <w:rPr>
          <w:bCs/>
          <w:sz w:val="22"/>
          <w:szCs w:val="22"/>
          <w:lang w:val="en-AU" w:eastAsia="en-AU"/>
        </w:rPr>
        <w:t>to accommodate</w:t>
      </w:r>
      <w:r w:rsidR="007D363E">
        <w:rPr>
          <w:bCs/>
          <w:sz w:val="22"/>
          <w:szCs w:val="22"/>
          <w:lang w:val="en-AU" w:eastAsia="en-AU"/>
        </w:rPr>
        <w:t xml:space="preserve"> the required downlink control resources for</w:t>
      </w:r>
      <w:r w:rsidR="005D12D6">
        <w:rPr>
          <w:bCs/>
          <w:sz w:val="22"/>
          <w:szCs w:val="22"/>
          <w:lang w:val="en-AU" w:eastAsia="en-AU"/>
        </w:rPr>
        <w:t xml:space="preserve"> </w:t>
      </w:r>
      <w:r w:rsidR="007D363E">
        <w:rPr>
          <w:bCs/>
          <w:sz w:val="22"/>
          <w:szCs w:val="22"/>
          <w:lang w:val="en-AU" w:eastAsia="en-AU"/>
        </w:rPr>
        <w:t>eCA UEs</w:t>
      </w:r>
      <w:r w:rsidR="0042490B">
        <w:rPr>
          <w:bCs/>
          <w:sz w:val="22"/>
          <w:szCs w:val="22"/>
          <w:lang w:val="en-AU" w:eastAsia="en-AU"/>
        </w:rPr>
        <w:t>; t</w:t>
      </w:r>
      <w:r w:rsidR="007D363E">
        <w:rPr>
          <w:bCs/>
          <w:sz w:val="22"/>
          <w:szCs w:val="22"/>
          <w:lang w:val="en-AU" w:eastAsia="en-AU"/>
        </w:rPr>
        <w:t>hus, maximising</w:t>
      </w:r>
      <w:r w:rsidR="005D12D6">
        <w:rPr>
          <w:bCs/>
          <w:sz w:val="22"/>
          <w:szCs w:val="22"/>
          <w:lang w:val="en-AU" w:eastAsia="en-AU"/>
        </w:rPr>
        <w:t xml:space="preserve"> </w:t>
      </w:r>
      <w:r w:rsidR="007D363E">
        <w:rPr>
          <w:bCs/>
          <w:sz w:val="22"/>
          <w:szCs w:val="22"/>
          <w:lang w:val="en-AU" w:eastAsia="en-AU"/>
        </w:rPr>
        <w:t xml:space="preserve">PRB </w:t>
      </w:r>
      <w:r w:rsidR="005D12D6">
        <w:rPr>
          <w:bCs/>
          <w:sz w:val="22"/>
          <w:szCs w:val="22"/>
          <w:lang w:val="en-AU" w:eastAsia="en-AU"/>
        </w:rPr>
        <w:t>resource</w:t>
      </w:r>
      <w:r w:rsidR="007D363E">
        <w:rPr>
          <w:bCs/>
          <w:sz w:val="22"/>
          <w:szCs w:val="22"/>
          <w:lang w:val="en-AU" w:eastAsia="en-AU"/>
        </w:rPr>
        <w:t>s</w:t>
      </w:r>
      <w:r w:rsidR="005D12D6">
        <w:rPr>
          <w:bCs/>
          <w:sz w:val="22"/>
          <w:szCs w:val="22"/>
          <w:lang w:val="en-AU" w:eastAsia="en-AU"/>
        </w:rPr>
        <w:t xml:space="preserve"> for </w:t>
      </w:r>
      <w:r w:rsidR="007D363E">
        <w:rPr>
          <w:bCs/>
          <w:sz w:val="22"/>
          <w:szCs w:val="22"/>
          <w:lang w:val="en-AU" w:eastAsia="en-AU"/>
        </w:rPr>
        <w:t>PDSCH transmission.</w:t>
      </w:r>
    </w:p>
    <w:p w:rsidR="009D3EFE" w:rsidRDefault="00F8311B" w:rsidP="009D3EFE">
      <w:pPr>
        <w:keepNext/>
        <w:spacing w:after="120"/>
        <w:jc w:val="center"/>
      </w:pPr>
      <w:r w:rsidRPr="00F8311B">
        <w:rPr>
          <w:noProof/>
          <w:lang w:val="en-AU" w:eastAsia="en-AU"/>
        </w:rPr>
        <w:lastRenderedPageBreak/>
        <w:drawing>
          <wp:inline distT="0" distB="0" distL="0" distR="0">
            <wp:extent cx="2183642" cy="3115860"/>
            <wp:effectExtent l="0" t="0" r="762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476" cy="3115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7C1" w:rsidRPr="009D3EFE" w:rsidRDefault="009D3EFE" w:rsidP="009D3EFE">
      <w:pPr>
        <w:pStyle w:val="Caption"/>
        <w:jc w:val="center"/>
        <w:rPr>
          <w:bCs w:val="0"/>
          <w:color w:val="auto"/>
          <w:sz w:val="22"/>
          <w:szCs w:val="22"/>
          <w:lang w:val="en-AU" w:eastAsia="en-AU"/>
        </w:rPr>
      </w:pPr>
      <w:r w:rsidRPr="009D3EFE">
        <w:rPr>
          <w:color w:val="auto"/>
          <w:sz w:val="22"/>
          <w:szCs w:val="22"/>
        </w:rPr>
        <w:t xml:space="preserve">Figure </w:t>
      </w:r>
      <w:r w:rsidRPr="009D3EFE">
        <w:rPr>
          <w:color w:val="auto"/>
          <w:sz w:val="22"/>
          <w:szCs w:val="22"/>
        </w:rPr>
        <w:fldChar w:fldCharType="begin"/>
      </w:r>
      <w:r w:rsidRPr="009D3EFE">
        <w:rPr>
          <w:color w:val="auto"/>
          <w:sz w:val="22"/>
          <w:szCs w:val="22"/>
        </w:rPr>
        <w:instrText xml:space="preserve"> SEQ Figure \* ARABIC </w:instrText>
      </w:r>
      <w:r w:rsidRPr="009D3EFE">
        <w:rPr>
          <w:color w:val="auto"/>
          <w:sz w:val="22"/>
          <w:szCs w:val="22"/>
        </w:rPr>
        <w:fldChar w:fldCharType="separate"/>
      </w:r>
      <w:r w:rsidR="003577E8">
        <w:rPr>
          <w:noProof/>
          <w:color w:val="auto"/>
          <w:sz w:val="22"/>
          <w:szCs w:val="22"/>
        </w:rPr>
        <w:t>1</w:t>
      </w:r>
      <w:r w:rsidRPr="009D3EFE">
        <w:rPr>
          <w:color w:val="auto"/>
          <w:sz w:val="22"/>
          <w:szCs w:val="22"/>
        </w:rPr>
        <w:fldChar w:fldCharType="end"/>
      </w:r>
      <w:r w:rsidRPr="009D3EFE">
        <w:rPr>
          <w:color w:val="auto"/>
          <w:sz w:val="22"/>
          <w:szCs w:val="22"/>
        </w:rPr>
        <w:t>:</w:t>
      </w:r>
      <w:r w:rsidR="00D62C49">
        <w:rPr>
          <w:color w:val="auto"/>
          <w:sz w:val="22"/>
          <w:szCs w:val="22"/>
        </w:rPr>
        <w:t xml:space="preserve"> Frequency multiplexing of new EPHICH/PDCCH PRBs</w:t>
      </w:r>
      <w:r w:rsidRPr="009D3EFE">
        <w:rPr>
          <w:color w:val="auto"/>
          <w:sz w:val="22"/>
          <w:szCs w:val="22"/>
        </w:rPr>
        <w:t xml:space="preserve"> </w:t>
      </w:r>
      <w:r w:rsidR="003577E8">
        <w:rPr>
          <w:color w:val="auto"/>
          <w:sz w:val="22"/>
          <w:szCs w:val="22"/>
        </w:rPr>
        <w:t>for Rel-13 eCA UEs</w:t>
      </w:r>
    </w:p>
    <w:p w:rsidR="00304680" w:rsidRDefault="00B93CCD" w:rsidP="008773C7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When multiplexing the new EPHICH and EPDCCH within the same PRB, one </w:t>
      </w:r>
      <w:r w:rsidR="00CD2718">
        <w:rPr>
          <w:bCs/>
          <w:sz w:val="22"/>
          <w:szCs w:val="22"/>
          <w:lang w:val="en-AU" w:eastAsia="en-AU"/>
        </w:rPr>
        <w:t>could consider</w:t>
      </w:r>
      <w:r>
        <w:rPr>
          <w:bCs/>
          <w:sz w:val="22"/>
          <w:szCs w:val="22"/>
          <w:lang w:val="en-AU" w:eastAsia="en-AU"/>
        </w:rPr>
        <w:t xml:space="preserve"> </w:t>
      </w:r>
      <w:r w:rsidR="00CD2718">
        <w:rPr>
          <w:bCs/>
          <w:sz w:val="22"/>
          <w:szCs w:val="22"/>
          <w:lang w:val="en-AU" w:eastAsia="en-AU"/>
        </w:rPr>
        <w:t>maximising</w:t>
      </w:r>
      <w:r>
        <w:rPr>
          <w:bCs/>
          <w:sz w:val="22"/>
          <w:szCs w:val="22"/>
          <w:lang w:val="en-AU" w:eastAsia="en-AU"/>
        </w:rPr>
        <w:t xml:space="preserve"> </w:t>
      </w:r>
      <w:r w:rsidR="00D16A5A">
        <w:rPr>
          <w:bCs/>
          <w:sz w:val="22"/>
          <w:szCs w:val="22"/>
          <w:lang w:val="en-AU" w:eastAsia="en-AU"/>
        </w:rPr>
        <w:t>reception</w:t>
      </w:r>
      <w:r>
        <w:rPr>
          <w:bCs/>
          <w:sz w:val="22"/>
          <w:szCs w:val="22"/>
          <w:lang w:val="en-AU" w:eastAsia="en-AU"/>
        </w:rPr>
        <w:t xml:space="preserve"> performance / reliability of </w:t>
      </w:r>
      <w:r w:rsidR="00D16A5A">
        <w:rPr>
          <w:bCs/>
          <w:sz w:val="22"/>
          <w:szCs w:val="22"/>
          <w:lang w:val="en-AU" w:eastAsia="en-AU"/>
        </w:rPr>
        <w:t xml:space="preserve">the </w:t>
      </w:r>
      <w:r w:rsidR="00CD2718">
        <w:rPr>
          <w:bCs/>
          <w:sz w:val="22"/>
          <w:szCs w:val="22"/>
          <w:lang w:val="en-AU" w:eastAsia="en-AU"/>
        </w:rPr>
        <w:t xml:space="preserve">EPHICH channel. By keeping the same REG size and definition for the legacy PHICH, one eREG for EPHICH could still be transmitted with 4 REs and mapped in OFDM symbols adjacent to the existing DMRS symbols as shown in Figure 2. </w:t>
      </w:r>
    </w:p>
    <w:p w:rsidR="003577E8" w:rsidRDefault="004066AC" w:rsidP="003577E8">
      <w:pPr>
        <w:keepNext/>
        <w:spacing w:after="120"/>
        <w:jc w:val="center"/>
      </w:pPr>
      <w:r w:rsidRPr="004066AC">
        <w:rPr>
          <w:noProof/>
          <w:lang w:val="en-AU" w:eastAsia="en-AU"/>
        </w:rPr>
        <w:drawing>
          <wp:inline distT="0" distB="0" distL="0" distR="0" wp14:anchorId="7A134662" wp14:editId="5080060D">
            <wp:extent cx="4600450" cy="259989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009" cy="259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680" w:rsidRPr="003577E8" w:rsidRDefault="003577E8" w:rsidP="003577E8">
      <w:pPr>
        <w:pStyle w:val="Caption"/>
        <w:jc w:val="center"/>
        <w:rPr>
          <w:bCs w:val="0"/>
          <w:color w:val="auto"/>
          <w:sz w:val="22"/>
          <w:szCs w:val="22"/>
          <w:lang w:val="en-AU" w:eastAsia="en-AU"/>
        </w:rPr>
      </w:pPr>
      <w:r w:rsidRPr="003577E8">
        <w:rPr>
          <w:color w:val="auto"/>
          <w:sz w:val="22"/>
          <w:szCs w:val="22"/>
        </w:rPr>
        <w:t xml:space="preserve">Figure </w:t>
      </w:r>
      <w:r w:rsidRPr="003577E8">
        <w:rPr>
          <w:color w:val="auto"/>
          <w:sz w:val="22"/>
          <w:szCs w:val="22"/>
        </w:rPr>
        <w:fldChar w:fldCharType="begin"/>
      </w:r>
      <w:r w:rsidRPr="003577E8">
        <w:rPr>
          <w:color w:val="auto"/>
          <w:sz w:val="22"/>
          <w:szCs w:val="22"/>
        </w:rPr>
        <w:instrText xml:space="preserve"> SEQ Figure \* ARABIC </w:instrText>
      </w:r>
      <w:r w:rsidRPr="003577E8">
        <w:rPr>
          <w:color w:val="auto"/>
          <w:sz w:val="22"/>
          <w:szCs w:val="22"/>
        </w:rPr>
        <w:fldChar w:fldCharType="separate"/>
      </w:r>
      <w:r w:rsidRPr="003577E8">
        <w:rPr>
          <w:noProof/>
          <w:color w:val="auto"/>
          <w:sz w:val="22"/>
          <w:szCs w:val="22"/>
        </w:rPr>
        <w:t>2</w:t>
      </w:r>
      <w:r w:rsidRPr="003577E8">
        <w:rPr>
          <w:color w:val="auto"/>
          <w:sz w:val="22"/>
          <w:szCs w:val="22"/>
        </w:rPr>
        <w:fldChar w:fldCharType="end"/>
      </w:r>
      <w:r w:rsidRPr="003577E8">
        <w:rPr>
          <w:color w:val="auto"/>
          <w:sz w:val="22"/>
          <w:szCs w:val="22"/>
        </w:rPr>
        <w:t>: Multiplexing of EPHICH and EPDCCH within a PRB for Rel-13 eCA UEs</w:t>
      </w:r>
    </w:p>
    <w:p w:rsidR="00304680" w:rsidRDefault="003B79EC" w:rsidP="008773C7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To minimise </w:t>
      </w:r>
      <w:r w:rsidR="00217DEB">
        <w:rPr>
          <w:bCs/>
          <w:sz w:val="22"/>
          <w:szCs w:val="22"/>
          <w:lang w:val="en-AU" w:eastAsia="en-AU"/>
        </w:rPr>
        <w:t>the standards</w:t>
      </w:r>
      <w:r>
        <w:rPr>
          <w:bCs/>
          <w:sz w:val="22"/>
          <w:szCs w:val="22"/>
          <w:lang w:val="en-AU" w:eastAsia="en-AU"/>
        </w:rPr>
        <w:t xml:space="preserve"> effort for defining a new EPHICH in Rel-13, one simple and straight forward approach is to </w:t>
      </w:r>
      <w:r w:rsidR="00E931A7">
        <w:rPr>
          <w:bCs/>
          <w:sz w:val="22"/>
          <w:szCs w:val="22"/>
          <w:lang w:val="en-AU" w:eastAsia="en-AU"/>
        </w:rPr>
        <w:t xml:space="preserve">directly </w:t>
      </w:r>
      <w:r>
        <w:rPr>
          <w:bCs/>
          <w:sz w:val="22"/>
          <w:szCs w:val="22"/>
          <w:lang w:val="en-AU" w:eastAsia="en-AU"/>
        </w:rPr>
        <w:t xml:space="preserve">reuse the existing channel encoding </w:t>
      </w:r>
      <w:r w:rsidR="00E931A7">
        <w:rPr>
          <w:bCs/>
          <w:sz w:val="22"/>
          <w:szCs w:val="22"/>
          <w:lang w:val="en-AU" w:eastAsia="en-AU"/>
        </w:rPr>
        <w:t>process</w:t>
      </w:r>
      <w:r>
        <w:rPr>
          <w:bCs/>
          <w:sz w:val="22"/>
          <w:szCs w:val="22"/>
          <w:lang w:val="en-AU" w:eastAsia="en-AU"/>
        </w:rPr>
        <w:t xml:space="preserve"> for PHICH</w:t>
      </w:r>
      <w:r w:rsidR="00E931A7">
        <w:rPr>
          <w:bCs/>
          <w:sz w:val="22"/>
          <w:szCs w:val="22"/>
          <w:lang w:val="en-AU" w:eastAsia="en-AU"/>
        </w:rPr>
        <w:t>,</w:t>
      </w:r>
      <w:r>
        <w:rPr>
          <w:bCs/>
          <w:sz w:val="22"/>
          <w:szCs w:val="22"/>
          <w:lang w:val="en-AU" w:eastAsia="en-AU"/>
        </w:rPr>
        <w:t xml:space="preserve"> from repetition, BPSK modulation, </w:t>
      </w:r>
      <w:r w:rsidR="00E931A7">
        <w:rPr>
          <w:bCs/>
          <w:sz w:val="22"/>
          <w:szCs w:val="22"/>
          <w:lang w:val="en-AU" w:eastAsia="en-AU"/>
        </w:rPr>
        <w:t xml:space="preserve">spreading to scrambling. </w:t>
      </w:r>
      <w:r>
        <w:rPr>
          <w:bCs/>
          <w:sz w:val="22"/>
          <w:szCs w:val="22"/>
          <w:lang w:val="en-AU" w:eastAsia="en-AU"/>
        </w:rPr>
        <w:t xml:space="preserve"> </w:t>
      </w:r>
      <w:r w:rsidR="00E931A7">
        <w:rPr>
          <w:bCs/>
          <w:sz w:val="22"/>
          <w:szCs w:val="22"/>
          <w:lang w:val="en-AU" w:eastAsia="en-AU"/>
        </w:rPr>
        <w:t xml:space="preserve">Hence, </w:t>
      </w:r>
      <w:r w:rsidR="00F33DC2">
        <w:rPr>
          <w:bCs/>
          <w:sz w:val="22"/>
          <w:szCs w:val="22"/>
          <w:lang w:val="en-AU" w:eastAsia="en-AU"/>
        </w:rPr>
        <w:t xml:space="preserve">the </w:t>
      </w:r>
      <w:r w:rsidR="00E931A7">
        <w:rPr>
          <w:bCs/>
          <w:sz w:val="22"/>
          <w:szCs w:val="22"/>
          <w:lang w:val="en-AU" w:eastAsia="en-AU"/>
        </w:rPr>
        <w:t>remaining details</w:t>
      </w:r>
      <w:r w:rsidR="00F33DC2">
        <w:rPr>
          <w:bCs/>
          <w:sz w:val="22"/>
          <w:szCs w:val="22"/>
          <w:lang w:val="en-AU" w:eastAsia="en-AU"/>
        </w:rPr>
        <w:t>/design</w:t>
      </w:r>
      <w:r w:rsidR="00E931A7">
        <w:rPr>
          <w:bCs/>
          <w:sz w:val="22"/>
          <w:szCs w:val="22"/>
          <w:lang w:val="en-AU" w:eastAsia="en-AU"/>
        </w:rPr>
        <w:t xml:space="preserve"> </w:t>
      </w:r>
      <w:r w:rsidR="00F33DC2">
        <w:rPr>
          <w:bCs/>
          <w:sz w:val="22"/>
          <w:szCs w:val="22"/>
          <w:lang w:val="en-AU" w:eastAsia="en-AU"/>
        </w:rPr>
        <w:t>relating to the multiplexing of EPHICH and EPDCCH within a PRB and need to be defined are:</w:t>
      </w:r>
    </w:p>
    <w:p w:rsidR="00F33DC2" w:rsidRPr="00F33DC2" w:rsidRDefault="0004215D" w:rsidP="00F33DC2">
      <w:pPr>
        <w:pStyle w:val="ListParagraph"/>
        <w:numPr>
          <w:ilvl w:val="0"/>
          <w:numId w:val="4"/>
        </w:numPr>
        <w:spacing w:after="60"/>
        <w:jc w:val="both"/>
        <w:rPr>
          <w:rFonts w:ascii="Times New Roman" w:hAnsi="Times New Roman"/>
          <w:bCs/>
        </w:rPr>
      </w:pPr>
      <w:r w:rsidRPr="00F33DC2">
        <w:rPr>
          <w:rFonts w:ascii="Times New Roman" w:hAnsi="Times New Roman"/>
          <w:bCs/>
        </w:rPr>
        <w:t xml:space="preserve">eREG definition for </w:t>
      </w:r>
      <w:r w:rsidR="00F33DC2" w:rsidRPr="00F33DC2">
        <w:rPr>
          <w:rFonts w:ascii="Times New Roman" w:hAnsi="Times New Roman"/>
          <w:bCs/>
        </w:rPr>
        <w:t>E</w:t>
      </w:r>
      <w:r w:rsidRPr="00F33DC2">
        <w:rPr>
          <w:rFonts w:ascii="Times New Roman" w:hAnsi="Times New Roman"/>
          <w:bCs/>
        </w:rPr>
        <w:t>PHICH</w:t>
      </w:r>
      <w:r w:rsidR="00F33DC2" w:rsidRPr="00F33DC2">
        <w:rPr>
          <w:rFonts w:ascii="Times New Roman" w:hAnsi="Times New Roman"/>
          <w:bCs/>
        </w:rPr>
        <w:t>,</w:t>
      </w:r>
    </w:p>
    <w:p w:rsidR="0004215D" w:rsidRPr="00F33DC2" w:rsidRDefault="00F33DC2" w:rsidP="00F33DC2">
      <w:pPr>
        <w:pStyle w:val="ListParagraph"/>
        <w:numPr>
          <w:ilvl w:val="0"/>
          <w:numId w:val="4"/>
        </w:numPr>
        <w:spacing w:after="60"/>
        <w:jc w:val="both"/>
        <w:rPr>
          <w:rFonts w:ascii="Times New Roman" w:hAnsi="Times New Roman"/>
          <w:bCs/>
        </w:rPr>
      </w:pPr>
      <w:r w:rsidRPr="00F33DC2">
        <w:rPr>
          <w:rFonts w:ascii="Times New Roman" w:hAnsi="Times New Roman"/>
          <w:bCs/>
        </w:rPr>
        <w:t>EPHICH group mapping to eREG,</w:t>
      </w:r>
    </w:p>
    <w:p w:rsidR="0004215D" w:rsidRPr="00F33DC2" w:rsidRDefault="0004215D" w:rsidP="00F33DC2">
      <w:pPr>
        <w:pStyle w:val="ListParagraph"/>
        <w:numPr>
          <w:ilvl w:val="0"/>
          <w:numId w:val="4"/>
        </w:numPr>
        <w:spacing w:after="60"/>
        <w:jc w:val="both"/>
        <w:rPr>
          <w:rFonts w:ascii="Times New Roman" w:hAnsi="Times New Roman"/>
          <w:bCs/>
        </w:rPr>
      </w:pPr>
      <w:r w:rsidRPr="00F33DC2">
        <w:rPr>
          <w:rFonts w:ascii="Times New Roman" w:hAnsi="Times New Roman"/>
          <w:bCs/>
        </w:rPr>
        <w:t xml:space="preserve">Mapping of </w:t>
      </w:r>
      <w:r w:rsidR="00F33DC2" w:rsidRPr="00F33DC2">
        <w:rPr>
          <w:rFonts w:ascii="Times New Roman" w:hAnsi="Times New Roman"/>
          <w:bCs/>
        </w:rPr>
        <w:t xml:space="preserve">EPHICH </w:t>
      </w:r>
      <w:r w:rsidRPr="00F33DC2">
        <w:rPr>
          <w:rFonts w:ascii="Times New Roman" w:hAnsi="Times New Roman"/>
          <w:bCs/>
        </w:rPr>
        <w:t>eREG on EPDCCH PRBs (with considering the presence of CRS, DMRS, CSI-RS)</w:t>
      </w:r>
      <w:r w:rsidR="00F33DC2" w:rsidRPr="00F33DC2">
        <w:rPr>
          <w:rFonts w:ascii="Times New Roman" w:hAnsi="Times New Roman"/>
          <w:bCs/>
        </w:rPr>
        <w:t>, and</w:t>
      </w:r>
    </w:p>
    <w:p w:rsidR="00F33DC2" w:rsidRPr="00F33DC2" w:rsidRDefault="00F33DC2" w:rsidP="00F33DC2">
      <w:pPr>
        <w:pStyle w:val="ListParagraph"/>
        <w:numPr>
          <w:ilvl w:val="0"/>
          <w:numId w:val="4"/>
        </w:numPr>
        <w:spacing w:after="120"/>
        <w:jc w:val="both"/>
        <w:rPr>
          <w:rFonts w:ascii="Times New Roman" w:hAnsi="Times New Roman"/>
          <w:bCs/>
        </w:rPr>
      </w:pPr>
      <w:r w:rsidRPr="00F33DC2">
        <w:rPr>
          <w:rFonts w:ascii="Times New Roman" w:hAnsi="Times New Roman"/>
          <w:bCs/>
        </w:rPr>
        <w:t>Impact to EPDCCH eREG and eCCE mapping</w:t>
      </w:r>
    </w:p>
    <w:p w:rsidR="008773C7" w:rsidRPr="00481BEF" w:rsidRDefault="008773C7" w:rsidP="008773C7">
      <w:pPr>
        <w:pStyle w:val="Heading1"/>
        <w:spacing w:after="120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lastRenderedPageBreak/>
        <w:t>Conclusion</w:t>
      </w:r>
    </w:p>
    <w:p w:rsidR="008773C7" w:rsidRPr="001E0797" w:rsidRDefault="00CA0F23" w:rsidP="008773C7">
      <w:pPr>
        <w:spacing w:after="12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this contribution, we discussed the need for a new PHICH (EPHICH) and its design for the Rel-13 eCA work item. A simple and straight forward </w:t>
      </w:r>
      <w:r w:rsidR="001476D7">
        <w:rPr>
          <w:bCs/>
          <w:sz w:val="22"/>
          <w:szCs w:val="22"/>
          <w:lang w:val="en-AU" w:eastAsia="en-AU"/>
        </w:rPr>
        <w:t>approach</w:t>
      </w:r>
      <w:r>
        <w:rPr>
          <w:bCs/>
          <w:sz w:val="22"/>
          <w:szCs w:val="22"/>
          <w:lang w:val="en-AU" w:eastAsia="en-AU"/>
        </w:rPr>
        <w:t xml:space="preserve"> in designing a new PHICH (EPHICH) is presented. It is propose</w:t>
      </w:r>
      <w:r w:rsidR="001476D7">
        <w:rPr>
          <w:bCs/>
          <w:sz w:val="22"/>
          <w:szCs w:val="22"/>
          <w:lang w:val="en-AU" w:eastAsia="en-AU"/>
        </w:rPr>
        <w:t>d</w:t>
      </w:r>
      <w:r>
        <w:rPr>
          <w:bCs/>
          <w:sz w:val="22"/>
          <w:szCs w:val="22"/>
          <w:lang w:val="en-AU" w:eastAsia="en-AU"/>
        </w:rPr>
        <w:t xml:space="preserve"> to consider </w:t>
      </w:r>
      <w:r w:rsidR="00F33DC2">
        <w:rPr>
          <w:bCs/>
          <w:sz w:val="22"/>
          <w:szCs w:val="22"/>
          <w:lang w:val="en-AU" w:eastAsia="en-AU"/>
        </w:rPr>
        <w:t>introducing a new PHICH (EPHICH) multiplexing with new EPDCCH set(s) within same PRB for Rel-13 eCA UEs and taking the</w:t>
      </w:r>
      <w:r>
        <w:rPr>
          <w:bCs/>
          <w:sz w:val="22"/>
          <w:szCs w:val="22"/>
          <w:lang w:val="en-AU" w:eastAsia="en-AU"/>
        </w:rPr>
        <w:t xml:space="preserve"> new design in Section 2 as the starting point for further EPHICH discussion.</w:t>
      </w:r>
      <w:bookmarkStart w:id="0" w:name="_GoBack"/>
      <w:bookmarkEnd w:id="0"/>
    </w:p>
    <w:p w:rsidR="008773C7" w:rsidRPr="00481BEF" w:rsidRDefault="008773C7" w:rsidP="008773C7">
      <w:pPr>
        <w:pStyle w:val="Heading1"/>
        <w:numPr>
          <w:ilvl w:val="0"/>
          <w:numId w:val="0"/>
        </w:numPr>
        <w:spacing w:after="120"/>
        <w:ind w:left="425" w:hanging="425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References</w:t>
      </w:r>
    </w:p>
    <w:p w:rsidR="00E05E7C" w:rsidRDefault="00E05E7C" w:rsidP="00E05E7C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[1]</w:t>
      </w:r>
      <w:r>
        <w:rPr>
          <w:sz w:val="22"/>
          <w:lang w:val="en-AU"/>
        </w:rPr>
        <w:tab/>
      </w:r>
      <w:r w:rsidRPr="00B31292">
        <w:rPr>
          <w:sz w:val="22"/>
          <w:lang w:val="en-AU"/>
        </w:rPr>
        <w:t>RAN1Chairman’s</w:t>
      </w:r>
      <w:r>
        <w:rPr>
          <w:sz w:val="22"/>
          <w:lang w:val="en-AU"/>
        </w:rPr>
        <w:t xml:space="preserve"> notes (final version), RAN1#80</w:t>
      </w:r>
    </w:p>
    <w:p w:rsidR="00E05E7C" w:rsidRDefault="00E05E7C" w:rsidP="00E05E7C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  <w:r>
        <w:rPr>
          <w:sz w:val="22"/>
          <w:lang w:val="en-AU"/>
        </w:rPr>
        <w:t>[2]</w:t>
      </w:r>
      <w:r>
        <w:rPr>
          <w:sz w:val="22"/>
          <w:lang w:val="en-AU"/>
        </w:rPr>
        <w:tab/>
        <w:t>R1-15</w:t>
      </w:r>
      <w:r w:rsidR="00EF3A68">
        <w:rPr>
          <w:sz w:val="22"/>
          <w:lang w:val="en-AU"/>
        </w:rPr>
        <w:t>1562</w:t>
      </w:r>
      <w:r>
        <w:rPr>
          <w:sz w:val="22"/>
          <w:lang w:val="en-AU"/>
        </w:rPr>
        <w:t xml:space="preserve">, </w:t>
      </w:r>
      <w:r w:rsidRPr="00E05E7C">
        <w:rPr>
          <w:sz w:val="22"/>
          <w:lang w:val="en-AU"/>
        </w:rPr>
        <w:t>“On cross-carrier scheduling for CA beyond 5 CCs”, NEC</w:t>
      </w:r>
    </w:p>
    <w:p w:rsidR="00A317F3" w:rsidRDefault="00A317F3" w:rsidP="00A317F3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[3</w:t>
      </w:r>
      <w:r w:rsidRPr="00C63660">
        <w:rPr>
          <w:sz w:val="22"/>
          <w:lang w:val="en-AU"/>
        </w:rPr>
        <w:t>]</w:t>
      </w:r>
      <w:r w:rsidRPr="00C63660">
        <w:rPr>
          <w:sz w:val="22"/>
          <w:lang w:val="en-AU"/>
        </w:rPr>
        <w:tab/>
      </w:r>
      <w:r w:rsidRPr="00EF3A68">
        <w:rPr>
          <w:sz w:val="22"/>
          <w:lang w:val="en-AU"/>
        </w:rPr>
        <w:t>R1-150315</w:t>
      </w:r>
      <w:r w:rsidRPr="00C63660">
        <w:rPr>
          <w:sz w:val="22"/>
          <w:lang w:val="en-AU"/>
        </w:rPr>
        <w:t>, “Identified DL aspects for CA beyond 5 carriers”</w:t>
      </w:r>
      <w:r>
        <w:rPr>
          <w:sz w:val="22"/>
          <w:lang w:val="en-AU"/>
        </w:rPr>
        <w:t>, Panasonic</w:t>
      </w:r>
    </w:p>
    <w:p w:rsidR="00A317F3" w:rsidRPr="00E05E7C" w:rsidRDefault="00A317F3" w:rsidP="00A317F3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[4</w:t>
      </w:r>
      <w:r w:rsidRPr="00C63660">
        <w:rPr>
          <w:sz w:val="22"/>
          <w:lang w:val="en-AU"/>
        </w:rPr>
        <w:t>]</w:t>
      </w:r>
      <w:r w:rsidRPr="00C63660">
        <w:rPr>
          <w:sz w:val="22"/>
          <w:lang w:val="en-AU"/>
        </w:rPr>
        <w:tab/>
      </w:r>
      <w:r w:rsidRPr="00EF3A68">
        <w:rPr>
          <w:sz w:val="22"/>
          <w:lang w:val="en-AU"/>
        </w:rPr>
        <w:t>R1-150316</w:t>
      </w:r>
      <w:r w:rsidRPr="00C63660">
        <w:rPr>
          <w:sz w:val="22"/>
          <w:lang w:val="en-AU"/>
        </w:rPr>
        <w:t>, “</w:t>
      </w:r>
      <w:r w:rsidRPr="00E74B4B">
        <w:rPr>
          <w:sz w:val="22"/>
          <w:lang w:val="en-AU"/>
        </w:rPr>
        <w:t>DL control signalling enhancement for up to 32 carriers</w:t>
      </w:r>
      <w:r w:rsidRPr="00C63660">
        <w:rPr>
          <w:sz w:val="22"/>
          <w:lang w:val="en-AU"/>
        </w:rPr>
        <w:t>”</w:t>
      </w:r>
      <w:r>
        <w:rPr>
          <w:sz w:val="22"/>
          <w:lang w:val="en-AU"/>
        </w:rPr>
        <w:t>, Panasonic</w:t>
      </w:r>
    </w:p>
    <w:sectPr w:rsidR="00A317F3" w:rsidRPr="00E05E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14D77"/>
    <w:rsid w:val="0004215D"/>
    <w:rsid w:val="00065CAE"/>
    <w:rsid w:val="000D64B5"/>
    <w:rsid w:val="001476D7"/>
    <w:rsid w:val="001C2DE7"/>
    <w:rsid w:val="001E0797"/>
    <w:rsid w:val="00211EDD"/>
    <w:rsid w:val="00217DEB"/>
    <w:rsid w:val="00255203"/>
    <w:rsid w:val="002C0083"/>
    <w:rsid w:val="002F1D0A"/>
    <w:rsid w:val="00304680"/>
    <w:rsid w:val="00335778"/>
    <w:rsid w:val="003511A1"/>
    <w:rsid w:val="003577E8"/>
    <w:rsid w:val="003B79EC"/>
    <w:rsid w:val="004066AC"/>
    <w:rsid w:val="0042490B"/>
    <w:rsid w:val="00440403"/>
    <w:rsid w:val="00467A3D"/>
    <w:rsid w:val="00515512"/>
    <w:rsid w:val="00533379"/>
    <w:rsid w:val="00581187"/>
    <w:rsid w:val="005D12D6"/>
    <w:rsid w:val="0064098F"/>
    <w:rsid w:val="006578BC"/>
    <w:rsid w:val="006A0CC1"/>
    <w:rsid w:val="006A1D05"/>
    <w:rsid w:val="006C2020"/>
    <w:rsid w:val="00726382"/>
    <w:rsid w:val="007B6362"/>
    <w:rsid w:val="007D363E"/>
    <w:rsid w:val="007E374E"/>
    <w:rsid w:val="0083767D"/>
    <w:rsid w:val="008457C1"/>
    <w:rsid w:val="008773C7"/>
    <w:rsid w:val="008F7BFB"/>
    <w:rsid w:val="00907F18"/>
    <w:rsid w:val="0091524D"/>
    <w:rsid w:val="009D3EFE"/>
    <w:rsid w:val="009F403B"/>
    <w:rsid w:val="00A01AD1"/>
    <w:rsid w:val="00A317F3"/>
    <w:rsid w:val="00A72C7E"/>
    <w:rsid w:val="00AA4A5D"/>
    <w:rsid w:val="00B00695"/>
    <w:rsid w:val="00B93CCD"/>
    <w:rsid w:val="00BE0D3D"/>
    <w:rsid w:val="00C233F2"/>
    <w:rsid w:val="00C4377D"/>
    <w:rsid w:val="00C61D7C"/>
    <w:rsid w:val="00C7174C"/>
    <w:rsid w:val="00CA0F23"/>
    <w:rsid w:val="00CD2648"/>
    <w:rsid w:val="00CD2718"/>
    <w:rsid w:val="00D02624"/>
    <w:rsid w:val="00D16A5A"/>
    <w:rsid w:val="00D62C49"/>
    <w:rsid w:val="00DB0994"/>
    <w:rsid w:val="00DE008C"/>
    <w:rsid w:val="00E05E7C"/>
    <w:rsid w:val="00E10ADC"/>
    <w:rsid w:val="00E61293"/>
    <w:rsid w:val="00E931A7"/>
    <w:rsid w:val="00EF3A68"/>
    <w:rsid w:val="00F01660"/>
    <w:rsid w:val="00F15A6E"/>
    <w:rsid w:val="00F33DC2"/>
    <w:rsid w:val="00F62EBA"/>
    <w:rsid w:val="00F8311B"/>
    <w:rsid w:val="00F83165"/>
    <w:rsid w:val="00FF15F1"/>
    <w:rsid w:val="00FF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A317F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AD1"/>
    <w:rPr>
      <w:rFonts w:ascii="Tahoma" w:eastAsia="SimSun" w:hAnsi="Tahoma" w:cs="Tahoma"/>
      <w:sz w:val="16"/>
      <w:szCs w:val="16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9D3EFE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A317F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AD1"/>
    <w:rPr>
      <w:rFonts w:ascii="Tahoma" w:eastAsia="SimSun" w:hAnsi="Tahoma" w:cs="Tahoma"/>
      <w:sz w:val="16"/>
      <w:szCs w:val="16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9D3EFE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63</cp:revision>
  <dcterms:created xsi:type="dcterms:W3CDTF">2015-03-12T05:14:00Z</dcterms:created>
  <dcterms:modified xsi:type="dcterms:W3CDTF">2015-04-10T04:08:00Z</dcterms:modified>
</cp:coreProperties>
</file>